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47FA185">
      <w:pPr>
        <w:spacing w:line="240" w:lineRule="auto"/>
        <w:rPr>
          <w:rFonts w:hint="default" w:ascii="Times New Roman" w:hAnsi="Times New Roman" w:eastAsia="仿宋_GB2312" w:cs="Times New Roman"/>
          <w:color w:val="000000"/>
          <w:sz w:val="36"/>
          <w:szCs w:val="36"/>
          <w:u w:val="none"/>
          <w:lang w:eastAsia="zh-CN"/>
        </w:rPr>
      </w:pPr>
      <w:bookmarkStart w:id="0" w:name="_Hlk57883707"/>
      <w:r>
        <w:rPr>
          <w:rFonts w:hint="default" w:ascii="Times New Roman" w:hAnsi="Times New Roman" w:eastAsia="仿宋_GB2312" w:cs="Times New Roman"/>
          <w:color w:val="000000"/>
          <w:sz w:val="36"/>
          <w:szCs w:val="36"/>
          <w:u w:val="none"/>
          <w:lang w:eastAsia="zh-CN"/>
        </w:rPr>
        <w:drawing>
          <wp:anchor distT="0" distB="0" distL="114300" distR="114300" simplePos="0" relativeHeight="251663360" behindDoc="0" locked="0" layoutInCell="1" allowOverlap="1">
            <wp:simplePos x="0" y="0"/>
            <wp:positionH relativeFrom="column">
              <wp:posOffset>-963295</wp:posOffset>
            </wp:positionH>
            <wp:positionV relativeFrom="paragraph">
              <wp:posOffset>-1068705</wp:posOffset>
            </wp:positionV>
            <wp:extent cx="7569835" cy="10700385"/>
            <wp:effectExtent l="0" t="0" r="12065" b="5715"/>
            <wp:wrapNone/>
            <wp:docPr id="1" name="图片 1" descr="20260403_14504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20260403_145041_01"/>
                    <pic:cNvPicPr>
                      <a:picLocks noChangeAspect="1"/>
                    </pic:cNvPicPr>
                  </pic:nvPicPr>
                  <pic:blipFill>
                    <a:blip r:embed="rId12"/>
                    <a:stretch>
                      <a:fillRect/>
                    </a:stretch>
                  </pic:blipFill>
                  <pic:spPr>
                    <a:xfrm>
                      <a:off x="0" y="0"/>
                      <a:ext cx="7569835" cy="10700385"/>
                    </a:xfrm>
                    <a:prstGeom prst="rect">
                      <a:avLst/>
                    </a:prstGeom>
                  </pic:spPr>
                </pic:pic>
              </a:graphicData>
            </a:graphic>
          </wp:anchor>
        </w:drawing>
      </w:r>
    </w:p>
    <w:p w14:paraId="1AF5CE0D">
      <w:pPr>
        <w:spacing w:line="240" w:lineRule="auto"/>
        <w:rPr>
          <w:rFonts w:hint="default" w:ascii="Times New Roman" w:hAnsi="Times New Roman" w:eastAsia="仿宋_GB2312" w:cs="Times New Roman"/>
          <w:color w:val="000000"/>
          <w:sz w:val="36"/>
          <w:szCs w:val="36"/>
          <w:u w:val="none"/>
        </w:rPr>
      </w:pPr>
    </w:p>
    <w:p w14:paraId="1C7C42D5">
      <w:pPr>
        <w:spacing w:line="240" w:lineRule="auto"/>
        <w:rPr>
          <w:rFonts w:hint="default" w:ascii="Times New Roman" w:hAnsi="Times New Roman" w:eastAsia="仿宋_GB2312" w:cs="Times New Roman"/>
          <w:color w:val="000000"/>
          <w:sz w:val="36"/>
          <w:szCs w:val="36"/>
          <w:u w:val="none"/>
        </w:rPr>
      </w:pPr>
    </w:p>
    <w:bookmarkEnd w:id="0"/>
    <w:p w14:paraId="41923B6D">
      <w:pPr>
        <w:adjustRightInd w:val="0"/>
        <w:snapToGrid w:val="0"/>
        <w:jc w:val="center"/>
        <w:outlineLvl w:val="0"/>
        <w:rPr>
          <w:rFonts w:hint="default" w:ascii="Times New Roman" w:hAnsi="Times New Roman" w:eastAsia="方正小标宋_GBK" w:cs="Times New Roman"/>
          <w:bCs/>
          <w:color w:val="000000"/>
          <w:sz w:val="72"/>
          <w:szCs w:val="72"/>
          <w:u w:val="none"/>
        </w:rPr>
      </w:pPr>
      <w:bookmarkStart w:id="1" w:name="_Toc12706"/>
      <w:bookmarkStart w:id="2" w:name="_Toc8329"/>
      <w:bookmarkStart w:id="3" w:name="_Toc1571"/>
      <w:bookmarkStart w:id="4" w:name="_Toc28898"/>
      <w:bookmarkStart w:id="5" w:name="_Toc22284"/>
      <w:bookmarkStart w:id="6" w:name="_Toc23459"/>
      <w:bookmarkStart w:id="7" w:name="_Toc25235"/>
      <w:bookmarkStart w:id="8" w:name="_Toc14053"/>
      <w:bookmarkStart w:id="9" w:name="_Toc87"/>
      <w:bookmarkStart w:id="10" w:name="_Toc16882"/>
      <w:bookmarkStart w:id="11" w:name="_Toc1901"/>
      <w:bookmarkStart w:id="12" w:name="_Toc16293"/>
      <w:bookmarkStart w:id="13" w:name="_Toc19754"/>
      <w:bookmarkStart w:id="14" w:name="_Toc16044"/>
      <w:r>
        <w:rPr>
          <w:rFonts w:hint="default" w:ascii="Times New Roman" w:hAnsi="Times New Roman" w:eastAsia="方正小标宋_GBK" w:cs="Times New Roman"/>
          <w:bCs/>
          <w:color w:val="000000"/>
          <w:sz w:val="72"/>
          <w:szCs w:val="72"/>
          <w:u w:val="none"/>
        </w:rPr>
        <w:t>建设项目环境影响报告表</w:t>
      </w:r>
      <w:bookmarkEnd w:id="1"/>
      <w:bookmarkEnd w:id="2"/>
      <w:bookmarkEnd w:id="3"/>
      <w:bookmarkEnd w:id="4"/>
      <w:bookmarkEnd w:id="5"/>
      <w:bookmarkEnd w:id="6"/>
      <w:bookmarkEnd w:id="7"/>
      <w:bookmarkEnd w:id="8"/>
      <w:bookmarkEnd w:id="9"/>
      <w:bookmarkEnd w:id="10"/>
      <w:bookmarkEnd w:id="11"/>
      <w:bookmarkEnd w:id="12"/>
      <w:bookmarkEnd w:id="13"/>
      <w:bookmarkEnd w:id="14"/>
    </w:p>
    <w:p w14:paraId="510AD864">
      <w:pPr>
        <w:adjustRightInd w:val="0"/>
        <w:snapToGrid w:val="0"/>
        <w:spacing w:before="192" w:beforeLines="80"/>
        <w:jc w:val="center"/>
        <w:rPr>
          <w:rFonts w:hint="default" w:ascii="Times New Roman" w:hAnsi="Times New Roman" w:eastAsia="楷体_GB2312" w:cs="Times New Roman"/>
          <w:bCs/>
          <w:color w:val="000000"/>
          <w:sz w:val="48"/>
          <w:szCs w:val="48"/>
          <w:u w:val="none"/>
        </w:rPr>
      </w:pPr>
      <w:r>
        <w:rPr>
          <w:rFonts w:hint="default" w:ascii="Times New Roman" w:hAnsi="Times New Roman" w:eastAsia="楷体_GB2312" w:cs="Times New Roman"/>
          <w:bCs/>
          <w:color w:val="000000"/>
          <w:sz w:val="48"/>
          <w:szCs w:val="48"/>
          <w:u w:val="none"/>
        </w:rPr>
        <w:t>（生态影响类）</w:t>
      </w:r>
    </w:p>
    <w:p w14:paraId="48B07905">
      <w:pPr>
        <w:spacing w:line="240" w:lineRule="auto"/>
        <w:ind w:firstLine="1040"/>
        <w:rPr>
          <w:rFonts w:hint="default" w:ascii="Times New Roman" w:hAnsi="Times New Roman" w:eastAsia="仿宋" w:cs="Times New Roman"/>
          <w:color w:val="000000"/>
          <w:sz w:val="44"/>
          <w:szCs w:val="44"/>
          <w:u w:val="none"/>
        </w:rPr>
      </w:pPr>
      <w:bookmarkStart w:id="15" w:name="_Hlk57883728"/>
    </w:p>
    <w:p w14:paraId="00B7409C">
      <w:pPr>
        <w:spacing w:line="240" w:lineRule="auto"/>
        <w:jc w:val="center"/>
        <w:rPr>
          <w:rFonts w:hint="eastAsia" w:ascii="Times New Roman" w:hAnsi="Times New Roman" w:eastAsia="仿宋" w:cs="Times New Roman"/>
          <w:color w:val="000000"/>
          <w:sz w:val="44"/>
          <w:szCs w:val="44"/>
          <w:u w:val="none"/>
          <w:lang w:eastAsia="zh-CN"/>
        </w:rPr>
      </w:pPr>
      <w:r>
        <w:rPr>
          <w:rFonts w:hint="eastAsia" w:eastAsia="仿宋" w:cs="Times New Roman"/>
          <w:color w:val="000000"/>
          <w:sz w:val="44"/>
          <w:szCs w:val="44"/>
          <w:u w:val="none"/>
          <w:lang w:eastAsia="zh-CN"/>
        </w:rPr>
        <w:t>（</w:t>
      </w:r>
      <w:r>
        <w:rPr>
          <w:rFonts w:hint="eastAsia" w:eastAsia="仿宋" w:cs="Times New Roman"/>
          <w:color w:val="000000"/>
          <w:sz w:val="44"/>
          <w:szCs w:val="44"/>
          <w:u w:val="none"/>
          <w:lang w:val="en-US" w:eastAsia="zh-CN"/>
        </w:rPr>
        <w:t>公示稿</w:t>
      </w:r>
      <w:r>
        <w:rPr>
          <w:rFonts w:hint="eastAsia" w:eastAsia="仿宋" w:cs="Times New Roman"/>
          <w:color w:val="000000"/>
          <w:sz w:val="44"/>
          <w:szCs w:val="44"/>
          <w:u w:val="none"/>
          <w:lang w:eastAsia="zh-CN"/>
        </w:rPr>
        <w:t>）</w:t>
      </w:r>
    </w:p>
    <w:p w14:paraId="6D1E853C">
      <w:pPr>
        <w:spacing w:line="240" w:lineRule="auto"/>
        <w:ind w:firstLine="1040"/>
        <w:rPr>
          <w:rFonts w:hint="default" w:ascii="Times New Roman" w:hAnsi="Times New Roman" w:eastAsia="仿宋" w:cs="Times New Roman"/>
          <w:color w:val="000000"/>
          <w:sz w:val="44"/>
          <w:szCs w:val="44"/>
          <w:u w:val="none"/>
        </w:rPr>
      </w:pPr>
    </w:p>
    <w:p w14:paraId="33C290AF">
      <w:pPr>
        <w:spacing w:line="240" w:lineRule="auto"/>
        <w:ind w:firstLine="1040"/>
        <w:rPr>
          <w:rFonts w:hint="default" w:ascii="Times New Roman" w:hAnsi="Times New Roman" w:eastAsia="仿宋" w:cs="Times New Roman"/>
          <w:color w:val="000000"/>
          <w:sz w:val="44"/>
          <w:szCs w:val="44"/>
          <w:u w:val="none"/>
        </w:rPr>
      </w:pPr>
    </w:p>
    <w:p w14:paraId="6AAF4288">
      <w:pPr>
        <w:spacing w:line="240" w:lineRule="auto"/>
        <w:ind w:firstLine="1040"/>
        <w:rPr>
          <w:rFonts w:hint="default" w:ascii="Times New Roman" w:hAnsi="Times New Roman" w:eastAsia="仿宋" w:cs="Times New Roman"/>
          <w:color w:val="000000"/>
          <w:sz w:val="44"/>
          <w:szCs w:val="44"/>
          <w:u w:val="none"/>
        </w:rPr>
      </w:pPr>
    </w:p>
    <w:p w14:paraId="042B6907">
      <w:pPr>
        <w:spacing w:line="240" w:lineRule="auto"/>
        <w:ind w:firstLine="1040"/>
        <w:rPr>
          <w:rFonts w:hint="default" w:ascii="Times New Roman" w:hAnsi="Times New Roman" w:eastAsia="仿宋" w:cs="Times New Roman"/>
          <w:color w:val="000000"/>
          <w:sz w:val="44"/>
          <w:szCs w:val="44"/>
          <w:u w:val="none"/>
        </w:rPr>
      </w:pPr>
    </w:p>
    <w:p w14:paraId="15D91D06">
      <w:pPr>
        <w:spacing w:line="240" w:lineRule="auto"/>
        <w:ind w:firstLine="1040"/>
        <w:rPr>
          <w:rFonts w:hint="default" w:ascii="Times New Roman" w:hAnsi="Times New Roman" w:eastAsia="仿宋" w:cs="Times New Roman"/>
          <w:color w:val="000000"/>
          <w:sz w:val="44"/>
          <w:szCs w:val="44"/>
          <w:u w:val="none"/>
        </w:rPr>
      </w:pPr>
    </w:p>
    <w:bookmarkEnd w:id="15"/>
    <w:p w14:paraId="07CF0422">
      <w:pPr>
        <w:keepNext w:val="0"/>
        <w:keepLines w:val="0"/>
        <w:pageBreakBefore w:val="0"/>
        <w:widowControl w:val="0"/>
        <w:kinsoku/>
        <w:wordWrap/>
        <w:overflowPunct/>
        <w:topLinePunct w:val="0"/>
        <w:autoSpaceDE/>
        <w:autoSpaceDN/>
        <w:bidi w:val="0"/>
        <w:adjustRightInd w:val="0"/>
        <w:snapToGrid w:val="0"/>
        <w:spacing w:line="288" w:lineRule="auto"/>
        <w:ind w:firstLine="720" w:firstLineChars="200"/>
        <w:jc w:val="both"/>
        <w:textAlignment w:val="auto"/>
        <w:outlineLvl w:val="9"/>
        <w:rPr>
          <w:rFonts w:hint="default" w:ascii="Times New Roman" w:hAnsi="Times New Roman" w:eastAsia="仿宋_GB2312" w:cs="Times New Roman"/>
          <w:color w:val="000000"/>
          <w:sz w:val="36"/>
          <w:szCs w:val="36"/>
          <w:u w:val="none"/>
          <w:lang w:val="en-US" w:eastAsia="zh-CN"/>
        </w:rPr>
      </w:pPr>
      <w:bookmarkStart w:id="16" w:name="_Toc17182"/>
      <w:bookmarkStart w:id="17" w:name="_Toc3933"/>
      <w:bookmarkStart w:id="18" w:name="_Toc23793"/>
      <w:bookmarkStart w:id="19" w:name="_Toc14418"/>
      <w:bookmarkStart w:id="20" w:name="_Toc16394"/>
      <w:bookmarkStart w:id="21" w:name="_Toc23055"/>
      <w:bookmarkStart w:id="22" w:name="_Toc7235"/>
      <w:r>
        <w:rPr>
          <w:rFonts w:hint="default" w:ascii="Times New Roman" w:hAnsi="Times New Roman" w:eastAsia="仿宋_GB2312" w:cs="Times New Roman"/>
          <w:color w:val="000000"/>
          <w:sz w:val="36"/>
          <w:szCs w:val="36"/>
          <w:u w:val="none"/>
        </w:rPr>
        <w:t>项目名称：</w:t>
      </w:r>
      <w:bookmarkEnd w:id="16"/>
      <w:bookmarkEnd w:id="17"/>
      <w:r>
        <w:rPr>
          <w:rFonts w:hint="eastAsia" w:eastAsia="仿宋_GB2312" w:cs="Times New Roman"/>
          <w:color w:val="000000"/>
          <w:sz w:val="36"/>
          <w:szCs w:val="36"/>
          <w:u w:val="single"/>
          <w:lang w:val="en-US" w:eastAsia="zh-CN"/>
        </w:rPr>
        <w:t xml:space="preserve">    </w:t>
      </w:r>
      <w:r>
        <w:rPr>
          <w:rFonts w:hint="default" w:ascii="Times New Roman" w:hAnsi="Times New Roman" w:eastAsia="仿宋_GB2312" w:cs="Times New Roman"/>
          <w:color w:val="000000"/>
          <w:sz w:val="36"/>
          <w:szCs w:val="36"/>
          <w:u w:val="single"/>
        </w:rPr>
        <w:t>福清市</w:t>
      </w:r>
      <w:r>
        <w:rPr>
          <w:rFonts w:hint="eastAsia" w:eastAsia="仿宋_GB2312" w:cs="Times New Roman"/>
          <w:color w:val="000000"/>
          <w:sz w:val="36"/>
          <w:szCs w:val="36"/>
          <w:u w:val="single"/>
          <w:lang w:val="en-US" w:eastAsia="zh-CN"/>
        </w:rPr>
        <w:t>海亮沃口一级</w:t>
      </w:r>
      <w:r>
        <w:rPr>
          <w:rFonts w:hint="default" w:ascii="Times New Roman" w:hAnsi="Times New Roman" w:eastAsia="仿宋_GB2312" w:cs="Times New Roman"/>
          <w:color w:val="000000"/>
          <w:sz w:val="36"/>
          <w:szCs w:val="36"/>
          <w:u w:val="single"/>
        </w:rPr>
        <w:t>渔港</w:t>
      </w:r>
      <w:bookmarkEnd w:id="18"/>
      <w:bookmarkEnd w:id="19"/>
      <w:bookmarkEnd w:id="20"/>
      <w:bookmarkEnd w:id="21"/>
      <w:bookmarkEnd w:id="22"/>
      <w:r>
        <w:rPr>
          <w:rFonts w:hint="eastAsia" w:eastAsia="仿宋_GB2312" w:cs="Times New Roman"/>
          <w:color w:val="000000"/>
          <w:sz w:val="36"/>
          <w:szCs w:val="36"/>
          <w:u w:val="single"/>
          <w:lang w:val="en-US" w:eastAsia="zh-CN"/>
        </w:rPr>
        <w:t xml:space="preserve">工程    </w:t>
      </w:r>
    </w:p>
    <w:p w14:paraId="3BB0A5AB">
      <w:pPr>
        <w:keepNext w:val="0"/>
        <w:keepLines w:val="0"/>
        <w:pageBreakBefore w:val="0"/>
        <w:widowControl w:val="0"/>
        <w:kinsoku/>
        <w:wordWrap/>
        <w:overflowPunct/>
        <w:topLinePunct w:val="0"/>
        <w:autoSpaceDE/>
        <w:autoSpaceDN/>
        <w:bidi w:val="0"/>
        <w:adjustRightInd w:val="0"/>
        <w:snapToGrid w:val="0"/>
        <w:spacing w:line="288" w:lineRule="auto"/>
        <w:ind w:firstLine="720" w:firstLineChars="200"/>
        <w:jc w:val="both"/>
        <w:textAlignment w:val="auto"/>
        <w:outlineLvl w:val="9"/>
        <w:rPr>
          <w:rFonts w:hint="default" w:ascii="Times New Roman" w:hAnsi="Times New Roman" w:eastAsia="仿宋_GB2312" w:cs="Times New Roman"/>
          <w:color w:val="000000"/>
          <w:sz w:val="36"/>
          <w:szCs w:val="36"/>
          <w:u w:val="single"/>
          <w:lang w:val="en-US" w:eastAsia="zh-CN"/>
        </w:rPr>
      </w:pPr>
      <w:bookmarkStart w:id="23" w:name="_Toc8745"/>
      <w:bookmarkStart w:id="24" w:name="_Toc16092"/>
      <w:bookmarkStart w:id="25" w:name="_Toc12473"/>
      <w:bookmarkStart w:id="26" w:name="_Toc12640"/>
      <w:bookmarkStart w:id="27" w:name="_Toc6661"/>
      <w:bookmarkStart w:id="28" w:name="_Toc4723"/>
      <w:bookmarkStart w:id="29" w:name="_Toc9827"/>
      <w:r>
        <w:rPr>
          <w:rFonts w:hint="default" w:ascii="Times New Roman" w:hAnsi="Times New Roman" w:eastAsia="仿宋_GB2312" w:cs="Times New Roman"/>
          <w:color w:val="000000"/>
          <w:sz w:val="36"/>
          <w:szCs w:val="36"/>
          <w:u w:val="none"/>
        </w:rPr>
        <w:t>建设单位（盖章）：</w:t>
      </w:r>
      <w:bookmarkEnd w:id="23"/>
      <w:bookmarkEnd w:id="24"/>
      <w:bookmarkEnd w:id="25"/>
      <w:bookmarkEnd w:id="26"/>
      <w:bookmarkEnd w:id="27"/>
      <w:bookmarkEnd w:id="28"/>
      <w:bookmarkEnd w:id="29"/>
      <w:r>
        <w:rPr>
          <w:rFonts w:hint="default" w:ascii="Times New Roman" w:hAnsi="Times New Roman" w:eastAsia="仿宋_GB2312" w:cs="Times New Roman"/>
          <w:color w:val="000000"/>
          <w:sz w:val="36"/>
          <w:szCs w:val="36"/>
          <w:u w:val="single"/>
          <w:lang w:val="en-US" w:eastAsia="zh-CN"/>
        </w:rPr>
        <w:t>福建省华立沃口渔港开发有限</w:t>
      </w:r>
    </w:p>
    <w:p w14:paraId="42F8F427">
      <w:pPr>
        <w:keepNext w:val="0"/>
        <w:keepLines w:val="0"/>
        <w:pageBreakBefore w:val="0"/>
        <w:widowControl w:val="0"/>
        <w:kinsoku/>
        <w:wordWrap/>
        <w:overflowPunct/>
        <w:topLinePunct w:val="0"/>
        <w:autoSpaceDE/>
        <w:autoSpaceDN/>
        <w:bidi w:val="0"/>
        <w:adjustRightInd w:val="0"/>
        <w:snapToGrid w:val="0"/>
        <w:spacing w:line="288" w:lineRule="auto"/>
        <w:ind w:firstLine="3960" w:firstLineChars="1100"/>
        <w:jc w:val="both"/>
        <w:textAlignment w:val="auto"/>
        <w:outlineLvl w:val="9"/>
        <w:rPr>
          <w:rFonts w:hint="default" w:ascii="Times New Roman" w:hAnsi="Times New Roman" w:eastAsia="仿宋_GB2312" w:cs="Times New Roman"/>
          <w:color w:val="000000"/>
          <w:sz w:val="36"/>
          <w:szCs w:val="36"/>
          <w:u w:val="single"/>
          <w:lang w:val="en-US" w:eastAsia="zh-CN"/>
        </w:rPr>
      </w:pPr>
      <w:r>
        <w:rPr>
          <w:rFonts w:hint="eastAsia" w:eastAsia="仿宋_GB2312" w:cs="Times New Roman"/>
          <w:color w:val="000000"/>
          <w:sz w:val="36"/>
          <w:szCs w:val="36"/>
          <w:u w:val="single"/>
          <w:lang w:val="en-US" w:eastAsia="zh-CN"/>
        </w:rPr>
        <w:t xml:space="preserve">公司                      </w:t>
      </w:r>
    </w:p>
    <w:p w14:paraId="334DD30D">
      <w:pPr>
        <w:keepNext w:val="0"/>
        <w:keepLines w:val="0"/>
        <w:pageBreakBefore w:val="0"/>
        <w:widowControl w:val="0"/>
        <w:kinsoku/>
        <w:wordWrap/>
        <w:overflowPunct/>
        <w:topLinePunct w:val="0"/>
        <w:autoSpaceDE/>
        <w:autoSpaceDN/>
        <w:bidi w:val="0"/>
        <w:adjustRightInd w:val="0"/>
        <w:snapToGrid w:val="0"/>
        <w:spacing w:line="288" w:lineRule="auto"/>
        <w:ind w:firstLine="720" w:firstLineChars="200"/>
        <w:jc w:val="both"/>
        <w:textAlignment w:val="auto"/>
        <w:outlineLvl w:val="9"/>
        <w:rPr>
          <w:rFonts w:hint="default" w:ascii="Times New Roman" w:hAnsi="Times New Roman" w:eastAsia="仿宋_GB2312" w:cs="Times New Roman"/>
          <w:color w:val="000000"/>
          <w:sz w:val="36"/>
          <w:szCs w:val="36"/>
          <w:u w:val="none"/>
          <w:lang w:val="en-US"/>
        </w:rPr>
      </w:pPr>
      <w:r>
        <w:rPr>
          <w:rFonts w:hint="default" w:ascii="Times New Roman" w:hAnsi="Times New Roman" w:eastAsia="仿宋_GB2312" w:cs="Times New Roman"/>
          <w:color w:val="000000"/>
          <w:sz w:val="36"/>
          <w:szCs w:val="36"/>
          <w:u w:val="none"/>
        </w:rPr>
        <w:t>编制日期：</w:t>
      </w:r>
      <w:r>
        <w:rPr>
          <w:rFonts w:hint="default" w:ascii="Times New Roman" w:hAnsi="Times New Roman" w:eastAsia="仿宋_GB2312" w:cs="Times New Roman"/>
          <w:color w:val="000000"/>
          <w:sz w:val="36"/>
          <w:szCs w:val="36"/>
          <w:u w:val="single"/>
          <w:lang w:val="en-US" w:eastAsia="zh-CN"/>
        </w:rPr>
        <w:t xml:space="preserve">         </w:t>
      </w:r>
      <w:r>
        <w:rPr>
          <w:rFonts w:hint="eastAsia" w:eastAsia="仿宋_GB2312" w:cs="Times New Roman"/>
          <w:color w:val="000000"/>
          <w:sz w:val="36"/>
          <w:szCs w:val="36"/>
          <w:u w:val="single"/>
          <w:lang w:val="en-US" w:eastAsia="zh-CN"/>
        </w:rPr>
        <w:t xml:space="preserve">  </w:t>
      </w:r>
      <w:r>
        <w:rPr>
          <w:rFonts w:hint="default" w:ascii="Times New Roman" w:hAnsi="Times New Roman" w:eastAsia="仿宋_GB2312" w:cs="Times New Roman"/>
          <w:color w:val="000000"/>
          <w:sz w:val="36"/>
          <w:szCs w:val="36"/>
          <w:u w:val="single"/>
          <w:lang w:val="en-US" w:eastAsia="zh-CN"/>
        </w:rPr>
        <w:t>202</w:t>
      </w:r>
      <w:r>
        <w:rPr>
          <w:rFonts w:hint="eastAsia" w:eastAsia="仿宋_GB2312" w:cs="Times New Roman"/>
          <w:color w:val="000000"/>
          <w:sz w:val="36"/>
          <w:szCs w:val="36"/>
          <w:u w:val="single"/>
          <w:lang w:val="en-US" w:eastAsia="zh-CN"/>
        </w:rPr>
        <w:t>6</w:t>
      </w:r>
      <w:r>
        <w:rPr>
          <w:rFonts w:hint="default" w:ascii="Times New Roman" w:hAnsi="Times New Roman" w:eastAsia="仿宋_GB2312" w:cs="Times New Roman"/>
          <w:color w:val="000000"/>
          <w:sz w:val="36"/>
          <w:szCs w:val="36"/>
          <w:u w:val="single"/>
          <w:lang w:val="en-US" w:eastAsia="zh-CN"/>
        </w:rPr>
        <w:t>年</w:t>
      </w:r>
      <w:r>
        <w:rPr>
          <w:rFonts w:hint="eastAsia" w:eastAsia="仿宋_GB2312" w:cs="Times New Roman"/>
          <w:color w:val="000000"/>
          <w:sz w:val="36"/>
          <w:szCs w:val="36"/>
          <w:u w:val="single"/>
          <w:lang w:val="en-US" w:eastAsia="zh-CN"/>
        </w:rPr>
        <w:t>4</w:t>
      </w:r>
      <w:r>
        <w:rPr>
          <w:rFonts w:hint="default" w:ascii="Times New Roman" w:hAnsi="Times New Roman" w:eastAsia="仿宋_GB2312" w:cs="Times New Roman"/>
          <w:color w:val="000000"/>
          <w:sz w:val="36"/>
          <w:szCs w:val="36"/>
          <w:u w:val="single"/>
          <w:lang w:val="en-US" w:eastAsia="zh-CN"/>
        </w:rPr>
        <w:t xml:space="preserve">月      </w:t>
      </w:r>
      <w:r>
        <w:rPr>
          <w:rFonts w:hint="eastAsia" w:eastAsia="仿宋_GB2312" w:cs="Times New Roman"/>
          <w:color w:val="000000"/>
          <w:sz w:val="36"/>
          <w:szCs w:val="36"/>
          <w:u w:val="single"/>
          <w:lang w:val="en-US" w:eastAsia="zh-CN"/>
        </w:rPr>
        <w:t xml:space="preserve">  </w:t>
      </w:r>
      <w:r>
        <w:rPr>
          <w:rFonts w:hint="eastAsia" w:ascii="Times New Roman" w:hAnsi="Times New Roman" w:eastAsia="仿宋_GB2312" w:cs="Times New Roman"/>
          <w:color w:val="000000"/>
          <w:sz w:val="36"/>
          <w:szCs w:val="36"/>
          <w:u w:val="single"/>
          <w:lang w:val="en-US" w:eastAsia="zh-CN"/>
        </w:rPr>
        <w:t xml:space="preserve">     </w:t>
      </w:r>
    </w:p>
    <w:p w14:paraId="39F760EB">
      <w:pPr>
        <w:spacing w:line="240" w:lineRule="auto"/>
        <w:ind w:firstLine="1040"/>
        <w:rPr>
          <w:rFonts w:hint="default" w:ascii="Times New Roman" w:hAnsi="Times New Roman" w:eastAsia="仿宋" w:cs="Times New Roman"/>
          <w:color w:val="000000"/>
          <w:sz w:val="44"/>
          <w:szCs w:val="44"/>
          <w:u w:val="none"/>
        </w:rPr>
      </w:pPr>
    </w:p>
    <w:p w14:paraId="5E56079F">
      <w:pPr>
        <w:adjustRightInd w:val="0"/>
        <w:snapToGrid w:val="0"/>
        <w:spacing w:line="288" w:lineRule="auto"/>
        <w:ind w:firstLine="1040"/>
        <w:rPr>
          <w:rFonts w:hint="default" w:ascii="Times New Roman" w:hAnsi="Times New Roman" w:eastAsia="仿宋_GB2312" w:cs="Times New Roman"/>
          <w:color w:val="000000"/>
          <w:sz w:val="36"/>
          <w:szCs w:val="36"/>
          <w:u w:val="none"/>
        </w:rPr>
      </w:pPr>
    </w:p>
    <w:p w14:paraId="072F60BF">
      <w:pPr>
        <w:adjustRightInd w:val="0"/>
        <w:snapToGrid w:val="0"/>
        <w:spacing w:line="288" w:lineRule="auto"/>
        <w:ind w:firstLine="1040"/>
        <w:rPr>
          <w:rFonts w:hint="default" w:ascii="Times New Roman" w:hAnsi="Times New Roman" w:eastAsia="仿宋_GB2312" w:cs="Times New Roman"/>
          <w:color w:val="000000"/>
          <w:sz w:val="36"/>
          <w:szCs w:val="36"/>
          <w:u w:val="none"/>
        </w:rPr>
      </w:pPr>
    </w:p>
    <w:p w14:paraId="1BE4D88A">
      <w:pPr>
        <w:adjustRightInd w:val="0"/>
        <w:snapToGrid w:val="0"/>
        <w:spacing w:line="288" w:lineRule="auto"/>
        <w:ind w:firstLine="1040"/>
        <w:rPr>
          <w:rFonts w:hint="default" w:ascii="Times New Roman" w:hAnsi="Times New Roman" w:eastAsia="仿宋_GB2312" w:cs="Times New Roman"/>
          <w:color w:val="000000"/>
          <w:sz w:val="36"/>
          <w:szCs w:val="36"/>
          <w:u w:val="none"/>
        </w:rPr>
      </w:pPr>
    </w:p>
    <w:p w14:paraId="5F3E2496">
      <w:pPr>
        <w:adjustRightInd w:val="0"/>
        <w:snapToGrid w:val="0"/>
        <w:spacing w:line="288" w:lineRule="auto"/>
        <w:ind w:firstLine="1040"/>
        <w:rPr>
          <w:rFonts w:hint="default" w:ascii="Times New Roman" w:hAnsi="Times New Roman" w:eastAsia="仿宋_GB2312" w:cs="Times New Roman"/>
          <w:color w:val="000000"/>
          <w:sz w:val="36"/>
          <w:szCs w:val="36"/>
          <w:u w:val="none"/>
        </w:rPr>
      </w:pPr>
    </w:p>
    <w:p w14:paraId="665F8768">
      <w:pPr>
        <w:adjustRightInd w:val="0"/>
        <w:snapToGrid w:val="0"/>
        <w:spacing w:line="288" w:lineRule="auto"/>
        <w:jc w:val="center"/>
        <w:outlineLvl w:val="9"/>
        <w:rPr>
          <w:rFonts w:hint="default" w:ascii="Times New Roman" w:hAnsi="Times New Roman" w:eastAsia="楷体_GB2312" w:cs="Times New Roman"/>
          <w:color w:val="000000"/>
          <w:sz w:val="36"/>
          <w:szCs w:val="36"/>
          <w:u w:val="none"/>
        </w:rPr>
        <w:sectPr>
          <w:headerReference r:id="rId5" w:type="default"/>
          <w:footerReference r:id="rId6" w:type="default"/>
          <w:footerReference r:id="rId7" w:type="even"/>
          <w:pgSz w:w="11906" w:h="16838"/>
          <w:pgMar w:top="1701" w:right="1531" w:bottom="1701" w:left="1531" w:header="851" w:footer="1077" w:gutter="0"/>
          <w:pgNumType w:start="21"/>
          <w:cols w:space="720" w:num="1"/>
          <w:docGrid w:linePitch="312" w:charSpace="0"/>
        </w:sectPr>
      </w:pPr>
      <w:bookmarkStart w:id="30" w:name="_Toc30707"/>
      <w:bookmarkStart w:id="31" w:name="_Toc24487"/>
      <w:bookmarkStart w:id="32" w:name="_Toc11391"/>
      <w:bookmarkStart w:id="33" w:name="_Toc29920"/>
      <w:bookmarkStart w:id="34" w:name="_Toc15515"/>
      <w:bookmarkStart w:id="35" w:name="_Toc19781"/>
      <w:bookmarkStart w:id="36" w:name="_Toc25431"/>
      <w:bookmarkStart w:id="37" w:name="_Toc1074"/>
      <w:bookmarkStart w:id="38" w:name="_Toc8659"/>
      <w:bookmarkStart w:id="39" w:name="_Toc20253"/>
      <w:r>
        <w:rPr>
          <w:rFonts w:hint="default" w:ascii="Times New Roman" w:hAnsi="Times New Roman" w:eastAsia="楷体_GB2312" w:cs="Times New Roman"/>
          <w:color w:val="000000"/>
          <w:sz w:val="36"/>
          <w:szCs w:val="36"/>
          <w:u w:val="none"/>
        </w:rPr>
        <w:t>中华人民共和国生态环境部制</w:t>
      </w:r>
      <w:bookmarkEnd w:id="30"/>
      <w:bookmarkEnd w:id="31"/>
      <w:bookmarkEnd w:id="32"/>
      <w:bookmarkEnd w:id="33"/>
      <w:bookmarkEnd w:id="34"/>
      <w:bookmarkEnd w:id="35"/>
      <w:bookmarkEnd w:id="36"/>
      <w:bookmarkEnd w:id="37"/>
      <w:bookmarkEnd w:id="38"/>
      <w:bookmarkEnd w:id="39"/>
    </w:p>
    <w:p w14:paraId="329EB486">
      <w:pPr>
        <w:pStyle w:val="2"/>
        <w:bidi w:val="0"/>
        <w:ind w:left="425" w:leftChars="0" w:hanging="425" w:firstLineChars="0"/>
        <w:rPr>
          <w:rFonts w:hint="default"/>
        </w:rPr>
      </w:pPr>
      <w:bookmarkStart w:id="40" w:name="_Toc20805"/>
      <w:bookmarkStart w:id="41" w:name="_Toc25675"/>
      <w:bookmarkStart w:id="42" w:name="_Toc10284"/>
      <w:bookmarkStart w:id="43" w:name="_Toc21082"/>
      <w:bookmarkStart w:id="44" w:name="_Toc20249"/>
      <w:r>
        <w:rPr>
          <w:rFonts w:hint="default"/>
        </w:rPr>
        <w:t>建设项目基本情况</w:t>
      </w:r>
      <w:bookmarkEnd w:id="40"/>
      <w:bookmarkEnd w:id="41"/>
      <w:bookmarkEnd w:id="42"/>
      <w:bookmarkEnd w:id="43"/>
      <w:bookmarkEnd w:id="44"/>
    </w:p>
    <w:tbl>
      <w:tblPr>
        <w:tblStyle w:val="21"/>
        <w:tblW w:w="9060" w:type="dxa"/>
        <w:tblInd w:w="-9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08" w:type="dxa"/>
          <w:left w:w="108" w:type="dxa"/>
          <w:bottom w:w="108" w:type="dxa"/>
          <w:right w:w="108" w:type="dxa"/>
        </w:tblCellMar>
      </w:tblPr>
      <w:tblGrid>
        <w:gridCol w:w="694"/>
        <w:gridCol w:w="1301"/>
        <w:gridCol w:w="2048"/>
        <w:gridCol w:w="1905"/>
        <w:gridCol w:w="3112"/>
      </w:tblGrid>
      <w:tr w14:paraId="247083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8" w:type="dxa"/>
            <w:left w:w="108" w:type="dxa"/>
            <w:bottom w:w="108" w:type="dxa"/>
            <w:right w:w="108" w:type="dxa"/>
          </w:tblCellMar>
        </w:tblPrEx>
        <w:trPr>
          <w:trHeight w:val="397" w:hRule="atLeast"/>
        </w:trPr>
        <w:tc>
          <w:tcPr>
            <w:tcW w:w="1995" w:type="dxa"/>
            <w:gridSpan w:val="2"/>
            <w:noWrap w:val="0"/>
            <w:tcMar>
              <w:top w:w="16" w:type="dxa"/>
              <w:left w:w="16" w:type="dxa"/>
              <w:right w:w="16" w:type="dxa"/>
            </w:tcMar>
            <w:vAlign w:val="center"/>
          </w:tcPr>
          <w:p w14:paraId="54B60EF8">
            <w:pPr>
              <w:adjustRightInd w:val="0"/>
              <w:snapToGrid w:val="0"/>
              <w:spacing w:line="240" w:lineRule="auto"/>
              <w:jc w:val="center"/>
              <w:rPr>
                <w:rFonts w:hint="default" w:ascii="Times New Roman" w:hAnsi="Times New Roman" w:cs="Times New Roman"/>
                <w:color w:val="000000"/>
                <w:szCs w:val="21"/>
                <w:u w:val="none"/>
              </w:rPr>
            </w:pPr>
            <w:r>
              <w:rPr>
                <w:rFonts w:hint="default" w:ascii="Times New Roman" w:hAnsi="Times New Roman" w:cs="Times New Roman"/>
                <w:color w:val="000000"/>
                <w:szCs w:val="21"/>
                <w:u w:val="none"/>
              </w:rPr>
              <w:t>建设项目名称</w:t>
            </w:r>
          </w:p>
        </w:tc>
        <w:tc>
          <w:tcPr>
            <w:tcW w:w="7065" w:type="dxa"/>
            <w:gridSpan w:val="3"/>
            <w:noWrap w:val="0"/>
            <w:vAlign w:val="center"/>
          </w:tcPr>
          <w:p w14:paraId="41E286E7">
            <w:pPr>
              <w:adjustRightInd w:val="0"/>
              <w:snapToGrid w:val="0"/>
              <w:spacing w:line="240" w:lineRule="auto"/>
              <w:jc w:val="center"/>
              <w:rPr>
                <w:rFonts w:hint="default" w:ascii="Times New Roman" w:hAnsi="Times New Roman" w:eastAsia="宋体" w:cs="Times New Roman"/>
                <w:color w:val="000000"/>
                <w:szCs w:val="21"/>
                <w:u w:val="none"/>
                <w:lang w:val="en-US" w:eastAsia="zh-CN"/>
              </w:rPr>
            </w:pPr>
            <w:r>
              <w:rPr>
                <w:rFonts w:hint="eastAsia" w:cs="Times New Roman"/>
                <w:color w:val="000000"/>
                <w:szCs w:val="21"/>
                <w:u w:val="none"/>
                <w:lang w:eastAsia="zh-CN"/>
              </w:rPr>
              <w:t>福清市海亮沃口一级渔港</w:t>
            </w:r>
            <w:r>
              <w:rPr>
                <w:rFonts w:hint="eastAsia" w:cs="Times New Roman"/>
                <w:color w:val="000000"/>
                <w:szCs w:val="21"/>
                <w:u w:val="none"/>
                <w:lang w:val="en-US" w:eastAsia="zh-CN"/>
              </w:rPr>
              <w:t>工程</w:t>
            </w:r>
          </w:p>
        </w:tc>
      </w:tr>
      <w:tr w14:paraId="147E60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8" w:type="dxa"/>
            <w:left w:w="108" w:type="dxa"/>
            <w:bottom w:w="108" w:type="dxa"/>
            <w:right w:w="108" w:type="dxa"/>
          </w:tblCellMar>
        </w:tblPrEx>
        <w:trPr>
          <w:trHeight w:val="397" w:hRule="atLeast"/>
        </w:trPr>
        <w:tc>
          <w:tcPr>
            <w:tcW w:w="1995" w:type="dxa"/>
            <w:gridSpan w:val="2"/>
            <w:noWrap w:val="0"/>
            <w:tcMar>
              <w:top w:w="16" w:type="dxa"/>
              <w:left w:w="16" w:type="dxa"/>
              <w:right w:w="16" w:type="dxa"/>
            </w:tcMar>
            <w:vAlign w:val="center"/>
          </w:tcPr>
          <w:p w14:paraId="5DB792FA">
            <w:pPr>
              <w:adjustRightInd w:val="0"/>
              <w:snapToGrid w:val="0"/>
              <w:spacing w:line="240" w:lineRule="auto"/>
              <w:jc w:val="center"/>
              <w:rPr>
                <w:rFonts w:hint="default" w:ascii="Times New Roman" w:hAnsi="Times New Roman" w:cs="Times New Roman"/>
                <w:color w:val="000000"/>
                <w:szCs w:val="21"/>
                <w:highlight w:val="none"/>
                <w:u w:val="none"/>
              </w:rPr>
            </w:pPr>
            <w:r>
              <w:rPr>
                <w:rFonts w:hint="default" w:ascii="Times New Roman" w:hAnsi="Times New Roman" w:cs="Times New Roman"/>
                <w:color w:val="000000"/>
                <w:szCs w:val="21"/>
                <w:highlight w:val="none"/>
                <w:u w:val="none"/>
              </w:rPr>
              <w:t>项目代码</w:t>
            </w:r>
          </w:p>
        </w:tc>
        <w:tc>
          <w:tcPr>
            <w:tcW w:w="7065" w:type="dxa"/>
            <w:gridSpan w:val="3"/>
            <w:noWrap w:val="0"/>
            <w:vAlign w:val="center"/>
          </w:tcPr>
          <w:p w14:paraId="7BBD3AD1">
            <w:pPr>
              <w:adjustRightInd w:val="0"/>
              <w:snapToGrid w:val="0"/>
              <w:spacing w:line="240" w:lineRule="auto"/>
              <w:jc w:val="center"/>
              <w:rPr>
                <w:rFonts w:hint="default" w:ascii="Times New Roman" w:hAnsi="Times New Roman" w:eastAsia="宋体" w:cs="Times New Roman"/>
                <w:color w:val="000000"/>
                <w:szCs w:val="21"/>
                <w:highlight w:val="none"/>
                <w:u w:val="none"/>
                <w:lang w:val="en-US" w:eastAsia="zh-CN"/>
              </w:rPr>
            </w:pPr>
            <w:r>
              <w:rPr>
                <w:rFonts w:hint="default" w:ascii="Times New Roman" w:hAnsi="Times New Roman" w:eastAsia="宋体" w:cs="Times New Roman"/>
                <w:color w:val="000000"/>
                <w:szCs w:val="21"/>
                <w:highlight w:val="none"/>
                <w:u w:val="none"/>
                <w:lang w:val="en-US" w:eastAsia="zh-CN"/>
              </w:rPr>
              <w:t>2018-350181-04-01-045249</w:t>
            </w:r>
          </w:p>
        </w:tc>
      </w:tr>
      <w:tr w14:paraId="02FFAC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8" w:type="dxa"/>
            <w:left w:w="108" w:type="dxa"/>
            <w:bottom w:w="108" w:type="dxa"/>
            <w:right w:w="108" w:type="dxa"/>
          </w:tblCellMar>
        </w:tblPrEx>
        <w:trPr>
          <w:trHeight w:val="397" w:hRule="atLeast"/>
        </w:trPr>
        <w:tc>
          <w:tcPr>
            <w:tcW w:w="1995" w:type="dxa"/>
            <w:gridSpan w:val="2"/>
            <w:noWrap w:val="0"/>
            <w:tcMar>
              <w:top w:w="16" w:type="dxa"/>
              <w:left w:w="16" w:type="dxa"/>
              <w:right w:w="16" w:type="dxa"/>
            </w:tcMar>
            <w:vAlign w:val="center"/>
          </w:tcPr>
          <w:p w14:paraId="50767518">
            <w:pPr>
              <w:adjustRightInd w:val="0"/>
              <w:snapToGrid w:val="0"/>
              <w:spacing w:line="240" w:lineRule="auto"/>
              <w:jc w:val="center"/>
              <w:rPr>
                <w:rFonts w:hint="default" w:ascii="Times New Roman" w:hAnsi="Times New Roman" w:cs="Times New Roman"/>
                <w:color w:val="000000"/>
                <w:szCs w:val="21"/>
                <w:highlight w:val="none"/>
                <w:u w:val="none"/>
              </w:rPr>
            </w:pPr>
            <w:r>
              <w:rPr>
                <w:rFonts w:hint="default" w:ascii="Times New Roman" w:hAnsi="Times New Roman" w:eastAsia="宋体" w:cs="Times New Roman"/>
                <w:color w:val="000000"/>
                <w:szCs w:val="21"/>
                <w:highlight w:val="none"/>
                <w:u w:val="none"/>
              </w:rPr>
              <w:t>建设单位联系人</w:t>
            </w:r>
          </w:p>
        </w:tc>
        <w:tc>
          <w:tcPr>
            <w:tcW w:w="2048" w:type="dxa"/>
            <w:noWrap w:val="0"/>
            <w:vAlign w:val="center"/>
          </w:tcPr>
          <w:p w14:paraId="1B74EB1D">
            <w:pPr>
              <w:adjustRightInd w:val="0"/>
              <w:snapToGrid w:val="0"/>
              <w:spacing w:line="240" w:lineRule="auto"/>
              <w:jc w:val="center"/>
              <w:rPr>
                <w:rFonts w:hint="default" w:ascii="Times New Roman" w:hAnsi="Times New Roman" w:eastAsia="宋体" w:cs="Times New Roman"/>
                <w:color w:val="000000"/>
                <w:szCs w:val="21"/>
                <w:highlight w:val="none"/>
                <w:u w:val="none"/>
                <w:lang w:val="en-US" w:eastAsia="zh-CN"/>
              </w:rPr>
            </w:pPr>
            <w:r>
              <w:rPr>
                <w:rFonts w:hint="eastAsia" w:cs="Times New Roman"/>
                <w:color w:val="000000"/>
                <w:szCs w:val="21"/>
                <w:highlight w:val="none"/>
                <w:u w:val="none"/>
                <w:lang w:val="en-US" w:eastAsia="zh-CN"/>
              </w:rPr>
              <w:t>***</w:t>
            </w:r>
          </w:p>
        </w:tc>
        <w:tc>
          <w:tcPr>
            <w:tcW w:w="1905" w:type="dxa"/>
            <w:noWrap w:val="0"/>
            <w:vAlign w:val="center"/>
          </w:tcPr>
          <w:p w14:paraId="734B7E9D">
            <w:pPr>
              <w:adjustRightInd w:val="0"/>
              <w:snapToGrid w:val="0"/>
              <w:spacing w:line="240" w:lineRule="auto"/>
              <w:jc w:val="center"/>
              <w:rPr>
                <w:rFonts w:hint="default" w:ascii="Times New Roman" w:hAnsi="Times New Roman" w:cs="Times New Roman"/>
                <w:color w:val="000000"/>
                <w:szCs w:val="21"/>
                <w:highlight w:val="none"/>
                <w:u w:val="none"/>
              </w:rPr>
            </w:pPr>
            <w:r>
              <w:rPr>
                <w:rFonts w:hint="default" w:ascii="Times New Roman" w:hAnsi="Times New Roman" w:cs="Times New Roman"/>
                <w:color w:val="000000"/>
                <w:szCs w:val="21"/>
                <w:highlight w:val="none"/>
                <w:u w:val="none"/>
              </w:rPr>
              <w:t>联系方式</w:t>
            </w:r>
          </w:p>
        </w:tc>
        <w:tc>
          <w:tcPr>
            <w:tcW w:w="3112" w:type="dxa"/>
            <w:noWrap w:val="0"/>
            <w:vAlign w:val="center"/>
          </w:tcPr>
          <w:p w14:paraId="49EA24CD">
            <w:pPr>
              <w:adjustRightInd w:val="0"/>
              <w:snapToGrid w:val="0"/>
              <w:spacing w:line="240" w:lineRule="auto"/>
              <w:jc w:val="center"/>
              <w:rPr>
                <w:rFonts w:hint="default" w:ascii="Times New Roman" w:hAnsi="Times New Roman" w:eastAsia="宋体" w:cs="Times New Roman"/>
                <w:color w:val="000000"/>
                <w:szCs w:val="21"/>
                <w:highlight w:val="none"/>
                <w:u w:val="none"/>
                <w:lang w:val="en-US" w:eastAsia="zh-CN"/>
              </w:rPr>
            </w:pPr>
            <w:r>
              <w:rPr>
                <w:rFonts w:hint="eastAsia" w:cs="Times New Roman"/>
                <w:color w:val="000000"/>
                <w:szCs w:val="21"/>
                <w:highlight w:val="none"/>
                <w:u w:val="none"/>
                <w:lang w:val="en-US" w:eastAsia="zh-CN"/>
              </w:rPr>
              <w:t>***</w:t>
            </w:r>
          </w:p>
        </w:tc>
      </w:tr>
      <w:tr w14:paraId="27BD3E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8" w:type="dxa"/>
            <w:left w:w="108" w:type="dxa"/>
            <w:bottom w:w="108" w:type="dxa"/>
            <w:right w:w="108" w:type="dxa"/>
          </w:tblCellMar>
        </w:tblPrEx>
        <w:trPr>
          <w:trHeight w:val="397" w:hRule="atLeast"/>
        </w:trPr>
        <w:tc>
          <w:tcPr>
            <w:tcW w:w="1995" w:type="dxa"/>
            <w:gridSpan w:val="2"/>
            <w:noWrap w:val="0"/>
            <w:tcMar>
              <w:top w:w="16" w:type="dxa"/>
              <w:left w:w="16" w:type="dxa"/>
              <w:right w:w="16" w:type="dxa"/>
            </w:tcMar>
            <w:vAlign w:val="center"/>
          </w:tcPr>
          <w:p w14:paraId="191C6AFD">
            <w:pPr>
              <w:adjustRightInd w:val="0"/>
              <w:snapToGrid w:val="0"/>
              <w:spacing w:line="240" w:lineRule="auto"/>
              <w:jc w:val="center"/>
              <w:rPr>
                <w:rFonts w:hint="default" w:ascii="Times New Roman" w:hAnsi="Times New Roman" w:cs="Times New Roman"/>
                <w:color w:val="000000"/>
                <w:szCs w:val="21"/>
                <w:u w:val="none"/>
              </w:rPr>
            </w:pPr>
            <w:r>
              <w:rPr>
                <w:rFonts w:hint="default" w:ascii="Times New Roman" w:hAnsi="Times New Roman" w:cs="Times New Roman"/>
                <w:color w:val="000000"/>
                <w:szCs w:val="21"/>
                <w:u w:val="none"/>
              </w:rPr>
              <w:t>建设地点</w:t>
            </w:r>
          </w:p>
        </w:tc>
        <w:tc>
          <w:tcPr>
            <w:tcW w:w="7065" w:type="dxa"/>
            <w:gridSpan w:val="3"/>
            <w:noWrap w:val="0"/>
            <w:vAlign w:val="center"/>
          </w:tcPr>
          <w:p w14:paraId="6CEA26E2">
            <w:pPr>
              <w:adjustRightInd w:val="0"/>
              <w:snapToGrid w:val="0"/>
              <w:spacing w:line="240" w:lineRule="auto"/>
              <w:jc w:val="center"/>
              <w:rPr>
                <w:rFonts w:hint="default" w:ascii="Times New Roman" w:hAnsi="Times New Roman" w:eastAsia="宋体" w:cs="Times New Roman"/>
                <w:color w:val="000000"/>
                <w:szCs w:val="21"/>
                <w:u w:val="none"/>
                <w:lang w:val="en-US" w:eastAsia="zh-CN"/>
              </w:rPr>
            </w:pPr>
            <w:r>
              <w:rPr>
                <w:rFonts w:hint="eastAsia" w:cs="Times New Roman"/>
                <w:color w:val="000000"/>
                <w:szCs w:val="21"/>
                <w:u w:val="none"/>
                <w:lang w:val="en-US" w:eastAsia="zh-CN"/>
              </w:rPr>
              <w:t>福清市东瀚镇海亮村东侧海域</w:t>
            </w:r>
          </w:p>
        </w:tc>
      </w:tr>
      <w:tr w14:paraId="7EA3F3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8" w:type="dxa"/>
            <w:left w:w="108" w:type="dxa"/>
            <w:bottom w:w="108" w:type="dxa"/>
            <w:right w:w="108" w:type="dxa"/>
          </w:tblCellMar>
        </w:tblPrEx>
        <w:trPr>
          <w:trHeight w:val="397" w:hRule="atLeast"/>
        </w:trPr>
        <w:tc>
          <w:tcPr>
            <w:tcW w:w="1995" w:type="dxa"/>
            <w:gridSpan w:val="2"/>
            <w:noWrap w:val="0"/>
            <w:tcMar>
              <w:top w:w="16" w:type="dxa"/>
              <w:left w:w="16" w:type="dxa"/>
              <w:right w:w="16" w:type="dxa"/>
            </w:tcMar>
            <w:vAlign w:val="center"/>
          </w:tcPr>
          <w:p w14:paraId="078F5643">
            <w:pPr>
              <w:adjustRightInd w:val="0"/>
              <w:snapToGrid w:val="0"/>
              <w:spacing w:line="240" w:lineRule="auto"/>
              <w:jc w:val="center"/>
              <w:rPr>
                <w:rFonts w:hint="default" w:ascii="Times New Roman" w:hAnsi="Times New Roman" w:cs="Times New Roman"/>
                <w:color w:val="000000"/>
                <w:szCs w:val="21"/>
                <w:u w:val="none"/>
              </w:rPr>
            </w:pPr>
            <w:r>
              <w:rPr>
                <w:rFonts w:hint="default" w:ascii="Times New Roman" w:hAnsi="Times New Roman" w:cs="Times New Roman"/>
                <w:color w:val="000000"/>
                <w:szCs w:val="21"/>
                <w:u w:val="none"/>
              </w:rPr>
              <w:t>地理坐标</w:t>
            </w:r>
          </w:p>
        </w:tc>
        <w:tc>
          <w:tcPr>
            <w:tcW w:w="7065" w:type="dxa"/>
            <w:gridSpan w:val="3"/>
            <w:noWrap w:val="0"/>
            <w:vAlign w:val="center"/>
          </w:tcPr>
          <w:p w14:paraId="673EE5BB">
            <w:pPr>
              <w:adjustRightInd w:val="0"/>
              <w:snapToGrid w:val="0"/>
              <w:spacing w:line="240" w:lineRule="auto"/>
              <w:jc w:val="center"/>
              <w:rPr>
                <w:rFonts w:hint="default" w:ascii="Times New Roman" w:hAnsi="Times New Roman" w:cs="Times New Roman"/>
                <w:color w:val="000000"/>
                <w:szCs w:val="21"/>
                <w:u w:val="none"/>
              </w:rPr>
            </w:pPr>
            <w:r>
              <w:rPr>
                <w:rFonts w:hint="default" w:ascii="Times New Roman" w:hAnsi="Times New Roman" w:cs="Times New Roman"/>
                <w:color w:val="000000"/>
                <w:szCs w:val="21"/>
                <w:u w:val="none"/>
                <w:lang w:val="en-US" w:eastAsia="zh-CN"/>
              </w:rPr>
              <w:t>119°39′15.4</w:t>
            </w:r>
            <w:r>
              <w:rPr>
                <w:rFonts w:hint="eastAsia" w:cs="Times New Roman"/>
                <w:color w:val="000000"/>
                <w:szCs w:val="21"/>
                <w:u w:val="none"/>
                <w:lang w:val="en-US" w:eastAsia="zh-CN"/>
              </w:rPr>
              <w:t>10</w:t>
            </w:r>
            <w:r>
              <w:rPr>
                <w:rFonts w:hint="default" w:ascii="Times New Roman" w:hAnsi="Times New Roman" w:cs="Times New Roman"/>
                <w:color w:val="000000"/>
                <w:szCs w:val="21"/>
                <w:u w:val="none"/>
                <w:lang w:val="en-US" w:eastAsia="zh-CN"/>
              </w:rPr>
              <w:t>″E，25°23′12.63</w:t>
            </w:r>
            <w:r>
              <w:rPr>
                <w:rFonts w:hint="eastAsia" w:cs="Times New Roman"/>
                <w:color w:val="000000"/>
                <w:szCs w:val="21"/>
                <w:u w:val="none"/>
                <w:lang w:val="en-US" w:eastAsia="zh-CN"/>
              </w:rPr>
              <w:t>5</w:t>
            </w:r>
            <w:r>
              <w:rPr>
                <w:rFonts w:hint="default" w:ascii="Times New Roman" w:hAnsi="Times New Roman" w:cs="Times New Roman"/>
                <w:color w:val="000000"/>
                <w:szCs w:val="21"/>
                <w:u w:val="none"/>
                <w:lang w:val="en-US" w:eastAsia="zh-CN"/>
              </w:rPr>
              <w:t>″N</w:t>
            </w:r>
          </w:p>
        </w:tc>
      </w:tr>
      <w:tr w14:paraId="23037A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8" w:type="dxa"/>
            <w:left w:w="108" w:type="dxa"/>
            <w:bottom w:w="108" w:type="dxa"/>
            <w:right w:w="108" w:type="dxa"/>
          </w:tblCellMar>
        </w:tblPrEx>
        <w:trPr>
          <w:trHeight w:val="850" w:hRule="atLeast"/>
        </w:trPr>
        <w:tc>
          <w:tcPr>
            <w:tcW w:w="1995" w:type="dxa"/>
            <w:gridSpan w:val="2"/>
            <w:noWrap w:val="0"/>
            <w:tcMar>
              <w:top w:w="16" w:type="dxa"/>
              <w:left w:w="16" w:type="dxa"/>
              <w:right w:w="16" w:type="dxa"/>
            </w:tcMar>
            <w:vAlign w:val="center"/>
          </w:tcPr>
          <w:p w14:paraId="07AD39A4">
            <w:pPr>
              <w:adjustRightInd w:val="0"/>
              <w:snapToGrid w:val="0"/>
              <w:spacing w:line="240" w:lineRule="auto"/>
              <w:jc w:val="center"/>
              <w:rPr>
                <w:rFonts w:hint="default" w:ascii="Times New Roman" w:hAnsi="Times New Roman" w:cs="Times New Roman"/>
                <w:color w:val="000000"/>
                <w:szCs w:val="21"/>
                <w:u w:val="none"/>
              </w:rPr>
            </w:pPr>
            <w:r>
              <w:rPr>
                <w:rFonts w:hint="default" w:ascii="Times New Roman" w:hAnsi="Times New Roman" w:cs="Times New Roman"/>
                <w:color w:val="000000"/>
                <w:szCs w:val="21"/>
                <w:u w:val="none"/>
              </w:rPr>
              <w:t>建设项目</w:t>
            </w:r>
          </w:p>
          <w:p w14:paraId="39E54AA2">
            <w:pPr>
              <w:adjustRightInd w:val="0"/>
              <w:snapToGrid w:val="0"/>
              <w:spacing w:line="240" w:lineRule="auto"/>
              <w:jc w:val="center"/>
              <w:rPr>
                <w:rFonts w:hint="default" w:ascii="Times New Roman" w:hAnsi="Times New Roman" w:cs="Times New Roman"/>
                <w:color w:val="000000"/>
                <w:szCs w:val="21"/>
                <w:u w:val="none"/>
              </w:rPr>
            </w:pPr>
            <w:r>
              <w:rPr>
                <w:rFonts w:hint="default" w:ascii="Times New Roman" w:hAnsi="Times New Roman" w:cs="Times New Roman"/>
                <w:color w:val="000000"/>
                <w:szCs w:val="21"/>
                <w:u w:val="none"/>
              </w:rPr>
              <w:t>行业类别</w:t>
            </w:r>
          </w:p>
        </w:tc>
        <w:tc>
          <w:tcPr>
            <w:tcW w:w="2048" w:type="dxa"/>
            <w:noWrap w:val="0"/>
            <w:vAlign w:val="center"/>
          </w:tcPr>
          <w:p w14:paraId="4B513643">
            <w:pPr>
              <w:adjustRightInd w:val="0"/>
              <w:snapToGrid w:val="0"/>
              <w:spacing w:line="240" w:lineRule="auto"/>
              <w:jc w:val="center"/>
              <w:rPr>
                <w:rFonts w:hint="default" w:ascii="Times New Roman" w:hAnsi="Times New Roman" w:cs="Times New Roman"/>
                <w:color w:val="000000"/>
                <w:szCs w:val="21"/>
                <w:u w:val="none"/>
                <w:lang w:val="en-US"/>
              </w:rPr>
            </w:pPr>
            <w:r>
              <w:rPr>
                <w:rFonts w:hint="eastAsia" w:cs="Times New Roman"/>
                <w:color w:val="000000"/>
                <w:szCs w:val="21"/>
                <w:u w:val="none"/>
                <w:lang w:val="en-US" w:eastAsia="zh-CN"/>
              </w:rPr>
              <w:t>五十二、交通运输业、管道运输业——143航道工程、水运辅助工程——其他</w:t>
            </w:r>
          </w:p>
        </w:tc>
        <w:tc>
          <w:tcPr>
            <w:tcW w:w="1905" w:type="dxa"/>
            <w:noWrap w:val="0"/>
            <w:vAlign w:val="center"/>
          </w:tcPr>
          <w:p w14:paraId="1CBD8075">
            <w:pPr>
              <w:adjustRightInd w:val="0"/>
              <w:snapToGrid w:val="0"/>
              <w:spacing w:line="240" w:lineRule="auto"/>
              <w:jc w:val="center"/>
              <w:rPr>
                <w:rFonts w:hint="default" w:ascii="Times New Roman" w:hAnsi="Times New Roman" w:cs="Times New Roman"/>
                <w:color w:val="000000"/>
                <w:szCs w:val="21"/>
                <w:u w:val="none"/>
              </w:rPr>
            </w:pPr>
            <w:r>
              <w:rPr>
                <w:rFonts w:hint="default" w:ascii="Times New Roman" w:hAnsi="Times New Roman" w:cs="Times New Roman"/>
                <w:color w:val="000000"/>
                <w:szCs w:val="21"/>
                <w:u w:val="none"/>
              </w:rPr>
              <w:t>用地（用海）面积（m</w:t>
            </w:r>
            <w:r>
              <w:rPr>
                <w:rFonts w:hint="default" w:ascii="Times New Roman" w:hAnsi="Times New Roman" w:cs="Times New Roman"/>
                <w:color w:val="000000"/>
                <w:szCs w:val="21"/>
                <w:u w:val="none"/>
                <w:vertAlign w:val="superscript"/>
              </w:rPr>
              <w:t>2</w:t>
            </w:r>
            <w:r>
              <w:rPr>
                <w:rFonts w:hint="default" w:ascii="Times New Roman" w:hAnsi="Times New Roman" w:cs="Times New Roman"/>
                <w:color w:val="000000"/>
                <w:szCs w:val="21"/>
                <w:u w:val="none"/>
              </w:rPr>
              <w:t>）/长度（km）</w:t>
            </w:r>
          </w:p>
        </w:tc>
        <w:tc>
          <w:tcPr>
            <w:tcW w:w="3112" w:type="dxa"/>
            <w:noWrap w:val="0"/>
            <w:vAlign w:val="center"/>
          </w:tcPr>
          <w:p w14:paraId="2D0C9A0E">
            <w:pPr>
              <w:adjustRightInd w:val="0"/>
              <w:snapToGrid w:val="0"/>
              <w:spacing w:line="240" w:lineRule="auto"/>
              <w:jc w:val="center"/>
              <w:rPr>
                <w:rFonts w:hint="default" w:ascii="Times New Roman" w:hAnsi="Times New Roman" w:eastAsia="宋体" w:cs="Times New Roman"/>
                <w:color w:val="000000"/>
                <w:szCs w:val="21"/>
                <w:u w:val="none"/>
                <w:lang w:val="en-US" w:eastAsia="zh-CN"/>
              </w:rPr>
            </w:pPr>
            <w:r>
              <w:rPr>
                <w:rFonts w:hint="default" w:ascii="Times New Roman" w:hAnsi="Times New Roman" w:cs="Times New Roman"/>
                <w:color w:val="000000"/>
                <w:szCs w:val="21"/>
                <w:u w:val="none"/>
                <w:lang w:val="en-US" w:eastAsia="zh-CN"/>
              </w:rPr>
              <w:t>用海面积为89</w:t>
            </w:r>
            <w:r>
              <w:rPr>
                <w:rFonts w:hint="eastAsia" w:cs="Times New Roman"/>
                <w:color w:val="000000"/>
                <w:szCs w:val="21"/>
                <w:u w:val="none"/>
                <w:lang w:val="en-US" w:eastAsia="zh-CN"/>
              </w:rPr>
              <w:t>.</w:t>
            </w:r>
            <w:r>
              <w:rPr>
                <w:rFonts w:hint="default" w:ascii="Times New Roman" w:hAnsi="Times New Roman" w:cs="Times New Roman"/>
                <w:color w:val="000000"/>
                <w:szCs w:val="21"/>
                <w:u w:val="none"/>
                <w:lang w:val="en-US" w:eastAsia="zh-CN"/>
              </w:rPr>
              <w:t>8406</w:t>
            </w:r>
            <w:r>
              <w:rPr>
                <w:rFonts w:hint="eastAsia" w:cs="Times New Roman"/>
                <w:color w:val="000000"/>
                <w:szCs w:val="21"/>
                <w:u w:val="none"/>
                <w:lang w:val="en-US" w:eastAsia="zh-CN"/>
              </w:rPr>
              <w:t>h</w:t>
            </w:r>
            <w:r>
              <w:rPr>
                <w:rFonts w:hint="default" w:ascii="Times New Roman" w:hAnsi="Times New Roman" w:cs="Times New Roman"/>
                <w:color w:val="000000"/>
                <w:szCs w:val="21"/>
                <w:u w:val="none"/>
                <w:lang w:val="en-US" w:eastAsia="zh-CN"/>
              </w:rPr>
              <w:t>m</w:t>
            </w:r>
            <w:r>
              <w:rPr>
                <w:rFonts w:hint="default" w:ascii="Times New Roman" w:hAnsi="Times New Roman" w:cs="Times New Roman"/>
                <w:color w:val="000000"/>
                <w:szCs w:val="21"/>
                <w:u w:val="none"/>
                <w:vertAlign w:val="superscript"/>
                <w:lang w:val="en-US" w:eastAsia="zh-CN"/>
              </w:rPr>
              <w:t>2</w:t>
            </w:r>
            <w:r>
              <w:rPr>
                <w:rFonts w:hint="eastAsia" w:cs="Times New Roman"/>
                <w:color w:val="000000"/>
                <w:szCs w:val="21"/>
                <w:u w:val="none"/>
                <w:lang w:val="en-US" w:eastAsia="zh-CN"/>
              </w:rPr>
              <w:t>，用地面积为25.32万m</w:t>
            </w:r>
            <w:r>
              <w:rPr>
                <w:rFonts w:hint="eastAsia" w:cs="Times New Roman"/>
                <w:color w:val="000000"/>
                <w:szCs w:val="21"/>
                <w:u w:val="none"/>
                <w:vertAlign w:val="superscript"/>
                <w:lang w:val="en-US" w:eastAsia="zh-CN"/>
              </w:rPr>
              <w:t>2</w:t>
            </w:r>
            <w:r>
              <w:rPr>
                <w:rFonts w:hint="eastAsia" w:cs="Times New Roman"/>
                <w:color w:val="000000"/>
                <w:szCs w:val="21"/>
                <w:u w:val="none"/>
                <w:lang w:val="en-US" w:eastAsia="zh-CN"/>
              </w:rPr>
              <w:t>（新建陆域面积23.49万</w:t>
            </w:r>
            <w:r>
              <w:rPr>
                <w:rFonts w:hint="default" w:ascii="Times New Roman" w:hAnsi="Times New Roman" w:cs="Times New Roman"/>
                <w:color w:val="000000"/>
                <w:szCs w:val="21"/>
                <w:u w:val="none"/>
                <w:lang w:val="en-US" w:eastAsia="zh-CN"/>
              </w:rPr>
              <w:t>m</w:t>
            </w:r>
            <w:r>
              <w:rPr>
                <w:rFonts w:hint="default" w:ascii="Times New Roman" w:hAnsi="Times New Roman" w:cs="Times New Roman"/>
                <w:color w:val="000000"/>
                <w:szCs w:val="21"/>
                <w:u w:val="none"/>
                <w:vertAlign w:val="superscript"/>
                <w:lang w:val="en-US" w:eastAsia="zh-CN"/>
              </w:rPr>
              <w:t>2</w:t>
            </w:r>
            <w:r>
              <w:rPr>
                <w:rFonts w:hint="eastAsia" w:cs="Times New Roman"/>
                <w:color w:val="000000"/>
                <w:szCs w:val="21"/>
                <w:u w:val="none"/>
                <w:lang w:val="en-US" w:eastAsia="zh-CN"/>
              </w:rPr>
              <w:t>，现有二级渔港陆域1.83万</w:t>
            </w:r>
            <w:r>
              <w:rPr>
                <w:rFonts w:hint="default" w:ascii="Times New Roman" w:hAnsi="Times New Roman" w:cs="Times New Roman"/>
                <w:color w:val="000000"/>
                <w:szCs w:val="21"/>
                <w:u w:val="none"/>
                <w:lang w:val="en-US" w:eastAsia="zh-CN"/>
              </w:rPr>
              <w:t>m</w:t>
            </w:r>
            <w:r>
              <w:rPr>
                <w:rFonts w:hint="default" w:ascii="Times New Roman" w:hAnsi="Times New Roman" w:cs="Times New Roman"/>
                <w:color w:val="000000"/>
                <w:szCs w:val="21"/>
                <w:u w:val="none"/>
                <w:vertAlign w:val="superscript"/>
                <w:lang w:val="en-US" w:eastAsia="zh-CN"/>
              </w:rPr>
              <w:t>2</w:t>
            </w:r>
            <w:r>
              <w:rPr>
                <w:rFonts w:hint="eastAsia" w:cs="Times New Roman"/>
                <w:color w:val="000000"/>
                <w:szCs w:val="21"/>
                <w:u w:val="none"/>
                <w:lang w:val="en-US" w:eastAsia="zh-CN"/>
              </w:rPr>
              <w:t>）</w:t>
            </w:r>
          </w:p>
        </w:tc>
      </w:tr>
      <w:tr w14:paraId="517763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8" w:type="dxa"/>
            <w:left w:w="108" w:type="dxa"/>
            <w:bottom w:w="108" w:type="dxa"/>
            <w:right w:w="108" w:type="dxa"/>
          </w:tblCellMar>
        </w:tblPrEx>
        <w:trPr>
          <w:trHeight w:val="104" w:hRule="atLeast"/>
        </w:trPr>
        <w:tc>
          <w:tcPr>
            <w:tcW w:w="1995" w:type="dxa"/>
            <w:gridSpan w:val="2"/>
            <w:noWrap w:val="0"/>
            <w:tcMar>
              <w:top w:w="16" w:type="dxa"/>
              <w:left w:w="16" w:type="dxa"/>
              <w:right w:w="16" w:type="dxa"/>
            </w:tcMar>
            <w:vAlign w:val="center"/>
          </w:tcPr>
          <w:p w14:paraId="6DBB2BD3">
            <w:pPr>
              <w:adjustRightInd w:val="0"/>
              <w:snapToGrid w:val="0"/>
              <w:spacing w:line="240" w:lineRule="auto"/>
              <w:jc w:val="center"/>
              <w:rPr>
                <w:rFonts w:hint="default" w:ascii="Times New Roman" w:hAnsi="Times New Roman" w:cs="Times New Roman"/>
                <w:color w:val="000000"/>
                <w:szCs w:val="21"/>
                <w:u w:val="none"/>
              </w:rPr>
            </w:pPr>
            <w:r>
              <w:rPr>
                <w:rFonts w:hint="default" w:ascii="Times New Roman" w:hAnsi="Times New Roman" w:cs="Times New Roman"/>
                <w:color w:val="000000"/>
                <w:szCs w:val="21"/>
                <w:u w:val="none"/>
              </w:rPr>
              <w:t>建设性质</w:t>
            </w:r>
          </w:p>
        </w:tc>
        <w:tc>
          <w:tcPr>
            <w:tcW w:w="2048" w:type="dxa"/>
            <w:noWrap w:val="0"/>
            <w:vAlign w:val="center"/>
          </w:tcPr>
          <w:p w14:paraId="3C8B0AC1">
            <w:pPr>
              <w:adjustRightInd w:val="0"/>
              <w:snapToGrid w:val="0"/>
              <w:spacing w:line="240" w:lineRule="auto"/>
              <w:jc w:val="left"/>
              <w:rPr>
                <w:rFonts w:hint="default" w:ascii="Times New Roman" w:hAnsi="Times New Roman" w:cs="Times New Roman"/>
                <w:color w:val="000000"/>
                <w:szCs w:val="21"/>
                <w:u w:val="none"/>
              </w:rPr>
            </w:pPr>
            <w:r>
              <w:rPr>
                <w:rFonts w:hint="default" w:ascii="Times New Roman" w:hAnsi="Times New Roman" w:cs="Times New Roman"/>
                <w:color w:val="000000"/>
                <w:szCs w:val="21"/>
                <w:u w:val="none"/>
              </w:rPr>
              <w:sym w:font="Wingdings 2" w:char="00A3"/>
            </w:r>
            <w:r>
              <w:rPr>
                <w:rFonts w:hint="default" w:ascii="Times New Roman" w:hAnsi="Times New Roman" w:cs="Times New Roman"/>
                <w:color w:val="000000"/>
                <w:szCs w:val="21"/>
                <w:u w:val="none"/>
              </w:rPr>
              <w:t>新建（迁建）</w:t>
            </w:r>
          </w:p>
          <w:p w14:paraId="5D437C6C">
            <w:pPr>
              <w:adjustRightInd w:val="0"/>
              <w:snapToGrid w:val="0"/>
              <w:spacing w:line="240" w:lineRule="auto"/>
              <w:jc w:val="left"/>
              <w:rPr>
                <w:rFonts w:hint="default" w:ascii="Times New Roman" w:hAnsi="Times New Roman" w:cs="Times New Roman"/>
                <w:color w:val="000000"/>
                <w:szCs w:val="21"/>
                <w:u w:val="none"/>
              </w:rPr>
            </w:pPr>
            <w:r>
              <w:rPr>
                <w:rFonts w:hint="default" w:ascii="Times New Roman" w:hAnsi="Times New Roman" w:cs="Times New Roman"/>
                <w:color w:val="000000"/>
                <w:szCs w:val="21"/>
                <w:u w:val="none"/>
              </w:rPr>
              <w:sym w:font="Wingdings 2" w:char="00A3"/>
            </w:r>
            <w:r>
              <w:rPr>
                <w:rFonts w:hint="default" w:ascii="Times New Roman" w:hAnsi="Times New Roman" w:cs="Times New Roman"/>
                <w:color w:val="000000"/>
                <w:szCs w:val="21"/>
                <w:u w:val="none"/>
              </w:rPr>
              <w:t>改建</w:t>
            </w:r>
          </w:p>
          <w:p w14:paraId="366D2E2A">
            <w:pPr>
              <w:adjustRightInd w:val="0"/>
              <w:snapToGrid w:val="0"/>
              <w:spacing w:line="240" w:lineRule="auto"/>
              <w:jc w:val="left"/>
              <w:rPr>
                <w:rFonts w:hint="default" w:ascii="Times New Roman" w:hAnsi="Times New Roman" w:cs="Times New Roman"/>
                <w:color w:val="000000"/>
                <w:szCs w:val="21"/>
                <w:u w:val="none"/>
              </w:rPr>
            </w:pPr>
            <w:r>
              <w:rPr>
                <w:rFonts w:hint="default" w:ascii="Times New Roman" w:hAnsi="Times New Roman" w:cs="Times New Roman"/>
                <w:color w:val="000000"/>
                <w:szCs w:val="21"/>
                <w:u w:val="none"/>
              </w:rPr>
              <w:sym w:font="Wingdings 2" w:char="0052"/>
            </w:r>
            <w:r>
              <w:rPr>
                <w:rFonts w:hint="default" w:ascii="Times New Roman" w:hAnsi="Times New Roman" w:cs="Times New Roman"/>
                <w:color w:val="000000"/>
                <w:szCs w:val="21"/>
                <w:u w:val="none"/>
              </w:rPr>
              <w:t>扩建</w:t>
            </w:r>
          </w:p>
          <w:p w14:paraId="2CE46FB3">
            <w:pPr>
              <w:adjustRightInd w:val="0"/>
              <w:snapToGrid w:val="0"/>
              <w:spacing w:line="240" w:lineRule="auto"/>
              <w:jc w:val="left"/>
              <w:rPr>
                <w:rFonts w:hint="default" w:ascii="Times New Roman" w:hAnsi="Times New Roman" w:cs="Times New Roman"/>
                <w:color w:val="000000"/>
                <w:szCs w:val="21"/>
                <w:u w:val="none"/>
              </w:rPr>
            </w:pPr>
            <w:r>
              <w:rPr>
                <w:rFonts w:hint="default" w:ascii="Times New Roman" w:hAnsi="Times New Roman" w:cs="Times New Roman"/>
                <w:color w:val="000000"/>
                <w:szCs w:val="21"/>
                <w:u w:val="none"/>
              </w:rPr>
              <w:sym w:font="Wingdings 2" w:char="00A3"/>
            </w:r>
            <w:r>
              <w:rPr>
                <w:rFonts w:hint="default" w:ascii="Times New Roman" w:hAnsi="Times New Roman" w:cs="Times New Roman"/>
                <w:color w:val="000000"/>
                <w:szCs w:val="21"/>
                <w:u w:val="none"/>
              </w:rPr>
              <w:t>技术改造</w:t>
            </w:r>
          </w:p>
        </w:tc>
        <w:tc>
          <w:tcPr>
            <w:tcW w:w="1905" w:type="dxa"/>
            <w:noWrap w:val="0"/>
            <w:vAlign w:val="center"/>
          </w:tcPr>
          <w:p w14:paraId="4E5276BA">
            <w:pPr>
              <w:adjustRightInd w:val="0"/>
              <w:snapToGrid w:val="0"/>
              <w:spacing w:line="240" w:lineRule="auto"/>
              <w:jc w:val="center"/>
              <w:rPr>
                <w:rFonts w:hint="default" w:ascii="Times New Roman" w:hAnsi="Times New Roman" w:cs="Times New Roman"/>
                <w:color w:val="000000"/>
                <w:szCs w:val="21"/>
                <w:u w:val="none"/>
              </w:rPr>
            </w:pPr>
            <w:r>
              <w:rPr>
                <w:rFonts w:hint="default" w:ascii="Times New Roman" w:hAnsi="Times New Roman" w:cs="Times New Roman"/>
                <w:color w:val="000000"/>
                <w:szCs w:val="21"/>
                <w:u w:val="none"/>
              </w:rPr>
              <w:t>建设项目</w:t>
            </w:r>
          </w:p>
          <w:p w14:paraId="39BED8BF">
            <w:pPr>
              <w:adjustRightInd w:val="0"/>
              <w:snapToGrid w:val="0"/>
              <w:spacing w:line="240" w:lineRule="auto"/>
              <w:jc w:val="center"/>
              <w:rPr>
                <w:rFonts w:hint="default" w:ascii="Times New Roman" w:hAnsi="Times New Roman" w:cs="Times New Roman"/>
                <w:color w:val="000000"/>
                <w:szCs w:val="21"/>
                <w:u w:val="none"/>
              </w:rPr>
            </w:pPr>
            <w:r>
              <w:rPr>
                <w:rFonts w:hint="default" w:ascii="Times New Roman" w:hAnsi="Times New Roman" w:cs="Times New Roman"/>
                <w:color w:val="000000"/>
                <w:szCs w:val="21"/>
                <w:u w:val="none"/>
              </w:rPr>
              <w:t>申报情形</w:t>
            </w:r>
          </w:p>
        </w:tc>
        <w:tc>
          <w:tcPr>
            <w:tcW w:w="3112" w:type="dxa"/>
            <w:noWrap w:val="0"/>
            <w:vAlign w:val="center"/>
          </w:tcPr>
          <w:p w14:paraId="3C652C7B">
            <w:pPr>
              <w:adjustRightInd w:val="0"/>
              <w:snapToGrid w:val="0"/>
              <w:spacing w:line="240" w:lineRule="auto"/>
              <w:jc w:val="left"/>
              <w:rPr>
                <w:rFonts w:hint="default" w:ascii="Times New Roman" w:hAnsi="Times New Roman" w:cs="Times New Roman"/>
                <w:color w:val="000000"/>
                <w:szCs w:val="21"/>
                <w:u w:val="none"/>
              </w:rPr>
            </w:pPr>
            <w:r>
              <w:rPr>
                <w:rFonts w:hint="default" w:ascii="Times New Roman" w:hAnsi="Times New Roman" w:cs="Times New Roman"/>
                <w:color w:val="000000"/>
                <w:szCs w:val="21"/>
                <w:u w:val="none"/>
              </w:rPr>
              <w:sym w:font="Wingdings 2" w:char="0052"/>
            </w:r>
            <w:r>
              <w:rPr>
                <w:rFonts w:hint="default" w:ascii="Times New Roman" w:hAnsi="Times New Roman" w:cs="Times New Roman"/>
                <w:color w:val="000000"/>
                <w:szCs w:val="21"/>
                <w:u w:val="none"/>
              </w:rPr>
              <w:t>首次申报项目</w:t>
            </w:r>
          </w:p>
          <w:p w14:paraId="0566F021">
            <w:pPr>
              <w:adjustRightInd w:val="0"/>
              <w:snapToGrid w:val="0"/>
              <w:spacing w:line="240" w:lineRule="auto"/>
              <w:jc w:val="left"/>
              <w:rPr>
                <w:rFonts w:hint="default" w:ascii="Times New Roman" w:hAnsi="Times New Roman" w:cs="Times New Roman"/>
                <w:color w:val="000000"/>
                <w:szCs w:val="21"/>
                <w:u w:val="none"/>
              </w:rPr>
            </w:pPr>
            <w:r>
              <w:rPr>
                <w:rFonts w:hint="default" w:ascii="Times New Roman" w:hAnsi="Times New Roman" w:cs="Times New Roman"/>
                <w:color w:val="000000"/>
                <w:szCs w:val="21"/>
                <w:u w:val="none"/>
              </w:rPr>
              <w:sym w:font="Wingdings 2" w:char="00A3"/>
            </w:r>
            <w:r>
              <w:rPr>
                <w:rFonts w:hint="default" w:ascii="Times New Roman" w:hAnsi="Times New Roman" w:cs="Times New Roman"/>
                <w:color w:val="000000"/>
                <w:szCs w:val="21"/>
                <w:u w:val="none"/>
              </w:rPr>
              <w:t>不予批准后再次申报项目</w:t>
            </w:r>
          </w:p>
          <w:p w14:paraId="6011681C">
            <w:pPr>
              <w:adjustRightInd w:val="0"/>
              <w:snapToGrid w:val="0"/>
              <w:spacing w:line="240" w:lineRule="auto"/>
              <w:jc w:val="left"/>
              <w:rPr>
                <w:rFonts w:hint="default" w:ascii="Times New Roman" w:hAnsi="Times New Roman" w:cs="Times New Roman"/>
                <w:color w:val="000000"/>
                <w:szCs w:val="21"/>
                <w:u w:val="none"/>
              </w:rPr>
            </w:pPr>
            <w:r>
              <w:rPr>
                <w:rFonts w:hint="default" w:ascii="Times New Roman" w:hAnsi="Times New Roman" w:cs="Times New Roman"/>
                <w:color w:val="000000"/>
                <w:szCs w:val="21"/>
                <w:u w:val="none"/>
              </w:rPr>
              <w:sym w:font="Wingdings 2" w:char="00A3"/>
            </w:r>
            <w:r>
              <w:rPr>
                <w:rFonts w:hint="default" w:ascii="Times New Roman" w:hAnsi="Times New Roman" w:cs="Times New Roman"/>
                <w:color w:val="000000"/>
                <w:szCs w:val="21"/>
                <w:u w:val="none"/>
              </w:rPr>
              <w:t>超五年重新审核项目</w:t>
            </w:r>
          </w:p>
          <w:p w14:paraId="07B79565">
            <w:pPr>
              <w:adjustRightInd w:val="0"/>
              <w:snapToGrid w:val="0"/>
              <w:spacing w:line="240" w:lineRule="auto"/>
              <w:rPr>
                <w:rFonts w:hint="default" w:ascii="Times New Roman" w:hAnsi="Times New Roman" w:cs="Times New Roman"/>
                <w:color w:val="000000"/>
                <w:szCs w:val="21"/>
                <w:u w:val="none"/>
              </w:rPr>
            </w:pPr>
            <w:r>
              <w:rPr>
                <w:rFonts w:hint="default" w:ascii="Times New Roman" w:hAnsi="Times New Roman" w:cs="Times New Roman"/>
                <w:color w:val="000000"/>
                <w:szCs w:val="21"/>
                <w:u w:val="none"/>
              </w:rPr>
              <w:sym w:font="Wingdings 2" w:char="00A3"/>
            </w:r>
            <w:r>
              <w:rPr>
                <w:rFonts w:hint="default" w:ascii="Times New Roman" w:hAnsi="Times New Roman" w:cs="Times New Roman"/>
                <w:color w:val="000000"/>
                <w:szCs w:val="21"/>
                <w:u w:val="none"/>
              </w:rPr>
              <w:t>重大变动重新报批项目</w:t>
            </w:r>
          </w:p>
        </w:tc>
      </w:tr>
      <w:tr w14:paraId="4FECAD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8" w:type="dxa"/>
            <w:left w:w="108" w:type="dxa"/>
            <w:bottom w:w="108" w:type="dxa"/>
            <w:right w:w="108" w:type="dxa"/>
          </w:tblCellMar>
        </w:tblPrEx>
        <w:trPr>
          <w:trHeight w:val="907" w:hRule="atLeast"/>
        </w:trPr>
        <w:tc>
          <w:tcPr>
            <w:tcW w:w="1995" w:type="dxa"/>
            <w:gridSpan w:val="2"/>
            <w:noWrap w:val="0"/>
            <w:tcMar>
              <w:top w:w="16" w:type="dxa"/>
              <w:left w:w="16" w:type="dxa"/>
              <w:right w:w="16" w:type="dxa"/>
            </w:tcMar>
            <w:vAlign w:val="center"/>
          </w:tcPr>
          <w:p w14:paraId="2D2404F0">
            <w:pPr>
              <w:adjustRightInd w:val="0"/>
              <w:snapToGrid w:val="0"/>
              <w:spacing w:line="240" w:lineRule="auto"/>
              <w:jc w:val="center"/>
              <w:rPr>
                <w:rFonts w:hint="default" w:ascii="Times New Roman" w:hAnsi="Times New Roman" w:cs="Times New Roman"/>
                <w:color w:val="000000"/>
                <w:szCs w:val="21"/>
                <w:highlight w:val="none"/>
                <w:u w:val="none"/>
              </w:rPr>
            </w:pPr>
            <w:r>
              <w:rPr>
                <w:rFonts w:hint="default" w:ascii="Times New Roman" w:hAnsi="Times New Roman" w:cs="Times New Roman"/>
                <w:color w:val="000000"/>
                <w:szCs w:val="21"/>
                <w:highlight w:val="none"/>
                <w:u w:val="none"/>
              </w:rPr>
              <w:t>项目审批（核准/</w:t>
            </w:r>
          </w:p>
          <w:p w14:paraId="627DEAB1">
            <w:pPr>
              <w:adjustRightInd w:val="0"/>
              <w:snapToGrid w:val="0"/>
              <w:spacing w:line="240" w:lineRule="auto"/>
              <w:jc w:val="center"/>
              <w:rPr>
                <w:rFonts w:hint="default" w:ascii="Times New Roman" w:hAnsi="Times New Roman" w:cs="Times New Roman"/>
                <w:color w:val="000000"/>
                <w:szCs w:val="21"/>
                <w:highlight w:val="none"/>
                <w:u w:val="none"/>
              </w:rPr>
            </w:pPr>
            <w:r>
              <w:rPr>
                <w:rFonts w:hint="default" w:ascii="Times New Roman" w:hAnsi="Times New Roman" w:cs="Times New Roman"/>
                <w:color w:val="000000"/>
                <w:szCs w:val="21"/>
                <w:highlight w:val="none"/>
                <w:u w:val="none"/>
              </w:rPr>
              <w:t>备案）部门（选填）</w:t>
            </w:r>
          </w:p>
        </w:tc>
        <w:tc>
          <w:tcPr>
            <w:tcW w:w="2048" w:type="dxa"/>
            <w:noWrap w:val="0"/>
            <w:vAlign w:val="center"/>
          </w:tcPr>
          <w:p w14:paraId="5A27E90E">
            <w:pPr>
              <w:adjustRightInd w:val="0"/>
              <w:snapToGrid w:val="0"/>
              <w:spacing w:line="240" w:lineRule="auto"/>
              <w:jc w:val="center"/>
              <w:rPr>
                <w:rFonts w:hint="default" w:ascii="Times New Roman" w:hAnsi="Times New Roman" w:eastAsia="宋体" w:cs="Times New Roman"/>
                <w:color w:val="000000"/>
                <w:szCs w:val="21"/>
                <w:highlight w:val="none"/>
                <w:u w:val="none"/>
                <w:lang w:val="en-US" w:eastAsia="zh-CN"/>
              </w:rPr>
            </w:pPr>
            <w:r>
              <w:rPr>
                <w:rFonts w:hint="eastAsia" w:cs="Times New Roman"/>
                <w:color w:val="000000"/>
                <w:szCs w:val="21"/>
                <w:highlight w:val="none"/>
                <w:u w:val="none"/>
                <w:lang w:val="en-US" w:eastAsia="zh-CN"/>
              </w:rPr>
              <w:t>福建省发展和改革委员会</w:t>
            </w:r>
          </w:p>
        </w:tc>
        <w:tc>
          <w:tcPr>
            <w:tcW w:w="1905" w:type="dxa"/>
            <w:noWrap w:val="0"/>
            <w:vAlign w:val="center"/>
          </w:tcPr>
          <w:p w14:paraId="0B8F9B12">
            <w:pPr>
              <w:adjustRightInd w:val="0"/>
              <w:snapToGrid w:val="0"/>
              <w:spacing w:line="240" w:lineRule="auto"/>
              <w:jc w:val="center"/>
              <w:rPr>
                <w:rFonts w:hint="default" w:ascii="Times New Roman" w:hAnsi="Times New Roman" w:cs="Times New Roman"/>
                <w:color w:val="000000"/>
                <w:szCs w:val="21"/>
                <w:highlight w:val="none"/>
                <w:u w:val="none"/>
              </w:rPr>
            </w:pPr>
            <w:r>
              <w:rPr>
                <w:rFonts w:hint="default" w:ascii="Times New Roman" w:hAnsi="Times New Roman" w:cs="Times New Roman"/>
                <w:color w:val="000000"/>
                <w:szCs w:val="21"/>
                <w:highlight w:val="none"/>
                <w:u w:val="none"/>
              </w:rPr>
              <w:t>项目审批（核准/</w:t>
            </w:r>
          </w:p>
          <w:p w14:paraId="2AD9BBED">
            <w:pPr>
              <w:adjustRightInd w:val="0"/>
              <w:snapToGrid w:val="0"/>
              <w:spacing w:line="240" w:lineRule="auto"/>
              <w:jc w:val="center"/>
              <w:rPr>
                <w:rFonts w:hint="default" w:ascii="Times New Roman" w:hAnsi="Times New Roman" w:cs="Times New Roman"/>
                <w:color w:val="000000"/>
                <w:szCs w:val="21"/>
                <w:highlight w:val="none"/>
                <w:u w:val="none"/>
              </w:rPr>
            </w:pPr>
            <w:r>
              <w:rPr>
                <w:rFonts w:hint="default" w:ascii="Times New Roman" w:hAnsi="Times New Roman" w:cs="Times New Roman"/>
                <w:color w:val="000000"/>
                <w:szCs w:val="21"/>
                <w:highlight w:val="none"/>
                <w:u w:val="none"/>
              </w:rPr>
              <w:t>备案）文号（选填）</w:t>
            </w:r>
          </w:p>
        </w:tc>
        <w:tc>
          <w:tcPr>
            <w:tcW w:w="3112" w:type="dxa"/>
            <w:noWrap w:val="0"/>
            <w:vAlign w:val="center"/>
          </w:tcPr>
          <w:p w14:paraId="1819A0DE">
            <w:pPr>
              <w:adjustRightInd w:val="0"/>
              <w:snapToGrid w:val="0"/>
              <w:spacing w:line="240" w:lineRule="auto"/>
              <w:jc w:val="center"/>
              <w:rPr>
                <w:rFonts w:hint="eastAsia" w:ascii="Times New Roman" w:hAnsi="Times New Roman" w:eastAsia="宋体" w:cs="Times New Roman"/>
                <w:color w:val="000000"/>
                <w:szCs w:val="21"/>
                <w:highlight w:val="none"/>
                <w:u w:val="none"/>
                <w:lang w:val="en-US" w:eastAsia="zh-CN"/>
              </w:rPr>
            </w:pPr>
            <w:r>
              <w:rPr>
                <w:rFonts w:hint="eastAsia" w:ascii="Times New Roman" w:hAnsi="Times New Roman" w:eastAsia="宋体" w:cs="Times New Roman"/>
                <w:color w:val="000000"/>
                <w:szCs w:val="21"/>
                <w:highlight w:val="none"/>
                <w:u w:val="none"/>
                <w:lang w:val="en-US" w:eastAsia="zh-CN"/>
              </w:rPr>
              <w:t>闽发改网审农业〔2020〕104号</w:t>
            </w:r>
          </w:p>
        </w:tc>
      </w:tr>
      <w:tr w14:paraId="6B8D67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8" w:type="dxa"/>
            <w:left w:w="108" w:type="dxa"/>
            <w:bottom w:w="108" w:type="dxa"/>
            <w:right w:w="108" w:type="dxa"/>
          </w:tblCellMar>
        </w:tblPrEx>
        <w:trPr>
          <w:trHeight w:val="397" w:hRule="atLeast"/>
        </w:trPr>
        <w:tc>
          <w:tcPr>
            <w:tcW w:w="1995" w:type="dxa"/>
            <w:gridSpan w:val="2"/>
            <w:noWrap w:val="0"/>
            <w:tcMar>
              <w:top w:w="16" w:type="dxa"/>
              <w:left w:w="16" w:type="dxa"/>
              <w:right w:w="16" w:type="dxa"/>
            </w:tcMar>
            <w:vAlign w:val="center"/>
          </w:tcPr>
          <w:p w14:paraId="0A87EC31">
            <w:pPr>
              <w:adjustRightInd w:val="0"/>
              <w:snapToGrid w:val="0"/>
              <w:spacing w:line="240" w:lineRule="auto"/>
              <w:jc w:val="center"/>
              <w:rPr>
                <w:rFonts w:hint="default" w:ascii="Times New Roman" w:hAnsi="Times New Roman" w:cs="Times New Roman"/>
                <w:color w:val="000000"/>
                <w:szCs w:val="21"/>
                <w:highlight w:val="none"/>
                <w:u w:val="none"/>
              </w:rPr>
            </w:pPr>
            <w:r>
              <w:rPr>
                <w:rFonts w:hint="default" w:ascii="Times New Roman" w:hAnsi="Times New Roman" w:cs="Times New Roman"/>
                <w:color w:val="000000"/>
                <w:szCs w:val="21"/>
                <w:highlight w:val="none"/>
                <w:u w:val="none"/>
              </w:rPr>
              <w:t>总投资（万元）</w:t>
            </w:r>
          </w:p>
        </w:tc>
        <w:tc>
          <w:tcPr>
            <w:tcW w:w="2048" w:type="dxa"/>
            <w:noWrap w:val="0"/>
            <w:vAlign w:val="center"/>
          </w:tcPr>
          <w:p w14:paraId="4D792EE2">
            <w:pPr>
              <w:adjustRightInd w:val="0"/>
              <w:snapToGrid w:val="0"/>
              <w:spacing w:line="240" w:lineRule="auto"/>
              <w:jc w:val="center"/>
              <w:rPr>
                <w:rFonts w:hint="default" w:ascii="Times New Roman" w:hAnsi="Times New Roman" w:eastAsia="宋体" w:cs="Times New Roman"/>
                <w:color w:val="000000"/>
                <w:szCs w:val="21"/>
                <w:highlight w:val="none"/>
                <w:u w:val="none"/>
                <w:lang w:val="en-US" w:eastAsia="zh-CN"/>
              </w:rPr>
            </w:pPr>
            <w:r>
              <w:rPr>
                <w:rFonts w:hint="default" w:ascii="Times New Roman" w:hAnsi="Times New Roman" w:eastAsia="宋体" w:cs="Times New Roman"/>
                <w:color w:val="000000"/>
                <w:szCs w:val="21"/>
                <w:highlight w:val="none"/>
                <w:u w:val="none"/>
                <w:lang w:val="en-US" w:eastAsia="zh-CN"/>
              </w:rPr>
              <w:t>35622</w:t>
            </w:r>
          </w:p>
        </w:tc>
        <w:tc>
          <w:tcPr>
            <w:tcW w:w="1905" w:type="dxa"/>
            <w:noWrap w:val="0"/>
            <w:tcMar>
              <w:top w:w="16" w:type="dxa"/>
              <w:left w:w="16" w:type="dxa"/>
              <w:right w:w="16" w:type="dxa"/>
            </w:tcMar>
            <w:vAlign w:val="center"/>
          </w:tcPr>
          <w:p w14:paraId="003B6D23">
            <w:pPr>
              <w:adjustRightInd w:val="0"/>
              <w:snapToGrid w:val="0"/>
              <w:spacing w:line="240" w:lineRule="auto"/>
              <w:jc w:val="center"/>
              <w:rPr>
                <w:rFonts w:hint="default" w:ascii="Times New Roman" w:hAnsi="Times New Roman" w:cs="Times New Roman"/>
                <w:color w:val="000000"/>
                <w:szCs w:val="21"/>
                <w:highlight w:val="none"/>
                <w:u w:val="none"/>
              </w:rPr>
            </w:pPr>
            <w:r>
              <w:rPr>
                <w:rFonts w:hint="default" w:ascii="Times New Roman" w:hAnsi="Times New Roman" w:cs="Times New Roman"/>
                <w:color w:val="000000"/>
                <w:szCs w:val="21"/>
                <w:highlight w:val="none"/>
                <w:u w:val="none"/>
              </w:rPr>
              <w:t>环保投资（万元）</w:t>
            </w:r>
          </w:p>
        </w:tc>
        <w:tc>
          <w:tcPr>
            <w:tcW w:w="3112" w:type="dxa"/>
            <w:noWrap w:val="0"/>
            <w:vAlign w:val="center"/>
          </w:tcPr>
          <w:p w14:paraId="3F4E32A5">
            <w:pPr>
              <w:adjustRightInd w:val="0"/>
              <w:snapToGrid w:val="0"/>
              <w:spacing w:line="240" w:lineRule="auto"/>
              <w:jc w:val="center"/>
              <w:rPr>
                <w:rFonts w:hint="default" w:ascii="Times New Roman" w:hAnsi="Times New Roman" w:eastAsia="宋体" w:cs="Times New Roman"/>
                <w:color w:val="000000"/>
                <w:szCs w:val="21"/>
                <w:highlight w:val="none"/>
                <w:u w:val="none"/>
                <w:lang w:val="en-US" w:eastAsia="zh-CN"/>
              </w:rPr>
            </w:pPr>
            <w:r>
              <w:rPr>
                <w:rFonts w:hint="eastAsia" w:cs="Times New Roman"/>
                <w:color w:val="000000"/>
                <w:szCs w:val="21"/>
                <w:highlight w:val="none"/>
                <w:u w:val="none"/>
                <w:lang w:val="en-US" w:eastAsia="zh-CN"/>
              </w:rPr>
              <w:t>481</w:t>
            </w:r>
          </w:p>
        </w:tc>
      </w:tr>
      <w:tr w14:paraId="6AB18C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8" w:type="dxa"/>
            <w:left w:w="108" w:type="dxa"/>
            <w:bottom w:w="108" w:type="dxa"/>
            <w:right w:w="108" w:type="dxa"/>
          </w:tblCellMar>
        </w:tblPrEx>
        <w:trPr>
          <w:trHeight w:val="397" w:hRule="atLeast"/>
        </w:trPr>
        <w:tc>
          <w:tcPr>
            <w:tcW w:w="1995" w:type="dxa"/>
            <w:gridSpan w:val="2"/>
            <w:noWrap w:val="0"/>
            <w:tcMar>
              <w:top w:w="16" w:type="dxa"/>
              <w:left w:w="16" w:type="dxa"/>
              <w:right w:w="16" w:type="dxa"/>
            </w:tcMar>
            <w:vAlign w:val="center"/>
          </w:tcPr>
          <w:p w14:paraId="61A5C826">
            <w:pPr>
              <w:adjustRightInd w:val="0"/>
              <w:snapToGrid w:val="0"/>
              <w:spacing w:line="240" w:lineRule="auto"/>
              <w:jc w:val="center"/>
              <w:rPr>
                <w:rFonts w:hint="default" w:ascii="Times New Roman" w:hAnsi="Times New Roman" w:cs="Times New Roman"/>
                <w:color w:val="000000"/>
                <w:szCs w:val="21"/>
                <w:highlight w:val="none"/>
                <w:u w:val="none"/>
              </w:rPr>
            </w:pPr>
            <w:r>
              <w:rPr>
                <w:rFonts w:hint="default" w:ascii="Times New Roman" w:hAnsi="Times New Roman" w:cs="Times New Roman"/>
                <w:color w:val="000000"/>
                <w:szCs w:val="21"/>
                <w:highlight w:val="none"/>
                <w:u w:val="none"/>
              </w:rPr>
              <w:t>环保投资占比（%）</w:t>
            </w:r>
          </w:p>
        </w:tc>
        <w:tc>
          <w:tcPr>
            <w:tcW w:w="2048" w:type="dxa"/>
            <w:noWrap w:val="0"/>
            <w:vAlign w:val="center"/>
          </w:tcPr>
          <w:p w14:paraId="2E7AF574">
            <w:pPr>
              <w:adjustRightInd w:val="0"/>
              <w:snapToGrid w:val="0"/>
              <w:spacing w:line="240" w:lineRule="auto"/>
              <w:jc w:val="center"/>
              <w:rPr>
                <w:rFonts w:hint="default" w:ascii="Times New Roman" w:hAnsi="Times New Roman" w:eastAsia="宋体" w:cs="Times New Roman"/>
                <w:color w:val="000000"/>
                <w:szCs w:val="21"/>
                <w:highlight w:val="none"/>
                <w:u w:val="none"/>
                <w:lang w:val="en-US" w:eastAsia="zh-CN"/>
              </w:rPr>
            </w:pPr>
            <w:r>
              <w:rPr>
                <w:rFonts w:hint="default" w:ascii="Times New Roman" w:hAnsi="Times New Roman" w:eastAsia="宋体" w:cs="Times New Roman"/>
                <w:color w:val="000000"/>
                <w:szCs w:val="21"/>
                <w:highlight w:val="none"/>
                <w:u w:val="none"/>
                <w:lang w:val="en-US" w:eastAsia="zh-CN"/>
              </w:rPr>
              <w:t>1.35</w:t>
            </w:r>
          </w:p>
        </w:tc>
        <w:tc>
          <w:tcPr>
            <w:tcW w:w="1905" w:type="dxa"/>
            <w:noWrap w:val="0"/>
            <w:tcMar>
              <w:top w:w="16" w:type="dxa"/>
              <w:left w:w="16" w:type="dxa"/>
              <w:right w:w="16" w:type="dxa"/>
            </w:tcMar>
            <w:vAlign w:val="center"/>
          </w:tcPr>
          <w:p w14:paraId="714AE478">
            <w:pPr>
              <w:adjustRightInd w:val="0"/>
              <w:snapToGrid w:val="0"/>
              <w:spacing w:line="240" w:lineRule="auto"/>
              <w:jc w:val="center"/>
              <w:rPr>
                <w:rFonts w:hint="default" w:ascii="Times New Roman" w:hAnsi="Times New Roman" w:cs="Times New Roman"/>
                <w:color w:val="000000"/>
                <w:szCs w:val="21"/>
                <w:highlight w:val="none"/>
                <w:u w:val="none"/>
              </w:rPr>
            </w:pPr>
            <w:r>
              <w:rPr>
                <w:rFonts w:hint="default" w:ascii="Times New Roman" w:hAnsi="Times New Roman" w:cs="Times New Roman"/>
                <w:color w:val="000000"/>
                <w:szCs w:val="21"/>
                <w:highlight w:val="none"/>
                <w:u w:val="none"/>
              </w:rPr>
              <w:t>施工工期</w:t>
            </w:r>
          </w:p>
        </w:tc>
        <w:tc>
          <w:tcPr>
            <w:tcW w:w="3112" w:type="dxa"/>
            <w:noWrap w:val="0"/>
            <w:vAlign w:val="center"/>
          </w:tcPr>
          <w:p w14:paraId="55DE5D12">
            <w:pPr>
              <w:adjustRightInd w:val="0"/>
              <w:snapToGrid w:val="0"/>
              <w:spacing w:line="240" w:lineRule="auto"/>
              <w:jc w:val="center"/>
              <w:rPr>
                <w:rFonts w:hint="default" w:ascii="Times New Roman" w:hAnsi="Times New Roman" w:eastAsia="宋体" w:cs="Times New Roman"/>
                <w:color w:val="000000"/>
                <w:szCs w:val="21"/>
                <w:highlight w:val="none"/>
                <w:u w:val="none"/>
                <w:lang w:val="en-US" w:eastAsia="zh-CN"/>
              </w:rPr>
            </w:pPr>
            <w:r>
              <w:rPr>
                <w:rFonts w:hint="eastAsia" w:cs="Times New Roman"/>
                <w:color w:val="000000"/>
                <w:szCs w:val="21"/>
                <w:highlight w:val="none"/>
                <w:u w:val="none"/>
                <w:lang w:val="en-US" w:eastAsia="zh-CN"/>
              </w:rPr>
              <w:t>36</w:t>
            </w:r>
            <w:r>
              <w:rPr>
                <w:rFonts w:hint="default" w:ascii="Times New Roman" w:hAnsi="Times New Roman" w:cs="Times New Roman"/>
                <w:color w:val="000000"/>
                <w:szCs w:val="21"/>
                <w:highlight w:val="none"/>
                <w:u w:val="none"/>
                <w:lang w:val="en-US" w:eastAsia="zh-CN"/>
              </w:rPr>
              <w:t>个月</w:t>
            </w:r>
          </w:p>
        </w:tc>
      </w:tr>
      <w:tr w14:paraId="4C6DD4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8" w:type="dxa"/>
            <w:left w:w="108" w:type="dxa"/>
            <w:bottom w:w="108" w:type="dxa"/>
            <w:right w:w="108" w:type="dxa"/>
          </w:tblCellMar>
        </w:tblPrEx>
        <w:trPr>
          <w:trHeight w:val="397" w:hRule="atLeast"/>
        </w:trPr>
        <w:tc>
          <w:tcPr>
            <w:tcW w:w="1995" w:type="dxa"/>
            <w:gridSpan w:val="2"/>
            <w:noWrap w:val="0"/>
            <w:tcMar>
              <w:top w:w="16" w:type="dxa"/>
              <w:left w:w="16" w:type="dxa"/>
              <w:right w:w="16" w:type="dxa"/>
            </w:tcMar>
            <w:vAlign w:val="center"/>
          </w:tcPr>
          <w:p w14:paraId="7CE42FF5">
            <w:pPr>
              <w:adjustRightInd w:val="0"/>
              <w:snapToGrid w:val="0"/>
              <w:spacing w:line="240" w:lineRule="auto"/>
              <w:jc w:val="center"/>
              <w:rPr>
                <w:rFonts w:hint="default" w:ascii="Times New Roman" w:hAnsi="Times New Roman" w:cs="Times New Roman"/>
                <w:color w:val="000000"/>
                <w:szCs w:val="21"/>
                <w:u w:val="none"/>
              </w:rPr>
            </w:pPr>
            <w:r>
              <w:rPr>
                <w:rFonts w:hint="default" w:ascii="Times New Roman" w:hAnsi="Times New Roman" w:cs="Times New Roman"/>
                <w:color w:val="000000"/>
                <w:szCs w:val="21"/>
                <w:u w:val="none"/>
              </w:rPr>
              <w:t>是否开工建设</w:t>
            </w:r>
          </w:p>
        </w:tc>
        <w:tc>
          <w:tcPr>
            <w:tcW w:w="7065" w:type="dxa"/>
            <w:gridSpan w:val="3"/>
            <w:noWrap w:val="0"/>
            <w:vAlign w:val="center"/>
          </w:tcPr>
          <w:p w14:paraId="3D7A3174">
            <w:pPr>
              <w:adjustRightInd w:val="0"/>
              <w:snapToGrid w:val="0"/>
              <w:spacing w:line="240" w:lineRule="auto"/>
              <w:ind w:firstLine="105"/>
              <w:jc w:val="left"/>
              <w:rPr>
                <w:rFonts w:hint="default" w:ascii="Times New Roman" w:hAnsi="Times New Roman" w:cs="Times New Roman"/>
                <w:color w:val="000000"/>
                <w:szCs w:val="21"/>
                <w:u w:val="none"/>
              </w:rPr>
            </w:pPr>
            <w:r>
              <w:rPr>
                <w:rFonts w:hint="default" w:ascii="Times New Roman" w:hAnsi="Times New Roman" w:cs="Times New Roman"/>
                <w:color w:val="000000"/>
                <w:szCs w:val="21"/>
                <w:u w:val="none"/>
              </w:rPr>
              <w:sym w:font="Wingdings 2" w:char="0052"/>
            </w:r>
            <w:r>
              <w:rPr>
                <w:rFonts w:hint="default" w:ascii="Times New Roman" w:hAnsi="Times New Roman" w:cs="Times New Roman"/>
                <w:color w:val="000000"/>
                <w:szCs w:val="21"/>
                <w:u w:val="none"/>
              </w:rPr>
              <w:t>否</w:t>
            </w:r>
          </w:p>
          <w:p w14:paraId="049F8D9C">
            <w:pPr>
              <w:adjustRightInd w:val="0"/>
              <w:snapToGrid w:val="0"/>
              <w:spacing w:line="240" w:lineRule="auto"/>
              <w:ind w:firstLine="92"/>
              <w:jc w:val="left"/>
              <w:rPr>
                <w:rFonts w:hint="default" w:ascii="Times New Roman" w:hAnsi="Times New Roman" w:cs="Times New Roman"/>
                <w:color w:val="000000"/>
                <w:szCs w:val="21"/>
                <w:u w:val="none"/>
              </w:rPr>
            </w:pPr>
            <w:r>
              <w:rPr>
                <w:rFonts w:hint="default" w:ascii="Times New Roman" w:hAnsi="Times New Roman" w:cs="Times New Roman"/>
                <w:color w:val="000000"/>
                <w:szCs w:val="21"/>
                <w:u w:val="none"/>
              </w:rPr>
              <w:sym w:font="Wingdings 2" w:char="00A3"/>
            </w:r>
            <w:r>
              <w:rPr>
                <w:rFonts w:hint="default" w:ascii="Times New Roman" w:hAnsi="Times New Roman" w:cs="Times New Roman"/>
                <w:color w:val="000000"/>
                <w:szCs w:val="21"/>
                <w:u w:val="none"/>
              </w:rPr>
              <w:t xml:space="preserve">是：                             </w:t>
            </w:r>
          </w:p>
        </w:tc>
      </w:tr>
      <w:tr w14:paraId="77F315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8" w:type="dxa"/>
            <w:left w:w="108" w:type="dxa"/>
            <w:bottom w:w="108" w:type="dxa"/>
            <w:right w:w="108" w:type="dxa"/>
          </w:tblCellMar>
        </w:tblPrEx>
        <w:trPr>
          <w:trHeight w:val="964" w:hRule="atLeast"/>
        </w:trPr>
        <w:tc>
          <w:tcPr>
            <w:tcW w:w="694" w:type="dxa"/>
            <w:noWrap w:val="0"/>
            <w:tcMar>
              <w:top w:w="16" w:type="dxa"/>
              <w:left w:w="16" w:type="dxa"/>
              <w:right w:w="16" w:type="dxa"/>
            </w:tcMar>
            <w:vAlign w:val="center"/>
          </w:tcPr>
          <w:p w14:paraId="51789C6B">
            <w:pPr>
              <w:adjustRightInd w:val="0"/>
              <w:snapToGrid w:val="0"/>
              <w:spacing w:line="240" w:lineRule="auto"/>
              <w:jc w:val="center"/>
              <w:rPr>
                <w:rFonts w:hint="default" w:ascii="Times New Roman" w:hAnsi="Times New Roman" w:cs="Times New Roman"/>
                <w:color w:val="000000"/>
                <w:szCs w:val="21"/>
                <w:u w:val="none"/>
              </w:rPr>
            </w:pPr>
            <w:r>
              <w:rPr>
                <w:rFonts w:hint="default" w:ascii="Times New Roman" w:hAnsi="Times New Roman" w:cs="Times New Roman"/>
                <w:color w:val="000000"/>
                <w:szCs w:val="21"/>
                <w:u w:val="none"/>
              </w:rPr>
              <w:t>专项评价设置情况</w:t>
            </w:r>
          </w:p>
        </w:tc>
        <w:tc>
          <w:tcPr>
            <w:tcW w:w="8366" w:type="dxa"/>
            <w:gridSpan w:val="4"/>
            <w:noWrap w:val="0"/>
            <w:vAlign w:val="center"/>
          </w:tcPr>
          <w:p w14:paraId="5D0298A1">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lang w:val="en-US" w:eastAsia="zh-CN"/>
              </w:rPr>
            </w:pPr>
            <w:r>
              <w:rPr>
                <w:rFonts w:hint="default"/>
              </w:rPr>
              <w:t>根据《建设项目环境影响报告表编制技术指南（生态影响类）（试行）》，专项评价设置原则为根据建设项目特点和涉及的环境敏感区类别，确定专项评价的类别，确有必要的可根据建设项目环境影响程度等实际情况适当调整。</w:t>
            </w:r>
            <w:r>
              <w:rPr>
                <w:rFonts w:hint="eastAsia"/>
                <w:lang w:val="en-US" w:eastAsia="zh-CN"/>
              </w:rPr>
              <w:t>根据</w:t>
            </w:r>
            <w:r>
              <w:rPr>
                <w:rFonts w:hint="default"/>
              </w:rPr>
              <w:t>表1.1-1</w:t>
            </w:r>
            <w:r>
              <w:rPr>
                <w:rFonts w:hint="eastAsia"/>
                <w:lang w:val="en-US" w:eastAsia="zh-CN"/>
              </w:rPr>
              <w:t>可知，本项目无需设置专项评价。</w:t>
            </w:r>
          </w:p>
          <w:p w14:paraId="15B6451A">
            <w:pPr>
              <w:pStyle w:val="30"/>
              <w:bidi w:val="0"/>
              <w:rPr>
                <w:rFonts w:hint="default" w:ascii="Times New Roman" w:hAnsi="Times New Roman" w:cs="Times New Roman"/>
                <w:color w:val="000000"/>
                <w:u w:val="none"/>
                <w:lang w:val="en-US" w:eastAsia="zh-CN"/>
              </w:rPr>
            </w:pPr>
          </w:p>
          <w:p w14:paraId="5078C8A2">
            <w:pPr>
              <w:pStyle w:val="30"/>
              <w:bidi w:val="0"/>
              <w:rPr>
                <w:rFonts w:hint="default" w:ascii="Times New Roman" w:hAnsi="Times New Roman" w:cs="Times New Roman"/>
                <w:color w:val="000000"/>
                <w:u w:val="none"/>
                <w:lang w:val="en-US" w:eastAsia="zh-CN"/>
              </w:rPr>
            </w:pPr>
          </w:p>
          <w:p w14:paraId="5BD32123">
            <w:pPr>
              <w:pStyle w:val="30"/>
              <w:bidi w:val="0"/>
              <w:rPr>
                <w:rFonts w:hint="default" w:ascii="Times New Roman" w:hAnsi="Times New Roman" w:cs="Times New Roman"/>
                <w:color w:val="000000"/>
                <w:u w:val="none"/>
                <w:lang w:val="en-US" w:eastAsia="zh-CN"/>
              </w:rPr>
            </w:pPr>
          </w:p>
          <w:p w14:paraId="2B65ECB9">
            <w:pPr>
              <w:pStyle w:val="30"/>
              <w:bidi w:val="0"/>
              <w:rPr>
                <w:rFonts w:hint="default" w:ascii="Times New Roman" w:hAnsi="Times New Roman" w:cs="Times New Roman"/>
                <w:color w:val="000000"/>
                <w:u w:val="none"/>
                <w:lang w:val="en-US" w:eastAsia="zh-CN"/>
              </w:rPr>
            </w:pPr>
            <w:r>
              <w:rPr>
                <w:rFonts w:hint="default" w:ascii="Times New Roman" w:hAnsi="Times New Roman" w:cs="Times New Roman"/>
                <w:color w:val="000000"/>
                <w:u w:val="none"/>
                <w:lang w:val="en-US" w:eastAsia="zh-CN"/>
              </w:rPr>
              <w:t>表1.1-1 专项评价设置原则表</w:t>
            </w:r>
          </w:p>
          <w:tbl>
            <w:tblPr>
              <w:tblStyle w:val="22"/>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67"/>
              <w:gridCol w:w="3905"/>
              <w:gridCol w:w="2239"/>
              <w:gridCol w:w="924"/>
            </w:tblGrid>
            <w:tr w14:paraId="58B8E9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56" w:type="pct"/>
                  <w:noWrap w:val="0"/>
                  <w:vAlign w:val="center"/>
                </w:tcPr>
                <w:p w14:paraId="5E5C89C8">
                  <w:pPr>
                    <w:pStyle w:val="31"/>
                    <w:bidi w:val="0"/>
                    <w:jc w:val="center"/>
                    <w:rPr>
                      <w:rFonts w:hint="default" w:ascii="Times New Roman" w:hAnsi="Times New Roman" w:cs="Times New Roman"/>
                      <w:b/>
                      <w:bCs/>
                      <w:color w:val="000000"/>
                      <w:u w:val="none"/>
                      <w:lang w:val="en-US" w:eastAsia="zh-CN"/>
                    </w:rPr>
                  </w:pPr>
                  <w:r>
                    <w:rPr>
                      <w:rFonts w:hint="default" w:ascii="Times New Roman" w:hAnsi="Times New Roman" w:cs="Times New Roman"/>
                      <w:b/>
                      <w:bCs/>
                      <w:color w:val="000000"/>
                      <w:u w:val="none"/>
                      <w:lang w:val="en-US" w:eastAsia="zh-CN"/>
                    </w:rPr>
                    <w:t>专项评价的类别</w:t>
                  </w:r>
                </w:p>
              </w:tc>
              <w:tc>
                <w:tcPr>
                  <w:tcW w:w="2400" w:type="pct"/>
                  <w:noWrap w:val="0"/>
                  <w:vAlign w:val="center"/>
                </w:tcPr>
                <w:p w14:paraId="20B4EF98">
                  <w:pPr>
                    <w:pStyle w:val="31"/>
                    <w:bidi w:val="0"/>
                    <w:jc w:val="center"/>
                    <w:rPr>
                      <w:rFonts w:hint="default" w:ascii="Times New Roman" w:hAnsi="Times New Roman" w:cs="Times New Roman"/>
                      <w:b/>
                      <w:bCs/>
                      <w:color w:val="000000"/>
                      <w:u w:val="none"/>
                      <w:lang w:val="en-US" w:eastAsia="zh-CN"/>
                    </w:rPr>
                  </w:pPr>
                  <w:r>
                    <w:rPr>
                      <w:rFonts w:hint="default" w:ascii="Times New Roman" w:hAnsi="Times New Roman" w:cs="Times New Roman"/>
                      <w:b/>
                      <w:bCs/>
                      <w:color w:val="000000"/>
                      <w:u w:val="none"/>
                      <w:lang w:val="en-US" w:eastAsia="zh-CN"/>
                    </w:rPr>
                    <w:t>涉及项目类别</w:t>
                  </w:r>
                </w:p>
              </w:tc>
              <w:tc>
                <w:tcPr>
                  <w:tcW w:w="1376" w:type="pct"/>
                  <w:noWrap w:val="0"/>
                  <w:vAlign w:val="center"/>
                </w:tcPr>
                <w:p w14:paraId="1ABA9C6B">
                  <w:pPr>
                    <w:pStyle w:val="31"/>
                    <w:bidi w:val="0"/>
                    <w:jc w:val="center"/>
                    <w:rPr>
                      <w:rFonts w:hint="default" w:ascii="Times New Roman" w:hAnsi="Times New Roman" w:cs="Times New Roman"/>
                      <w:b/>
                      <w:bCs/>
                      <w:color w:val="000000"/>
                      <w:u w:val="none"/>
                      <w:lang w:val="en-US" w:eastAsia="zh-CN"/>
                    </w:rPr>
                  </w:pPr>
                  <w:r>
                    <w:rPr>
                      <w:rFonts w:hint="default" w:ascii="Times New Roman" w:hAnsi="Times New Roman" w:cs="Times New Roman"/>
                      <w:b/>
                      <w:bCs/>
                      <w:color w:val="000000"/>
                      <w:u w:val="none"/>
                      <w:lang w:val="en-US" w:eastAsia="zh-CN"/>
                    </w:rPr>
                    <w:t>本项目情况</w:t>
                  </w:r>
                </w:p>
              </w:tc>
              <w:tc>
                <w:tcPr>
                  <w:tcW w:w="566" w:type="pct"/>
                  <w:noWrap w:val="0"/>
                  <w:vAlign w:val="center"/>
                </w:tcPr>
                <w:p w14:paraId="5C71E326">
                  <w:pPr>
                    <w:pStyle w:val="31"/>
                    <w:bidi w:val="0"/>
                    <w:jc w:val="center"/>
                    <w:rPr>
                      <w:rFonts w:hint="default" w:ascii="Times New Roman" w:hAnsi="Times New Roman" w:cs="Times New Roman"/>
                      <w:b/>
                      <w:bCs/>
                      <w:color w:val="000000"/>
                      <w:u w:val="none"/>
                      <w:lang w:val="en-US" w:eastAsia="zh-CN"/>
                    </w:rPr>
                  </w:pPr>
                  <w:r>
                    <w:rPr>
                      <w:rFonts w:hint="default" w:ascii="Times New Roman" w:hAnsi="Times New Roman" w:cs="Times New Roman"/>
                      <w:b/>
                      <w:bCs/>
                      <w:color w:val="000000"/>
                      <w:u w:val="none"/>
                      <w:lang w:val="en-US" w:eastAsia="zh-CN"/>
                    </w:rPr>
                    <w:t>是否设置专项</w:t>
                  </w:r>
                </w:p>
              </w:tc>
            </w:tr>
            <w:tr w14:paraId="52FF74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56" w:type="pct"/>
                  <w:noWrap w:val="0"/>
                  <w:vAlign w:val="center"/>
                </w:tcPr>
                <w:p w14:paraId="03F43962">
                  <w:pPr>
                    <w:pStyle w:val="31"/>
                    <w:bidi w:val="0"/>
                    <w:jc w:val="center"/>
                    <w:rPr>
                      <w:rFonts w:hint="default" w:ascii="Times New Roman" w:hAnsi="Times New Roman" w:cs="Times New Roman"/>
                      <w:color w:val="000000"/>
                      <w:u w:val="none"/>
                      <w:lang w:val="en-US" w:eastAsia="zh-CN"/>
                    </w:rPr>
                  </w:pPr>
                  <w:r>
                    <w:rPr>
                      <w:rFonts w:hint="default" w:ascii="Times New Roman" w:hAnsi="Times New Roman" w:cs="Times New Roman"/>
                      <w:color w:val="000000"/>
                      <w:u w:val="none"/>
                      <w:lang w:val="en-US" w:eastAsia="zh-CN"/>
                    </w:rPr>
                    <w:t>地表水</w:t>
                  </w:r>
                </w:p>
              </w:tc>
              <w:tc>
                <w:tcPr>
                  <w:tcW w:w="2400" w:type="pct"/>
                  <w:noWrap w:val="0"/>
                  <w:vAlign w:val="center"/>
                </w:tcPr>
                <w:p w14:paraId="4DF7BB9A">
                  <w:pPr>
                    <w:pStyle w:val="31"/>
                    <w:bidi w:val="0"/>
                    <w:jc w:val="left"/>
                    <w:rPr>
                      <w:rFonts w:hint="default" w:ascii="Times New Roman" w:hAnsi="Times New Roman" w:cs="Times New Roman"/>
                      <w:color w:val="000000"/>
                      <w:u w:val="none"/>
                      <w:lang w:val="en-US" w:eastAsia="zh-CN"/>
                    </w:rPr>
                  </w:pPr>
                  <w:r>
                    <w:rPr>
                      <w:rFonts w:hint="default" w:ascii="Times New Roman" w:hAnsi="Times New Roman" w:cs="Times New Roman"/>
                      <w:color w:val="000000"/>
                      <w:u w:val="none"/>
                      <w:lang w:val="en-US" w:eastAsia="zh-CN"/>
                    </w:rPr>
                    <w:t>水力发电：引水式发电、涉及调峰发电的项目；</w:t>
                  </w:r>
                </w:p>
                <w:p w14:paraId="0455F9AE">
                  <w:pPr>
                    <w:pStyle w:val="31"/>
                    <w:bidi w:val="0"/>
                    <w:jc w:val="left"/>
                    <w:rPr>
                      <w:rFonts w:hint="default" w:ascii="Times New Roman" w:hAnsi="Times New Roman" w:cs="Times New Roman"/>
                      <w:color w:val="000000"/>
                      <w:u w:val="none"/>
                      <w:lang w:val="en-US" w:eastAsia="zh-CN"/>
                    </w:rPr>
                  </w:pPr>
                  <w:r>
                    <w:rPr>
                      <w:rFonts w:hint="default" w:ascii="Times New Roman" w:hAnsi="Times New Roman" w:cs="Times New Roman"/>
                      <w:color w:val="000000"/>
                      <w:u w:val="none"/>
                      <w:lang w:val="en-US" w:eastAsia="zh-CN"/>
                    </w:rPr>
                    <w:t>人工湖、人工湿地：全部；</w:t>
                  </w:r>
                </w:p>
                <w:p w14:paraId="7FE40854">
                  <w:pPr>
                    <w:pStyle w:val="31"/>
                    <w:bidi w:val="0"/>
                    <w:jc w:val="left"/>
                    <w:rPr>
                      <w:rFonts w:hint="default" w:ascii="Times New Roman" w:hAnsi="Times New Roman" w:cs="Times New Roman"/>
                      <w:color w:val="000000"/>
                      <w:u w:val="none"/>
                      <w:lang w:val="en-US" w:eastAsia="zh-CN"/>
                    </w:rPr>
                  </w:pPr>
                  <w:r>
                    <w:rPr>
                      <w:rFonts w:hint="default" w:ascii="Times New Roman" w:hAnsi="Times New Roman" w:cs="Times New Roman"/>
                      <w:color w:val="000000"/>
                      <w:u w:val="none"/>
                      <w:lang w:val="en-US" w:eastAsia="zh-CN"/>
                    </w:rPr>
                    <w:t>水库：全部；</w:t>
                  </w:r>
                </w:p>
                <w:p w14:paraId="5AB9214E">
                  <w:pPr>
                    <w:pStyle w:val="31"/>
                    <w:bidi w:val="0"/>
                    <w:jc w:val="left"/>
                    <w:rPr>
                      <w:rFonts w:hint="default" w:ascii="Times New Roman" w:hAnsi="Times New Roman" w:cs="Times New Roman"/>
                      <w:color w:val="000000"/>
                      <w:u w:val="none"/>
                      <w:lang w:val="en-US" w:eastAsia="zh-CN"/>
                    </w:rPr>
                  </w:pPr>
                  <w:r>
                    <w:rPr>
                      <w:rFonts w:hint="default" w:ascii="Times New Roman" w:hAnsi="Times New Roman" w:cs="Times New Roman"/>
                      <w:color w:val="000000"/>
                      <w:u w:val="none"/>
                      <w:lang w:val="en-US" w:eastAsia="zh-CN"/>
                    </w:rPr>
                    <w:t>引水工程：全部（配套的管线工程等除外）；</w:t>
                  </w:r>
                </w:p>
                <w:p w14:paraId="5B7DC536">
                  <w:pPr>
                    <w:pStyle w:val="31"/>
                    <w:bidi w:val="0"/>
                    <w:jc w:val="left"/>
                    <w:rPr>
                      <w:rFonts w:hint="default" w:ascii="Times New Roman" w:hAnsi="Times New Roman" w:cs="Times New Roman"/>
                      <w:color w:val="000000"/>
                      <w:u w:val="none"/>
                      <w:lang w:val="en-US" w:eastAsia="zh-CN"/>
                    </w:rPr>
                  </w:pPr>
                  <w:r>
                    <w:rPr>
                      <w:rFonts w:hint="default" w:ascii="Times New Roman" w:hAnsi="Times New Roman" w:cs="Times New Roman"/>
                      <w:color w:val="000000"/>
                      <w:u w:val="none"/>
                      <w:lang w:val="en-US" w:eastAsia="zh-CN"/>
                    </w:rPr>
                    <w:t>防洪除涝工程：包含水库的项目；</w:t>
                  </w:r>
                </w:p>
                <w:p w14:paraId="72773EE0">
                  <w:pPr>
                    <w:pStyle w:val="31"/>
                    <w:bidi w:val="0"/>
                    <w:jc w:val="left"/>
                    <w:rPr>
                      <w:rFonts w:hint="default" w:ascii="Times New Roman" w:hAnsi="Times New Roman" w:cs="Times New Roman"/>
                      <w:color w:val="000000"/>
                      <w:u w:val="none"/>
                      <w:lang w:val="en-US" w:eastAsia="zh-CN"/>
                    </w:rPr>
                  </w:pPr>
                  <w:r>
                    <w:rPr>
                      <w:rFonts w:hint="default" w:ascii="Times New Roman" w:hAnsi="Times New Roman" w:cs="Times New Roman"/>
                      <w:color w:val="000000"/>
                      <w:u w:val="none"/>
                      <w:lang w:val="en-US" w:eastAsia="zh-CN"/>
                    </w:rPr>
                    <w:t>河湖整治：涉及清淤且底泥存在重金属污染的项目</w:t>
                  </w:r>
                </w:p>
              </w:tc>
              <w:tc>
                <w:tcPr>
                  <w:tcW w:w="1376" w:type="pct"/>
                  <w:noWrap w:val="0"/>
                  <w:vAlign w:val="center"/>
                </w:tcPr>
                <w:p w14:paraId="4E26BE43">
                  <w:pPr>
                    <w:pStyle w:val="31"/>
                    <w:bidi w:val="0"/>
                    <w:jc w:val="left"/>
                    <w:rPr>
                      <w:rFonts w:hint="default" w:ascii="Times New Roman" w:hAnsi="Times New Roman" w:cs="Times New Roman"/>
                      <w:color w:val="000000"/>
                      <w:u w:val="none"/>
                      <w:lang w:val="en-US" w:eastAsia="zh-CN"/>
                    </w:rPr>
                  </w:pPr>
                  <w:r>
                    <w:rPr>
                      <w:rFonts w:hint="default" w:ascii="Times New Roman" w:hAnsi="Times New Roman" w:cs="Times New Roman"/>
                      <w:color w:val="000000"/>
                      <w:u w:val="none"/>
                      <w:lang w:val="en-US" w:eastAsia="zh-CN"/>
                    </w:rPr>
                    <w:t>本项目为</w:t>
                  </w:r>
                  <w:r>
                    <w:rPr>
                      <w:rFonts w:hint="eastAsia" w:ascii="Times New Roman" w:hAnsi="Times New Roman" w:cs="Times New Roman"/>
                      <w:color w:val="000000"/>
                      <w:u w:val="none"/>
                      <w:lang w:val="en-US" w:eastAsia="zh-CN"/>
                    </w:rPr>
                    <w:t>一级渔港建设工程</w:t>
                  </w:r>
                  <w:r>
                    <w:rPr>
                      <w:rFonts w:hint="default" w:ascii="Times New Roman" w:hAnsi="Times New Roman" w:cs="Times New Roman"/>
                      <w:color w:val="000000"/>
                      <w:u w:val="none"/>
                      <w:lang w:val="en-US" w:eastAsia="zh-CN"/>
                    </w:rPr>
                    <w:t>，不涉及所列的项目类别。</w:t>
                  </w:r>
                </w:p>
              </w:tc>
              <w:tc>
                <w:tcPr>
                  <w:tcW w:w="566" w:type="pct"/>
                  <w:noWrap w:val="0"/>
                  <w:vAlign w:val="center"/>
                </w:tcPr>
                <w:p w14:paraId="4D9B44BD">
                  <w:pPr>
                    <w:pStyle w:val="31"/>
                    <w:bidi w:val="0"/>
                    <w:jc w:val="center"/>
                    <w:rPr>
                      <w:rFonts w:hint="default" w:ascii="Times New Roman" w:hAnsi="Times New Roman" w:cs="Times New Roman"/>
                      <w:color w:val="000000"/>
                      <w:u w:val="none"/>
                      <w:lang w:val="en-US" w:eastAsia="zh-CN"/>
                    </w:rPr>
                  </w:pPr>
                  <w:r>
                    <w:rPr>
                      <w:rFonts w:hint="default" w:ascii="Times New Roman" w:hAnsi="Times New Roman" w:cs="Times New Roman"/>
                      <w:color w:val="000000"/>
                      <w:u w:val="none"/>
                      <w:lang w:val="en-US" w:eastAsia="zh-CN"/>
                    </w:rPr>
                    <w:t>否</w:t>
                  </w:r>
                </w:p>
              </w:tc>
            </w:tr>
            <w:tr w14:paraId="48717E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56" w:type="pct"/>
                  <w:noWrap w:val="0"/>
                  <w:vAlign w:val="center"/>
                </w:tcPr>
                <w:p w14:paraId="0151D8DE">
                  <w:pPr>
                    <w:pStyle w:val="31"/>
                    <w:bidi w:val="0"/>
                    <w:jc w:val="center"/>
                    <w:rPr>
                      <w:rFonts w:hint="default" w:ascii="Times New Roman" w:hAnsi="Times New Roman" w:cs="Times New Roman"/>
                      <w:color w:val="000000"/>
                      <w:u w:val="none"/>
                      <w:lang w:val="en-US" w:eastAsia="zh-CN"/>
                    </w:rPr>
                  </w:pPr>
                  <w:r>
                    <w:rPr>
                      <w:rFonts w:hint="default" w:ascii="Times New Roman" w:hAnsi="Times New Roman" w:cs="Times New Roman"/>
                      <w:color w:val="000000"/>
                      <w:u w:val="none"/>
                      <w:lang w:val="en-US" w:eastAsia="zh-CN"/>
                    </w:rPr>
                    <w:t>地下水</w:t>
                  </w:r>
                </w:p>
              </w:tc>
              <w:tc>
                <w:tcPr>
                  <w:tcW w:w="2400" w:type="pct"/>
                  <w:noWrap w:val="0"/>
                  <w:vAlign w:val="center"/>
                </w:tcPr>
                <w:p w14:paraId="7A262B9A">
                  <w:pPr>
                    <w:pStyle w:val="31"/>
                    <w:bidi w:val="0"/>
                    <w:jc w:val="left"/>
                    <w:rPr>
                      <w:rFonts w:hint="default" w:ascii="Times New Roman" w:hAnsi="Times New Roman" w:cs="Times New Roman"/>
                      <w:color w:val="000000"/>
                      <w:u w:val="none"/>
                      <w:lang w:val="en-US" w:eastAsia="zh-CN"/>
                    </w:rPr>
                  </w:pPr>
                  <w:r>
                    <w:rPr>
                      <w:rFonts w:hint="default" w:ascii="Times New Roman" w:hAnsi="Times New Roman" w:cs="Times New Roman"/>
                      <w:color w:val="000000"/>
                      <w:u w:val="none"/>
                      <w:lang w:val="en-US" w:eastAsia="zh-CN"/>
                    </w:rPr>
                    <w:t>陆地石油和天然气开采：全部；</w:t>
                  </w:r>
                </w:p>
                <w:p w14:paraId="1F1000E6">
                  <w:pPr>
                    <w:pStyle w:val="31"/>
                    <w:bidi w:val="0"/>
                    <w:jc w:val="left"/>
                    <w:rPr>
                      <w:rFonts w:hint="default" w:ascii="Times New Roman" w:hAnsi="Times New Roman" w:cs="Times New Roman"/>
                      <w:color w:val="000000"/>
                      <w:u w:val="none"/>
                      <w:lang w:val="en-US" w:eastAsia="zh-CN"/>
                    </w:rPr>
                  </w:pPr>
                  <w:r>
                    <w:rPr>
                      <w:rFonts w:hint="default" w:ascii="Times New Roman" w:hAnsi="Times New Roman" w:cs="Times New Roman"/>
                      <w:color w:val="000000"/>
                      <w:u w:val="none"/>
                      <w:lang w:val="en-US" w:eastAsia="zh-CN"/>
                    </w:rPr>
                    <w:t>地下水（含矿泉水）开采：全部；</w:t>
                  </w:r>
                </w:p>
                <w:p w14:paraId="4D442E3A">
                  <w:pPr>
                    <w:pStyle w:val="31"/>
                    <w:bidi w:val="0"/>
                    <w:jc w:val="left"/>
                    <w:rPr>
                      <w:rFonts w:hint="default" w:ascii="Times New Roman" w:hAnsi="Times New Roman" w:cs="Times New Roman"/>
                      <w:color w:val="000000"/>
                      <w:u w:val="none"/>
                      <w:lang w:val="en-US" w:eastAsia="zh-CN"/>
                    </w:rPr>
                  </w:pPr>
                  <w:r>
                    <w:rPr>
                      <w:rFonts w:hint="default" w:ascii="Times New Roman" w:hAnsi="Times New Roman" w:cs="Times New Roman"/>
                      <w:color w:val="000000"/>
                      <w:u w:val="none"/>
                      <w:lang w:val="en-US" w:eastAsia="zh-CN"/>
                    </w:rPr>
                    <w:t>水利、水电、交通等：含穿越可溶岩地层隧道的项目</w:t>
                  </w:r>
                </w:p>
              </w:tc>
              <w:tc>
                <w:tcPr>
                  <w:tcW w:w="1376" w:type="pct"/>
                  <w:noWrap w:val="0"/>
                  <w:vAlign w:val="center"/>
                </w:tcPr>
                <w:p w14:paraId="2736BB82">
                  <w:pPr>
                    <w:pStyle w:val="31"/>
                    <w:bidi w:val="0"/>
                    <w:jc w:val="left"/>
                    <w:rPr>
                      <w:rFonts w:hint="default" w:ascii="Times New Roman" w:hAnsi="Times New Roman" w:cs="Times New Roman"/>
                      <w:color w:val="000000"/>
                      <w:u w:val="none"/>
                      <w:lang w:val="en-US" w:eastAsia="zh-CN"/>
                    </w:rPr>
                  </w:pPr>
                  <w:r>
                    <w:rPr>
                      <w:rFonts w:hint="default" w:ascii="Times New Roman" w:hAnsi="Times New Roman" w:cs="Times New Roman"/>
                      <w:color w:val="000000"/>
                      <w:u w:val="none"/>
                      <w:lang w:val="en-US" w:eastAsia="zh-CN"/>
                    </w:rPr>
                    <w:t>本项目为</w:t>
                  </w:r>
                  <w:r>
                    <w:rPr>
                      <w:rFonts w:hint="eastAsia" w:ascii="Times New Roman" w:hAnsi="Times New Roman" w:cs="Times New Roman"/>
                      <w:color w:val="000000"/>
                      <w:u w:val="none"/>
                      <w:lang w:val="en-US" w:eastAsia="zh-CN"/>
                    </w:rPr>
                    <w:t>一级渔港建设工程</w:t>
                  </w:r>
                  <w:r>
                    <w:rPr>
                      <w:rFonts w:hint="default" w:ascii="Times New Roman" w:hAnsi="Times New Roman" w:cs="Times New Roman"/>
                      <w:color w:val="000000"/>
                      <w:u w:val="none"/>
                      <w:lang w:val="en-US" w:eastAsia="zh-CN"/>
                    </w:rPr>
                    <w:t>，不涉及所列的项目类别。</w:t>
                  </w:r>
                </w:p>
              </w:tc>
              <w:tc>
                <w:tcPr>
                  <w:tcW w:w="566" w:type="pct"/>
                  <w:noWrap w:val="0"/>
                  <w:vAlign w:val="center"/>
                </w:tcPr>
                <w:p w14:paraId="7268E216">
                  <w:pPr>
                    <w:pStyle w:val="31"/>
                    <w:bidi w:val="0"/>
                    <w:jc w:val="center"/>
                    <w:rPr>
                      <w:rFonts w:hint="default" w:ascii="Times New Roman" w:hAnsi="Times New Roman" w:cs="Times New Roman"/>
                      <w:color w:val="000000"/>
                      <w:u w:val="none"/>
                      <w:lang w:val="en-US" w:eastAsia="zh-CN"/>
                    </w:rPr>
                  </w:pPr>
                  <w:r>
                    <w:rPr>
                      <w:rFonts w:hint="default" w:ascii="Times New Roman" w:hAnsi="Times New Roman" w:cs="Times New Roman"/>
                      <w:color w:val="000000"/>
                      <w:u w:val="none"/>
                      <w:lang w:val="en-US" w:eastAsia="zh-CN"/>
                    </w:rPr>
                    <w:t>否</w:t>
                  </w:r>
                </w:p>
              </w:tc>
            </w:tr>
            <w:tr w14:paraId="25A196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56" w:type="pct"/>
                  <w:noWrap w:val="0"/>
                  <w:vAlign w:val="center"/>
                </w:tcPr>
                <w:p w14:paraId="1CFF2182">
                  <w:pPr>
                    <w:pStyle w:val="31"/>
                    <w:bidi w:val="0"/>
                    <w:jc w:val="center"/>
                    <w:rPr>
                      <w:rFonts w:hint="default" w:ascii="Times New Roman" w:hAnsi="Times New Roman" w:cs="Times New Roman"/>
                      <w:color w:val="000000"/>
                      <w:u w:val="none"/>
                      <w:lang w:val="en-US" w:eastAsia="zh-CN"/>
                    </w:rPr>
                  </w:pPr>
                  <w:r>
                    <w:rPr>
                      <w:rFonts w:hint="default" w:ascii="Times New Roman" w:hAnsi="Times New Roman" w:cs="Times New Roman"/>
                      <w:color w:val="000000"/>
                      <w:u w:val="none"/>
                      <w:lang w:val="en-US" w:eastAsia="zh-CN"/>
                    </w:rPr>
                    <w:t>生态</w:t>
                  </w:r>
                </w:p>
              </w:tc>
              <w:tc>
                <w:tcPr>
                  <w:tcW w:w="2400" w:type="pct"/>
                  <w:noWrap w:val="0"/>
                  <w:vAlign w:val="center"/>
                </w:tcPr>
                <w:p w14:paraId="776AED30">
                  <w:pPr>
                    <w:pStyle w:val="31"/>
                    <w:bidi w:val="0"/>
                    <w:jc w:val="left"/>
                    <w:rPr>
                      <w:rFonts w:hint="default" w:ascii="Times New Roman" w:hAnsi="Times New Roman" w:cs="Times New Roman"/>
                      <w:color w:val="000000"/>
                      <w:u w:val="none"/>
                      <w:lang w:val="en-US" w:eastAsia="zh-CN"/>
                    </w:rPr>
                  </w:pPr>
                  <w:r>
                    <w:rPr>
                      <w:rFonts w:hint="default" w:ascii="Times New Roman" w:hAnsi="Times New Roman" w:cs="Times New Roman"/>
                      <w:color w:val="000000"/>
                      <w:u w:val="none"/>
                      <w:lang w:val="en-US" w:eastAsia="zh-CN"/>
                    </w:rPr>
                    <w:t>涉及环境敏感区（不包括饮用水水源保护区，以居住、医疗卫生、文化教育、科研、行政办公为主要功能的区域，以及文物保护单位）的项目</w:t>
                  </w:r>
                </w:p>
              </w:tc>
              <w:tc>
                <w:tcPr>
                  <w:tcW w:w="1376" w:type="pct"/>
                  <w:noWrap w:val="0"/>
                  <w:vAlign w:val="center"/>
                </w:tcPr>
                <w:p w14:paraId="73041B30">
                  <w:pPr>
                    <w:pStyle w:val="31"/>
                    <w:bidi w:val="0"/>
                    <w:jc w:val="left"/>
                    <w:rPr>
                      <w:rFonts w:hint="default" w:ascii="Times New Roman" w:hAnsi="Times New Roman" w:cs="Times New Roman"/>
                      <w:b/>
                      <w:bCs/>
                      <w:color w:val="000000"/>
                      <w:highlight w:val="none"/>
                      <w:u w:val="none"/>
                      <w:lang w:val="en-US" w:eastAsia="zh-CN"/>
                    </w:rPr>
                  </w:pPr>
                  <w:r>
                    <w:rPr>
                      <w:rFonts w:hint="eastAsia" w:ascii="Times New Roman" w:hAnsi="Times New Roman" w:cs="Times New Roman"/>
                      <w:b w:val="0"/>
                      <w:bCs w:val="0"/>
                      <w:color w:val="000000"/>
                      <w:highlight w:val="none"/>
                      <w:u w:val="none"/>
                      <w:lang w:val="en-US" w:eastAsia="zh-CN"/>
                    </w:rPr>
                    <w:t>本项目</w:t>
                  </w:r>
                  <w:r>
                    <w:rPr>
                      <w:rFonts w:hint="default" w:ascii="Times New Roman" w:hAnsi="Times New Roman" w:cs="Times New Roman"/>
                      <w:b w:val="0"/>
                      <w:bCs w:val="0"/>
                      <w:color w:val="000000"/>
                      <w:highlight w:val="none"/>
                      <w:u w:val="none"/>
                      <w:lang w:val="en-US" w:eastAsia="zh-CN"/>
                    </w:rPr>
                    <w:t>不位于、不穿越、不跨越环境敏感区，环境影响范围不涵盖环境敏感区</w:t>
                  </w:r>
                  <w:r>
                    <w:rPr>
                      <w:rFonts w:hint="eastAsia" w:ascii="Times New Roman" w:hAnsi="Times New Roman" w:cs="Times New Roman"/>
                      <w:b w:val="0"/>
                      <w:bCs w:val="0"/>
                      <w:color w:val="000000"/>
                      <w:highlight w:val="none"/>
                      <w:u w:val="none"/>
                      <w:lang w:val="en-US" w:eastAsia="zh-CN"/>
                    </w:rPr>
                    <w:t>。</w:t>
                  </w:r>
                </w:p>
              </w:tc>
              <w:tc>
                <w:tcPr>
                  <w:tcW w:w="566" w:type="pct"/>
                  <w:noWrap w:val="0"/>
                  <w:vAlign w:val="center"/>
                </w:tcPr>
                <w:p w14:paraId="260C45EA">
                  <w:pPr>
                    <w:pStyle w:val="31"/>
                    <w:bidi w:val="0"/>
                    <w:jc w:val="center"/>
                    <w:rPr>
                      <w:rFonts w:hint="default" w:ascii="Times New Roman" w:hAnsi="Times New Roman" w:cs="Times New Roman"/>
                      <w:b/>
                      <w:bCs/>
                      <w:color w:val="000000"/>
                      <w:highlight w:val="none"/>
                      <w:u w:val="none"/>
                      <w:lang w:val="en-US" w:eastAsia="zh-CN"/>
                    </w:rPr>
                  </w:pPr>
                  <w:r>
                    <w:rPr>
                      <w:rFonts w:hint="default" w:ascii="Times New Roman" w:hAnsi="Times New Roman" w:cs="Times New Roman"/>
                      <w:color w:val="000000"/>
                      <w:u w:val="none"/>
                      <w:lang w:val="en-US" w:eastAsia="zh-CN"/>
                    </w:rPr>
                    <w:t>否</w:t>
                  </w:r>
                </w:p>
              </w:tc>
            </w:tr>
            <w:tr w14:paraId="38BAD4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56" w:type="pct"/>
                  <w:noWrap w:val="0"/>
                  <w:vAlign w:val="center"/>
                </w:tcPr>
                <w:p w14:paraId="3F2D98E3">
                  <w:pPr>
                    <w:pStyle w:val="31"/>
                    <w:bidi w:val="0"/>
                    <w:jc w:val="center"/>
                    <w:rPr>
                      <w:rFonts w:hint="default" w:ascii="Times New Roman" w:hAnsi="Times New Roman" w:cs="Times New Roman"/>
                      <w:color w:val="000000"/>
                      <w:u w:val="none"/>
                      <w:lang w:val="en-US" w:eastAsia="zh-CN"/>
                    </w:rPr>
                  </w:pPr>
                  <w:r>
                    <w:rPr>
                      <w:rFonts w:hint="default" w:ascii="Times New Roman" w:hAnsi="Times New Roman" w:cs="Times New Roman"/>
                      <w:color w:val="000000"/>
                      <w:u w:val="none"/>
                      <w:lang w:val="en-US" w:eastAsia="zh-CN"/>
                    </w:rPr>
                    <w:t>大气</w:t>
                  </w:r>
                </w:p>
              </w:tc>
              <w:tc>
                <w:tcPr>
                  <w:tcW w:w="2400" w:type="pct"/>
                  <w:noWrap w:val="0"/>
                  <w:vAlign w:val="center"/>
                </w:tcPr>
                <w:p w14:paraId="773F2911">
                  <w:pPr>
                    <w:pStyle w:val="31"/>
                    <w:bidi w:val="0"/>
                    <w:jc w:val="left"/>
                    <w:rPr>
                      <w:rFonts w:hint="default" w:ascii="Times New Roman" w:hAnsi="Times New Roman" w:cs="Times New Roman"/>
                      <w:color w:val="000000"/>
                      <w:u w:val="none"/>
                      <w:lang w:val="en-US" w:eastAsia="zh-CN"/>
                    </w:rPr>
                  </w:pPr>
                  <w:r>
                    <w:rPr>
                      <w:rFonts w:hint="default" w:ascii="Times New Roman" w:hAnsi="Times New Roman" w:cs="Times New Roman"/>
                      <w:color w:val="000000"/>
                      <w:u w:val="none"/>
                      <w:lang w:val="en-US" w:eastAsia="zh-CN"/>
                    </w:rPr>
                    <w:t>油气、液体化工码头：全部；</w:t>
                  </w:r>
                </w:p>
                <w:p w14:paraId="19827D49">
                  <w:pPr>
                    <w:pStyle w:val="31"/>
                    <w:bidi w:val="0"/>
                    <w:jc w:val="left"/>
                    <w:rPr>
                      <w:rFonts w:hint="default" w:ascii="Times New Roman" w:hAnsi="Times New Roman" w:cs="Times New Roman"/>
                      <w:color w:val="000000"/>
                      <w:u w:val="none"/>
                      <w:lang w:val="en-US" w:eastAsia="zh-CN"/>
                    </w:rPr>
                  </w:pPr>
                  <w:r>
                    <w:rPr>
                      <w:rFonts w:hint="default" w:ascii="Times New Roman" w:hAnsi="Times New Roman" w:cs="Times New Roman"/>
                      <w:color w:val="000000"/>
                      <w:u w:val="none"/>
                      <w:lang w:val="en-US" w:eastAsia="zh-CN"/>
                    </w:rPr>
                    <w:t>干散货（含煤炭、矿石）、件杂、多用途、通用码头：涉及粉尘、挥发性有机物排放的项目</w:t>
                  </w:r>
                </w:p>
              </w:tc>
              <w:tc>
                <w:tcPr>
                  <w:tcW w:w="1376" w:type="pct"/>
                  <w:noWrap w:val="0"/>
                  <w:vAlign w:val="center"/>
                </w:tcPr>
                <w:p w14:paraId="2F4EEA3C">
                  <w:pPr>
                    <w:pStyle w:val="31"/>
                    <w:bidi w:val="0"/>
                    <w:jc w:val="left"/>
                    <w:rPr>
                      <w:rFonts w:hint="default" w:ascii="Times New Roman" w:hAnsi="Times New Roman" w:eastAsia="宋体" w:cs="Times New Roman"/>
                      <w:color w:val="000000"/>
                      <w:u w:val="none"/>
                      <w:lang w:val="en-US" w:eastAsia="zh-CN"/>
                    </w:rPr>
                  </w:pPr>
                  <w:r>
                    <w:rPr>
                      <w:rFonts w:hint="eastAsia" w:ascii="Times New Roman" w:hAnsi="Times New Roman" w:eastAsia="宋体" w:cs="Times New Roman"/>
                      <w:color w:val="000000"/>
                      <w:u w:val="none"/>
                      <w:lang w:val="en-US" w:eastAsia="zh-CN"/>
                    </w:rPr>
                    <w:t>本项目南防波堤兼码头主要用于渔船停靠、渔货装卸，主要大气污染物为氨、硫化氢。</w:t>
                  </w:r>
                </w:p>
              </w:tc>
              <w:tc>
                <w:tcPr>
                  <w:tcW w:w="566" w:type="pct"/>
                  <w:noWrap w:val="0"/>
                  <w:vAlign w:val="center"/>
                </w:tcPr>
                <w:p w14:paraId="45AB76C3">
                  <w:pPr>
                    <w:pStyle w:val="31"/>
                    <w:bidi w:val="0"/>
                    <w:jc w:val="center"/>
                    <w:rPr>
                      <w:rFonts w:hint="default" w:ascii="Times New Roman" w:hAnsi="Times New Roman" w:cs="Times New Roman"/>
                      <w:color w:val="000000"/>
                      <w:u w:val="none"/>
                      <w:lang w:val="en-US" w:eastAsia="zh-CN"/>
                    </w:rPr>
                  </w:pPr>
                  <w:r>
                    <w:rPr>
                      <w:rFonts w:hint="default" w:ascii="Times New Roman" w:hAnsi="Times New Roman" w:cs="Times New Roman"/>
                      <w:color w:val="000000"/>
                      <w:u w:val="none"/>
                      <w:lang w:val="en-US" w:eastAsia="zh-CN"/>
                    </w:rPr>
                    <w:t>否</w:t>
                  </w:r>
                </w:p>
              </w:tc>
            </w:tr>
            <w:tr w14:paraId="4F76AF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56" w:type="pct"/>
                  <w:noWrap w:val="0"/>
                  <w:vAlign w:val="center"/>
                </w:tcPr>
                <w:p w14:paraId="5048EA1D">
                  <w:pPr>
                    <w:pStyle w:val="31"/>
                    <w:bidi w:val="0"/>
                    <w:jc w:val="center"/>
                    <w:rPr>
                      <w:rFonts w:hint="default" w:ascii="Times New Roman" w:hAnsi="Times New Roman" w:cs="Times New Roman"/>
                      <w:color w:val="000000"/>
                      <w:u w:val="none"/>
                      <w:lang w:val="en-US" w:eastAsia="zh-CN"/>
                    </w:rPr>
                  </w:pPr>
                  <w:r>
                    <w:rPr>
                      <w:rFonts w:hint="default" w:ascii="Times New Roman" w:hAnsi="Times New Roman" w:cs="Times New Roman"/>
                      <w:color w:val="000000"/>
                      <w:u w:val="none"/>
                      <w:lang w:val="en-US" w:eastAsia="zh-CN"/>
                    </w:rPr>
                    <w:t>噪声</w:t>
                  </w:r>
                </w:p>
              </w:tc>
              <w:tc>
                <w:tcPr>
                  <w:tcW w:w="2400" w:type="pct"/>
                  <w:noWrap w:val="0"/>
                  <w:vAlign w:val="center"/>
                </w:tcPr>
                <w:p w14:paraId="5A9CD766">
                  <w:pPr>
                    <w:pStyle w:val="31"/>
                    <w:bidi w:val="0"/>
                    <w:jc w:val="left"/>
                    <w:rPr>
                      <w:rFonts w:hint="default" w:ascii="Times New Roman" w:hAnsi="Times New Roman" w:cs="Times New Roman"/>
                      <w:color w:val="000000"/>
                      <w:u w:val="none"/>
                      <w:lang w:val="en-US" w:eastAsia="zh-CN"/>
                    </w:rPr>
                  </w:pPr>
                  <w:r>
                    <w:rPr>
                      <w:rFonts w:hint="default" w:ascii="Times New Roman" w:hAnsi="Times New Roman" w:cs="Times New Roman"/>
                      <w:color w:val="000000"/>
                      <w:u w:val="none"/>
                      <w:lang w:val="en-US" w:eastAsia="zh-CN"/>
                    </w:rPr>
                    <w:t>公路、铁路、机场等交通运输业涉及环境敏感区（以居住、医疗卫生、文化教育、科研、行政办公为主要功能的区域）的项目；</w:t>
                  </w:r>
                </w:p>
                <w:p w14:paraId="2028BD43">
                  <w:pPr>
                    <w:pStyle w:val="31"/>
                    <w:bidi w:val="0"/>
                    <w:jc w:val="left"/>
                    <w:rPr>
                      <w:rFonts w:hint="default" w:ascii="Times New Roman" w:hAnsi="Times New Roman" w:cs="Times New Roman"/>
                      <w:color w:val="000000"/>
                      <w:u w:val="none"/>
                      <w:lang w:val="en-US" w:eastAsia="zh-CN"/>
                    </w:rPr>
                  </w:pPr>
                  <w:r>
                    <w:rPr>
                      <w:rFonts w:hint="default" w:ascii="Times New Roman" w:hAnsi="Times New Roman" w:cs="Times New Roman"/>
                      <w:color w:val="000000"/>
                      <w:u w:val="none"/>
                      <w:lang w:val="en-US" w:eastAsia="zh-CN"/>
                    </w:rPr>
                    <w:t>城市道路（不含维护，不含支路、人行天桥、人行地道）：全部</w:t>
                  </w:r>
                </w:p>
              </w:tc>
              <w:tc>
                <w:tcPr>
                  <w:tcW w:w="1376" w:type="pct"/>
                  <w:noWrap w:val="0"/>
                  <w:vAlign w:val="center"/>
                </w:tcPr>
                <w:p w14:paraId="563EC3A9">
                  <w:pPr>
                    <w:pStyle w:val="31"/>
                    <w:bidi w:val="0"/>
                    <w:jc w:val="left"/>
                    <w:rPr>
                      <w:rFonts w:hint="default" w:ascii="Times New Roman" w:hAnsi="Times New Roman" w:cs="Times New Roman"/>
                      <w:color w:val="000000"/>
                      <w:highlight w:val="yellow"/>
                      <w:u w:val="none"/>
                      <w:lang w:val="en-US" w:eastAsia="zh-CN"/>
                    </w:rPr>
                  </w:pPr>
                  <w:r>
                    <w:rPr>
                      <w:rFonts w:hint="default" w:ascii="Times New Roman" w:hAnsi="Times New Roman" w:cs="Times New Roman"/>
                      <w:color w:val="000000"/>
                      <w:u w:val="none"/>
                      <w:lang w:val="en-US" w:eastAsia="zh-CN"/>
                    </w:rPr>
                    <w:t>本项目为</w:t>
                  </w:r>
                  <w:r>
                    <w:rPr>
                      <w:rFonts w:hint="eastAsia" w:ascii="Times New Roman" w:hAnsi="Times New Roman" w:cs="Times New Roman"/>
                      <w:color w:val="000000"/>
                      <w:u w:val="none"/>
                      <w:lang w:val="en-US" w:eastAsia="zh-CN"/>
                    </w:rPr>
                    <w:t>一级渔港建设工程</w:t>
                  </w:r>
                  <w:r>
                    <w:rPr>
                      <w:rFonts w:hint="default" w:ascii="Times New Roman" w:hAnsi="Times New Roman" w:cs="Times New Roman"/>
                      <w:color w:val="000000"/>
                      <w:u w:val="none"/>
                      <w:lang w:val="en-US" w:eastAsia="zh-CN"/>
                    </w:rPr>
                    <w:t>，不涉及所列的项目类别。</w:t>
                  </w:r>
                </w:p>
              </w:tc>
              <w:tc>
                <w:tcPr>
                  <w:tcW w:w="566" w:type="pct"/>
                  <w:noWrap w:val="0"/>
                  <w:vAlign w:val="center"/>
                </w:tcPr>
                <w:p w14:paraId="4D5731AB">
                  <w:pPr>
                    <w:pStyle w:val="31"/>
                    <w:bidi w:val="0"/>
                    <w:jc w:val="center"/>
                    <w:rPr>
                      <w:rFonts w:hint="default" w:ascii="Times New Roman" w:hAnsi="Times New Roman" w:cs="Times New Roman"/>
                      <w:color w:val="000000"/>
                      <w:u w:val="none"/>
                      <w:lang w:val="en-US" w:eastAsia="zh-CN"/>
                    </w:rPr>
                  </w:pPr>
                  <w:r>
                    <w:rPr>
                      <w:rFonts w:hint="default" w:ascii="Times New Roman" w:hAnsi="Times New Roman" w:cs="Times New Roman"/>
                      <w:color w:val="000000"/>
                      <w:u w:val="none"/>
                      <w:lang w:val="en-US" w:eastAsia="zh-CN"/>
                    </w:rPr>
                    <w:t>否</w:t>
                  </w:r>
                </w:p>
              </w:tc>
            </w:tr>
            <w:tr w14:paraId="6BEBCB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56" w:type="pct"/>
                  <w:noWrap w:val="0"/>
                  <w:vAlign w:val="center"/>
                </w:tcPr>
                <w:p w14:paraId="3656D0B5">
                  <w:pPr>
                    <w:pStyle w:val="31"/>
                    <w:bidi w:val="0"/>
                    <w:jc w:val="center"/>
                    <w:rPr>
                      <w:rFonts w:hint="default" w:ascii="Times New Roman" w:hAnsi="Times New Roman" w:cs="Times New Roman"/>
                      <w:color w:val="000000"/>
                      <w:u w:val="none"/>
                      <w:lang w:val="en-US" w:eastAsia="zh-CN"/>
                    </w:rPr>
                  </w:pPr>
                  <w:r>
                    <w:rPr>
                      <w:rFonts w:hint="default" w:ascii="Times New Roman" w:hAnsi="Times New Roman" w:cs="Times New Roman"/>
                      <w:color w:val="000000"/>
                      <w:u w:val="none"/>
                      <w:lang w:val="en-US" w:eastAsia="zh-CN"/>
                    </w:rPr>
                    <w:t>环境风险</w:t>
                  </w:r>
                </w:p>
              </w:tc>
              <w:tc>
                <w:tcPr>
                  <w:tcW w:w="2400" w:type="pct"/>
                  <w:noWrap w:val="0"/>
                  <w:vAlign w:val="center"/>
                </w:tcPr>
                <w:p w14:paraId="1B894710">
                  <w:pPr>
                    <w:pStyle w:val="31"/>
                    <w:bidi w:val="0"/>
                    <w:jc w:val="left"/>
                    <w:rPr>
                      <w:rFonts w:hint="default" w:ascii="Times New Roman" w:hAnsi="Times New Roman" w:cs="Times New Roman"/>
                      <w:color w:val="000000"/>
                      <w:u w:val="none"/>
                      <w:lang w:val="en-US" w:eastAsia="zh-CN"/>
                    </w:rPr>
                  </w:pPr>
                  <w:r>
                    <w:rPr>
                      <w:rFonts w:hint="default" w:ascii="Times New Roman" w:hAnsi="Times New Roman" w:cs="Times New Roman"/>
                      <w:color w:val="000000"/>
                      <w:u w:val="none"/>
                      <w:lang w:val="en-US" w:eastAsia="zh-CN"/>
                    </w:rPr>
                    <w:t>石油和天然气开采：全部；</w:t>
                  </w:r>
                </w:p>
                <w:p w14:paraId="1584B035">
                  <w:pPr>
                    <w:pStyle w:val="31"/>
                    <w:bidi w:val="0"/>
                    <w:jc w:val="left"/>
                    <w:rPr>
                      <w:rFonts w:hint="default" w:ascii="Times New Roman" w:hAnsi="Times New Roman" w:cs="Times New Roman"/>
                      <w:color w:val="000000"/>
                      <w:u w:val="none"/>
                      <w:lang w:val="en-US" w:eastAsia="zh-CN"/>
                    </w:rPr>
                  </w:pPr>
                  <w:r>
                    <w:rPr>
                      <w:rFonts w:hint="default" w:ascii="Times New Roman" w:hAnsi="Times New Roman" w:cs="Times New Roman"/>
                      <w:color w:val="000000"/>
                      <w:u w:val="none"/>
                      <w:lang w:val="en-US" w:eastAsia="zh-CN"/>
                    </w:rPr>
                    <w:t>油气、液体化工码头：全部；</w:t>
                  </w:r>
                </w:p>
                <w:p w14:paraId="24C8737E">
                  <w:pPr>
                    <w:pStyle w:val="31"/>
                    <w:bidi w:val="0"/>
                    <w:jc w:val="left"/>
                    <w:rPr>
                      <w:rFonts w:hint="default" w:ascii="Times New Roman" w:hAnsi="Times New Roman" w:cs="Times New Roman"/>
                      <w:color w:val="000000"/>
                      <w:u w:val="none"/>
                      <w:lang w:val="en-US" w:eastAsia="zh-CN"/>
                    </w:rPr>
                  </w:pPr>
                  <w:r>
                    <w:rPr>
                      <w:rFonts w:hint="default" w:ascii="Times New Roman" w:hAnsi="Times New Roman" w:cs="Times New Roman"/>
                      <w:color w:val="000000"/>
                      <w:u w:val="none"/>
                      <w:lang w:val="en-US" w:eastAsia="zh-CN"/>
                    </w:rPr>
                    <w:t>原油、成品油、天然气管线（不含城镇天然气管线、企业厂区内管线），危险化学品输送管线（不含企业厂区内管线）：全部</w:t>
                  </w:r>
                </w:p>
              </w:tc>
              <w:tc>
                <w:tcPr>
                  <w:tcW w:w="1376" w:type="pct"/>
                  <w:noWrap w:val="0"/>
                  <w:vAlign w:val="center"/>
                </w:tcPr>
                <w:p w14:paraId="639B4CAB">
                  <w:pPr>
                    <w:pStyle w:val="31"/>
                    <w:bidi w:val="0"/>
                    <w:jc w:val="left"/>
                    <w:rPr>
                      <w:rFonts w:hint="default" w:ascii="Times New Roman" w:hAnsi="Times New Roman" w:cs="Times New Roman"/>
                      <w:color w:val="000000"/>
                      <w:highlight w:val="yellow"/>
                      <w:u w:val="none"/>
                      <w:lang w:val="en-US" w:eastAsia="zh-CN"/>
                    </w:rPr>
                  </w:pPr>
                  <w:r>
                    <w:rPr>
                      <w:rFonts w:hint="default" w:ascii="Times New Roman" w:hAnsi="Times New Roman" w:cs="Times New Roman"/>
                      <w:color w:val="000000"/>
                      <w:u w:val="none"/>
                      <w:lang w:val="en-US" w:eastAsia="zh-CN"/>
                    </w:rPr>
                    <w:t>本项目为</w:t>
                  </w:r>
                  <w:r>
                    <w:rPr>
                      <w:rFonts w:hint="eastAsia" w:ascii="Times New Roman" w:hAnsi="Times New Roman" w:cs="Times New Roman"/>
                      <w:color w:val="000000"/>
                      <w:u w:val="none"/>
                      <w:lang w:val="en-US" w:eastAsia="zh-CN"/>
                    </w:rPr>
                    <w:t>一级渔港建设工程</w:t>
                  </w:r>
                  <w:r>
                    <w:rPr>
                      <w:rFonts w:hint="default" w:ascii="Times New Roman" w:hAnsi="Times New Roman" w:cs="Times New Roman"/>
                      <w:color w:val="000000"/>
                      <w:u w:val="none"/>
                      <w:lang w:val="en-US" w:eastAsia="zh-CN"/>
                    </w:rPr>
                    <w:t>，不涉及所列的项目类别。</w:t>
                  </w:r>
                </w:p>
              </w:tc>
              <w:tc>
                <w:tcPr>
                  <w:tcW w:w="566" w:type="pct"/>
                  <w:noWrap w:val="0"/>
                  <w:vAlign w:val="center"/>
                </w:tcPr>
                <w:p w14:paraId="6804D62D">
                  <w:pPr>
                    <w:pStyle w:val="31"/>
                    <w:bidi w:val="0"/>
                    <w:jc w:val="center"/>
                    <w:rPr>
                      <w:rFonts w:hint="default" w:ascii="Times New Roman" w:hAnsi="Times New Roman" w:cs="Times New Roman"/>
                      <w:color w:val="000000"/>
                      <w:u w:val="none"/>
                      <w:lang w:val="en-US" w:eastAsia="zh-CN"/>
                    </w:rPr>
                  </w:pPr>
                  <w:r>
                    <w:rPr>
                      <w:rFonts w:hint="default" w:ascii="Times New Roman" w:hAnsi="Times New Roman" w:cs="Times New Roman"/>
                      <w:color w:val="000000"/>
                      <w:u w:val="none"/>
                      <w:lang w:val="en-US" w:eastAsia="zh-CN"/>
                    </w:rPr>
                    <w:t>否</w:t>
                  </w:r>
                </w:p>
              </w:tc>
            </w:tr>
            <w:tr w14:paraId="4E741F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4"/>
                  <w:noWrap w:val="0"/>
                  <w:vAlign w:val="center"/>
                </w:tcPr>
                <w:p w14:paraId="10A5E881">
                  <w:pPr>
                    <w:pStyle w:val="31"/>
                    <w:bidi w:val="0"/>
                    <w:jc w:val="both"/>
                    <w:rPr>
                      <w:rFonts w:hint="default" w:ascii="Times New Roman" w:hAnsi="Times New Roman" w:cs="Times New Roman"/>
                      <w:color w:val="000000"/>
                      <w:u w:val="none"/>
                      <w:lang w:val="en-US" w:eastAsia="zh-CN"/>
                    </w:rPr>
                  </w:pPr>
                  <w:r>
                    <w:rPr>
                      <w:rFonts w:hint="default" w:ascii="Times New Roman" w:hAnsi="Times New Roman" w:cs="Times New Roman"/>
                      <w:color w:val="000000"/>
                      <w:sz w:val="21"/>
                      <w:szCs w:val="21"/>
                      <w:u w:val="none"/>
                      <w:lang w:val="en-US" w:eastAsia="zh-CN"/>
                    </w:rPr>
                    <w:t>注：“涉及环境敏感区”是指建设项目位于、穿（跨）越（无害化通过的除外）环境敏感区，或环境影响范围涵盖环境敏感区。环境敏感区是指《建设项目环境影响评价分类管理名录》中针对该类项目所列的敏感区。</w:t>
                  </w:r>
                </w:p>
              </w:tc>
            </w:tr>
          </w:tbl>
          <w:p w14:paraId="1FE67179">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lang w:val="en-US" w:eastAsia="zh-CN"/>
              </w:rPr>
            </w:pPr>
          </w:p>
          <w:p w14:paraId="4CFE9DE6">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lang w:val="en-US" w:eastAsia="zh-CN"/>
              </w:rPr>
            </w:pPr>
          </w:p>
          <w:p w14:paraId="191B02E4">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lang w:val="en-US" w:eastAsia="zh-CN"/>
              </w:rPr>
            </w:pPr>
          </w:p>
          <w:p w14:paraId="5C9EEBDC">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lang w:val="en-US" w:eastAsia="zh-CN"/>
              </w:rPr>
            </w:pPr>
          </w:p>
          <w:p w14:paraId="33CD39DB">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rPr>
            </w:pPr>
          </w:p>
        </w:tc>
      </w:tr>
    </w:tbl>
    <w:p w14:paraId="659390F8">
      <w:pPr>
        <w:spacing w:line="360" w:lineRule="auto"/>
        <w:outlineLvl w:val="9"/>
        <w:rPr>
          <w:rFonts w:hint="default" w:ascii="Times New Roman" w:hAnsi="Times New Roman" w:eastAsia="黑体" w:cs="Times New Roman"/>
          <w:color w:val="000000"/>
          <w:sz w:val="30"/>
          <w:u w:val="none"/>
        </w:rPr>
        <w:sectPr>
          <w:footerReference r:id="rId8" w:type="default"/>
          <w:pgSz w:w="11906" w:h="16838"/>
          <w:pgMar w:top="1701" w:right="1531" w:bottom="1701" w:left="1531" w:header="851" w:footer="1077" w:gutter="0"/>
          <w:pgNumType w:fmt="decimal" w:start="1"/>
          <w:cols w:space="720" w:num="1"/>
          <w:docGrid w:linePitch="312" w:charSpace="0"/>
        </w:sectPr>
      </w:pPr>
    </w:p>
    <w:tbl>
      <w:tblPr>
        <w:tblStyle w:val="22"/>
        <w:tblW w:w="907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8" w:type="dxa"/>
          <w:left w:w="108" w:type="dxa"/>
          <w:bottom w:w="108" w:type="dxa"/>
          <w:right w:w="108" w:type="dxa"/>
        </w:tblCellMar>
      </w:tblPr>
      <w:tblGrid>
        <w:gridCol w:w="698"/>
        <w:gridCol w:w="8378"/>
      </w:tblGrid>
      <w:tr w14:paraId="54411D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8" w:type="dxa"/>
            <w:left w:w="108" w:type="dxa"/>
            <w:bottom w:w="108" w:type="dxa"/>
            <w:right w:w="108" w:type="dxa"/>
          </w:tblCellMar>
        </w:tblPrEx>
        <w:tc>
          <w:tcPr>
            <w:tcW w:w="698" w:type="dxa"/>
            <w:noWrap w:val="0"/>
            <w:vAlign w:val="center"/>
          </w:tcPr>
          <w:p w14:paraId="09D8287E">
            <w:pPr>
              <w:spacing w:line="360" w:lineRule="auto"/>
              <w:jc w:val="center"/>
              <w:outlineLvl w:val="0"/>
              <w:rPr>
                <w:rFonts w:hint="default" w:ascii="Times New Roman" w:hAnsi="Times New Roman" w:eastAsia="黑体" w:cs="Times New Roman"/>
                <w:color w:val="000000"/>
                <w:sz w:val="30"/>
                <w:u w:val="none"/>
                <w:vertAlign w:val="baseline"/>
              </w:rPr>
            </w:pPr>
            <w:bookmarkStart w:id="45" w:name="_Toc21675"/>
            <w:bookmarkStart w:id="46" w:name="_Toc9755"/>
            <w:bookmarkStart w:id="47" w:name="_Toc18460"/>
            <w:bookmarkStart w:id="48" w:name="_Toc7045"/>
            <w:bookmarkStart w:id="49" w:name="_Toc945"/>
            <w:bookmarkStart w:id="50" w:name="_Toc22368"/>
            <w:bookmarkStart w:id="51" w:name="_Toc27577"/>
            <w:bookmarkStart w:id="52" w:name="_Toc11285"/>
            <w:bookmarkStart w:id="53" w:name="_Toc11681"/>
            <w:bookmarkStart w:id="54" w:name="_Toc8281"/>
            <w:bookmarkStart w:id="55" w:name="_Toc21287"/>
            <w:bookmarkStart w:id="56" w:name="_Toc24936"/>
            <w:r>
              <w:rPr>
                <w:rFonts w:hint="default" w:ascii="Times New Roman" w:hAnsi="Times New Roman" w:cs="Times New Roman"/>
                <w:color w:val="000000"/>
                <w:szCs w:val="21"/>
                <w:u w:val="none"/>
              </w:rPr>
              <w:t>规划情况</w:t>
            </w:r>
            <w:bookmarkEnd w:id="45"/>
            <w:bookmarkEnd w:id="46"/>
            <w:bookmarkEnd w:id="47"/>
            <w:bookmarkEnd w:id="48"/>
            <w:bookmarkEnd w:id="49"/>
            <w:bookmarkEnd w:id="50"/>
            <w:bookmarkEnd w:id="51"/>
            <w:bookmarkEnd w:id="52"/>
            <w:bookmarkEnd w:id="53"/>
            <w:bookmarkEnd w:id="54"/>
            <w:bookmarkEnd w:id="55"/>
            <w:bookmarkEnd w:id="56"/>
          </w:p>
        </w:tc>
        <w:tc>
          <w:tcPr>
            <w:tcW w:w="8378" w:type="dxa"/>
            <w:noWrap w:val="0"/>
            <w:vAlign w:val="top"/>
          </w:tcPr>
          <w:p w14:paraId="40CADB17">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u w:val="none"/>
                <w:lang w:val="en-US" w:eastAsia="zh-CN"/>
              </w:rPr>
            </w:pPr>
            <w:r>
              <w:rPr>
                <w:rFonts w:hint="default" w:ascii="Times New Roman" w:hAnsi="Times New Roman" w:cs="Times New Roman"/>
                <w:color w:val="000000"/>
                <w:u w:val="none"/>
                <w:lang w:val="en-US" w:eastAsia="zh-CN"/>
              </w:rPr>
              <w:t>本项目依据的规划情况见表1.1-2。</w:t>
            </w:r>
          </w:p>
          <w:p w14:paraId="72E37802">
            <w:pPr>
              <w:pStyle w:val="30"/>
              <w:bidi w:val="0"/>
              <w:rPr>
                <w:rFonts w:hint="default" w:ascii="Times New Roman" w:hAnsi="Times New Roman" w:cs="Times New Roman"/>
                <w:color w:val="000000"/>
                <w:u w:val="none"/>
                <w:lang w:val="en-US" w:eastAsia="zh-CN"/>
              </w:rPr>
            </w:pPr>
            <w:r>
              <w:rPr>
                <w:rFonts w:hint="default" w:ascii="Times New Roman" w:hAnsi="Times New Roman" w:cs="Times New Roman"/>
                <w:color w:val="000000"/>
                <w:u w:val="none"/>
                <w:lang w:val="en-US" w:eastAsia="zh-CN"/>
              </w:rPr>
              <w:t>表1.1-2 规划情况一览表</w:t>
            </w:r>
          </w:p>
          <w:tbl>
            <w:tblPr>
              <w:tblStyle w:val="2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7"/>
              <w:gridCol w:w="1732"/>
              <w:gridCol w:w="1950"/>
              <w:gridCol w:w="3813"/>
            </w:tblGrid>
            <w:tr w14:paraId="380D6D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57" w:type="dxa"/>
                  <w:noWrap w:val="0"/>
                  <w:vAlign w:val="center"/>
                </w:tcPr>
                <w:p w14:paraId="1B8A0852">
                  <w:pPr>
                    <w:pStyle w:val="31"/>
                    <w:bidi w:val="0"/>
                    <w:jc w:val="center"/>
                    <w:rPr>
                      <w:rFonts w:hint="default" w:ascii="Times New Roman" w:hAnsi="Times New Roman" w:cs="Times New Roman"/>
                      <w:b/>
                      <w:bCs/>
                      <w:color w:val="000000"/>
                      <w:u w:val="none"/>
                      <w:lang w:val="en-US" w:eastAsia="zh-CN"/>
                    </w:rPr>
                  </w:pPr>
                  <w:r>
                    <w:rPr>
                      <w:rFonts w:hint="default" w:ascii="Times New Roman" w:hAnsi="Times New Roman" w:cs="Times New Roman"/>
                      <w:b/>
                      <w:bCs/>
                      <w:color w:val="000000"/>
                      <w:u w:val="none"/>
                      <w:lang w:val="en-US" w:eastAsia="zh-CN"/>
                    </w:rPr>
                    <w:t>序号</w:t>
                  </w:r>
                </w:p>
              </w:tc>
              <w:tc>
                <w:tcPr>
                  <w:tcW w:w="1732" w:type="dxa"/>
                  <w:noWrap w:val="0"/>
                  <w:vAlign w:val="center"/>
                </w:tcPr>
                <w:p w14:paraId="79F01448">
                  <w:pPr>
                    <w:pStyle w:val="31"/>
                    <w:bidi w:val="0"/>
                    <w:jc w:val="center"/>
                    <w:rPr>
                      <w:rFonts w:hint="default" w:ascii="Times New Roman" w:hAnsi="Times New Roman" w:cs="Times New Roman"/>
                      <w:b/>
                      <w:bCs/>
                      <w:color w:val="000000"/>
                      <w:u w:val="none"/>
                      <w:lang w:val="en-US" w:eastAsia="zh-CN"/>
                    </w:rPr>
                  </w:pPr>
                  <w:r>
                    <w:rPr>
                      <w:rFonts w:hint="default" w:ascii="Times New Roman" w:hAnsi="Times New Roman" w:cs="Times New Roman"/>
                      <w:b/>
                      <w:bCs/>
                      <w:color w:val="000000"/>
                      <w:u w:val="none"/>
                      <w:lang w:val="en-US" w:eastAsia="zh-CN"/>
                    </w:rPr>
                    <w:t>规划名称</w:t>
                  </w:r>
                </w:p>
              </w:tc>
              <w:tc>
                <w:tcPr>
                  <w:tcW w:w="1950" w:type="dxa"/>
                  <w:noWrap w:val="0"/>
                  <w:vAlign w:val="center"/>
                </w:tcPr>
                <w:p w14:paraId="7DCACB19">
                  <w:pPr>
                    <w:pStyle w:val="31"/>
                    <w:bidi w:val="0"/>
                    <w:jc w:val="center"/>
                    <w:rPr>
                      <w:rFonts w:hint="default" w:ascii="Times New Roman" w:hAnsi="Times New Roman" w:cs="Times New Roman"/>
                      <w:b/>
                      <w:bCs/>
                      <w:color w:val="000000"/>
                      <w:u w:val="none"/>
                      <w:lang w:val="en-US" w:eastAsia="zh-CN"/>
                    </w:rPr>
                  </w:pPr>
                  <w:r>
                    <w:rPr>
                      <w:rFonts w:hint="default" w:ascii="Times New Roman" w:hAnsi="Times New Roman" w:cs="Times New Roman"/>
                      <w:b/>
                      <w:bCs/>
                      <w:color w:val="000000"/>
                      <w:u w:val="none"/>
                      <w:lang w:val="en-US" w:eastAsia="zh-CN"/>
                    </w:rPr>
                    <w:t>审批机关</w:t>
                  </w:r>
                </w:p>
              </w:tc>
              <w:tc>
                <w:tcPr>
                  <w:tcW w:w="3813" w:type="dxa"/>
                  <w:noWrap w:val="0"/>
                  <w:vAlign w:val="center"/>
                </w:tcPr>
                <w:p w14:paraId="4D7F473A">
                  <w:pPr>
                    <w:pStyle w:val="31"/>
                    <w:bidi w:val="0"/>
                    <w:jc w:val="center"/>
                    <w:rPr>
                      <w:rFonts w:hint="default" w:ascii="Times New Roman" w:hAnsi="Times New Roman" w:cs="Times New Roman"/>
                      <w:b/>
                      <w:bCs/>
                      <w:color w:val="000000"/>
                      <w:u w:val="none"/>
                      <w:lang w:val="en-US" w:eastAsia="zh-CN"/>
                    </w:rPr>
                  </w:pPr>
                  <w:r>
                    <w:rPr>
                      <w:rFonts w:hint="default" w:ascii="Times New Roman" w:hAnsi="Times New Roman" w:cs="Times New Roman"/>
                      <w:b/>
                      <w:bCs/>
                      <w:color w:val="000000"/>
                      <w:u w:val="none"/>
                      <w:lang w:val="en-US" w:eastAsia="zh-CN"/>
                    </w:rPr>
                    <w:t>审批文件名称及文号</w:t>
                  </w:r>
                </w:p>
              </w:tc>
            </w:tr>
            <w:tr w14:paraId="48C705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57" w:type="dxa"/>
                  <w:noWrap w:val="0"/>
                  <w:vAlign w:val="center"/>
                </w:tcPr>
                <w:p w14:paraId="2D18D11D">
                  <w:pPr>
                    <w:pStyle w:val="31"/>
                    <w:bidi w:val="0"/>
                    <w:jc w:val="center"/>
                    <w:rPr>
                      <w:rFonts w:hint="default" w:ascii="Times New Roman" w:hAnsi="Times New Roman" w:cs="Times New Roman"/>
                      <w:color w:val="000000"/>
                      <w:u w:val="none"/>
                      <w:lang w:val="en-US" w:eastAsia="zh-CN"/>
                    </w:rPr>
                  </w:pPr>
                  <w:r>
                    <w:rPr>
                      <w:rFonts w:hint="default" w:ascii="Times New Roman" w:hAnsi="Times New Roman" w:cs="Times New Roman"/>
                      <w:color w:val="000000"/>
                      <w:u w:val="none"/>
                      <w:lang w:val="en-US" w:eastAsia="zh-CN"/>
                    </w:rPr>
                    <w:t>1</w:t>
                  </w:r>
                </w:p>
              </w:tc>
              <w:tc>
                <w:tcPr>
                  <w:tcW w:w="1732" w:type="dxa"/>
                  <w:noWrap w:val="0"/>
                  <w:vAlign w:val="center"/>
                </w:tcPr>
                <w:p w14:paraId="5FA462FC">
                  <w:pPr>
                    <w:pStyle w:val="31"/>
                    <w:bidi w:val="0"/>
                    <w:jc w:val="center"/>
                    <w:rPr>
                      <w:rFonts w:hint="default" w:ascii="Times New Roman" w:hAnsi="Times New Roman" w:cs="Times New Roman"/>
                      <w:color w:val="000000"/>
                      <w:u w:val="none"/>
                      <w:lang w:val="en-US" w:eastAsia="zh-CN"/>
                    </w:rPr>
                  </w:pPr>
                  <w:r>
                    <w:rPr>
                      <w:rFonts w:hint="default" w:ascii="Times New Roman" w:hAnsi="Times New Roman" w:cs="Times New Roman"/>
                      <w:color w:val="000000"/>
                      <w:u w:val="none"/>
                      <w:lang w:val="en-US" w:eastAsia="zh-CN"/>
                    </w:rPr>
                    <w:t>《全国沿海渔港建设规划（2018-2025年）》</w:t>
                  </w:r>
                </w:p>
              </w:tc>
              <w:tc>
                <w:tcPr>
                  <w:tcW w:w="1950" w:type="dxa"/>
                  <w:noWrap w:val="0"/>
                  <w:vAlign w:val="center"/>
                </w:tcPr>
                <w:p w14:paraId="50C6AF33">
                  <w:pPr>
                    <w:pStyle w:val="31"/>
                    <w:bidi w:val="0"/>
                    <w:jc w:val="center"/>
                    <w:rPr>
                      <w:rFonts w:hint="default" w:ascii="Times New Roman" w:hAnsi="Times New Roman" w:cs="Times New Roman"/>
                      <w:color w:val="000000"/>
                      <w:u w:val="none"/>
                      <w:lang w:val="en-US" w:eastAsia="zh-CN"/>
                    </w:rPr>
                  </w:pPr>
                  <w:r>
                    <w:rPr>
                      <w:rFonts w:hint="default" w:ascii="Times New Roman" w:hAnsi="Times New Roman" w:cs="Times New Roman"/>
                      <w:color w:val="000000"/>
                      <w:u w:val="none"/>
                      <w:lang w:val="en-US" w:eastAsia="zh-CN"/>
                    </w:rPr>
                    <w:t>国家发展改革委</w:t>
                  </w:r>
                  <w:r>
                    <w:rPr>
                      <w:rFonts w:hint="eastAsia" w:cs="Times New Roman"/>
                      <w:color w:val="000000"/>
                      <w:u w:val="none"/>
                      <w:lang w:val="en-US" w:eastAsia="zh-CN"/>
                    </w:rPr>
                    <w:t>、</w:t>
                  </w:r>
                  <w:r>
                    <w:rPr>
                      <w:rFonts w:hint="default" w:ascii="Times New Roman" w:hAnsi="Times New Roman" w:cs="Times New Roman"/>
                      <w:color w:val="000000"/>
                      <w:u w:val="none"/>
                      <w:lang w:val="en-US" w:eastAsia="zh-CN"/>
                    </w:rPr>
                    <w:t>农业农村部</w:t>
                  </w:r>
                </w:p>
              </w:tc>
              <w:tc>
                <w:tcPr>
                  <w:tcW w:w="3813" w:type="dxa"/>
                  <w:noWrap w:val="0"/>
                  <w:vAlign w:val="center"/>
                </w:tcPr>
                <w:p w14:paraId="45030AC2">
                  <w:pPr>
                    <w:pStyle w:val="31"/>
                    <w:bidi w:val="0"/>
                    <w:jc w:val="center"/>
                    <w:rPr>
                      <w:rFonts w:hint="default" w:ascii="Times New Roman" w:hAnsi="Times New Roman" w:cs="Times New Roman"/>
                      <w:color w:val="000000"/>
                      <w:u w:val="none"/>
                      <w:lang w:val="en-US" w:eastAsia="zh-CN"/>
                    </w:rPr>
                  </w:pPr>
                  <w:r>
                    <w:rPr>
                      <w:rFonts w:hint="eastAsia" w:cs="Times New Roman"/>
                      <w:color w:val="000000"/>
                      <w:u w:val="none"/>
                      <w:lang w:val="en-US" w:eastAsia="zh-CN"/>
                    </w:rPr>
                    <w:t>《国家发展改革委 农业农村部关于印发全国沿海渔港建设规划（2018-2025年）的通知》</w:t>
                  </w:r>
                  <w:r>
                    <w:rPr>
                      <w:rFonts w:hint="default" w:ascii="Times New Roman" w:hAnsi="Times New Roman" w:cs="Times New Roman"/>
                      <w:color w:val="000000"/>
                      <w:u w:val="none"/>
                      <w:lang w:val="en-US" w:eastAsia="zh-CN"/>
                    </w:rPr>
                    <w:t>（发改农经〔2018〕597号），2018年4月19日</w:t>
                  </w:r>
                </w:p>
              </w:tc>
            </w:tr>
            <w:tr w14:paraId="157ACE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57" w:type="dxa"/>
                  <w:noWrap w:val="0"/>
                  <w:vAlign w:val="center"/>
                </w:tcPr>
                <w:p w14:paraId="208DC5AA">
                  <w:pPr>
                    <w:pStyle w:val="31"/>
                    <w:bidi w:val="0"/>
                    <w:jc w:val="center"/>
                    <w:rPr>
                      <w:rFonts w:hint="default" w:ascii="Times New Roman" w:hAnsi="Times New Roman" w:cs="Times New Roman"/>
                      <w:color w:val="000000"/>
                      <w:u w:val="none"/>
                      <w:lang w:val="en-US" w:eastAsia="zh-CN"/>
                    </w:rPr>
                  </w:pPr>
                  <w:r>
                    <w:rPr>
                      <w:rFonts w:hint="default" w:ascii="Times New Roman" w:hAnsi="Times New Roman" w:cs="Times New Roman"/>
                      <w:color w:val="000000"/>
                      <w:u w:val="none"/>
                      <w:lang w:val="en-US" w:eastAsia="zh-CN"/>
                    </w:rPr>
                    <w:t>2</w:t>
                  </w:r>
                </w:p>
              </w:tc>
              <w:tc>
                <w:tcPr>
                  <w:tcW w:w="1732" w:type="dxa"/>
                  <w:noWrap w:val="0"/>
                  <w:vAlign w:val="center"/>
                </w:tcPr>
                <w:p w14:paraId="057243ED">
                  <w:pPr>
                    <w:pStyle w:val="31"/>
                    <w:bidi w:val="0"/>
                    <w:jc w:val="center"/>
                    <w:rPr>
                      <w:rFonts w:hint="default" w:ascii="Times New Roman" w:hAnsi="Times New Roman" w:cs="Times New Roman"/>
                      <w:color w:val="000000"/>
                      <w:u w:val="none"/>
                      <w:lang w:val="en-US" w:eastAsia="zh-CN"/>
                    </w:rPr>
                  </w:pPr>
                  <w:r>
                    <w:rPr>
                      <w:rFonts w:hint="default" w:ascii="Times New Roman" w:hAnsi="Times New Roman" w:cs="Times New Roman"/>
                      <w:color w:val="000000"/>
                      <w:u w:val="none"/>
                      <w:lang w:val="en-US" w:eastAsia="zh-CN"/>
                    </w:rPr>
                    <w:t>《福建省渔港布局与建设规划（2020-2025）》</w:t>
                  </w:r>
                </w:p>
              </w:tc>
              <w:tc>
                <w:tcPr>
                  <w:tcW w:w="1950" w:type="dxa"/>
                  <w:noWrap w:val="0"/>
                  <w:vAlign w:val="center"/>
                </w:tcPr>
                <w:p w14:paraId="20AD7B78">
                  <w:pPr>
                    <w:pStyle w:val="31"/>
                    <w:bidi w:val="0"/>
                    <w:jc w:val="center"/>
                    <w:rPr>
                      <w:rFonts w:hint="default" w:ascii="Times New Roman" w:hAnsi="Times New Roman" w:cs="Times New Roman"/>
                      <w:color w:val="000000"/>
                      <w:u w:val="none"/>
                      <w:lang w:val="en-US" w:eastAsia="zh-CN"/>
                    </w:rPr>
                  </w:pPr>
                  <w:r>
                    <w:rPr>
                      <w:rFonts w:hint="default" w:ascii="Times New Roman" w:hAnsi="Times New Roman" w:cs="Times New Roman"/>
                      <w:color w:val="000000"/>
                      <w:u w:val="none"/>
                      <w:lang w:val="en-US" w:eastAsia="zh-CN"/>
                    </w:rPr>
                    <w:t>福建省海洋与渔业局</w:t>
                  </w:r>
                  <w:r>
                    <w:rPr>
                      <w:rFonts w:hint="eastAsia" w:cs="Times New Roman"/>
                      <w:color w:val="000000"/>
                      <w:u w:val="none"/>
                      <w:lang w:val="en-US" w:eastAsia="zh-CN"/>
                    </w:rPr>
                    <w:t>、</w:t>
                  </w:r>
                  <w:r>
                    <w:rPr>
                      <w:rFonts w:hint="default" w:ascii="Times New Roman" w:hAnsi="Times New Roman" w:cs="Times New Roman"/>
                      <w:color w:val="000000"/>
                      <w:u w:val="none"/>
                      <w:lang w:val="en-US" w:eastAsia="zh-CN"/>
                    </w:rPr>
                    <w:t>福建省发展和改革委员会</w:t>
                  </w:r>
                  <w:r>
                    <w:rPr>
                      <w:rFonts w:hint="eastAsia" w:cs="Times New Roman"/>
                      <w:color w:val="000000"/>
                      <w:u w:val="none"/>
                      <w:lang w:val="en-US" w:eastAsia="zh-CN"/>
                    </w:rPr>
                    <w:t>、</w:t>
                  </w:r>
                  <w:r>
                    <w:rPr>
                      <w:rFonts w:hint="default" w:ascii="Times New Roman" w:hAnsi="Times New Roman" w:cs="Times New Roman"/>
                      <w:color w:val="000000"/>
                      <w:u w:val="none"/>
                      <w:lang w:val="en-US" w:eastAsia="zh-CN"/>
                    </w:rPr>
                    <w:t>福建省财政厅</w:t>
                  </w:r>
                </w:p>
              </w:tc>
              <w:tc>
                <w:tcPr>
                  <w:tcW w:w="3813" w:type="dxa"/>
                  <w:noWrap w:val="0"/>
                  <w:vAlign w:val="center"/>
                </w:tcPr>
                <w:p w14:paraId="23581FA2">
                  <w:pPr>
                    <w:pStyle w:val="31"/>
                    <w:bidi w:val="0"/>
                    <w:jc w:val="center"/>
                    <w:rPr>
                      <w:rFonts w:hint="default" w:ascii="Times New Roman" w:hAnsi="Times New Roman" w:cs="Times New Roman"/>
                      <w:color w:val="000000"/>
                      <w:u w:val="none"/>
                      <w:lang w:val="en-US" w:eastAsia="zh-CN"/>
                    </w:rPr>
                  </w:pPr>
                  <w:r>
                    <w:rPr>
                      <w:rFonts w:hint="default" w:ascii="Times New Roman" w:hAnsi="Times New Roman" w:cs="Times New Roman"/>
                      <w:color w:val="000000"/>
                      <w:u w:val="none"/>
                      <w:lang w:val="en-US" w:eastAsia="zh-CN"/>
                    </w:rPr>
                    <w:t>福建省海洋与渔业局 福建省发展和改革委员会福建省财政厅关于印发《福建省渔港布局与建设规划（2020-2025年）》的通知</w:t>
                  </w:r>
                  <w:r>
                    <w:rPr>
                      <w:rFonts w:hint="eastAsia" w:cs="Times New Roman"/>
                      <w:color w:val="000000"/>
                      <w:u w:val="none"/>
                      <w:lang w:val="en-US" w:eastAsia="zh-CN"/>
                    </w:rPr>
                    <w:t>（闽海渔〔2020〕17号）</w:t>
                  </w:r>
                  <w:r>
                    <w:rPr>
                      <w:rFonts w:hint="default" w:ascii="Times New Roman" w:hAnsi="Times New Roman" w:cs="Times New Roman"/>
                      <w:color w:val="000000"/>
                      <w:u w:val="none"/>
                      <w:lang w:val="en-US" w:eastAsia="zh-CN"/>
                    </w:rPr>
                    <w:t>，2020年3月9日</w:t>
                  </w:r>
                </w:p>
              </w:tc>
            </w:tr>
          </w:tbl>
          <w:p w14:paraId="75C7F41E">
            <w:pPr>
              <w:keepNext w:val="0"/>
              <w:keepLines w:val="0"/>
              <w:pageBreakBefore w:val="0"/>
              <w:widowControl w:val="0"/>
              <w:kinsoku/>
              <w:wordWrap/>
              <w:overflowPunct/>
              <w:topLinePunct w:val="0"/>
              <w:bidi w:val="0"/>
              <w:adjustRightInd/>
              <w:snapToGrid/>
              <w:ind w:firstLine="480" w:firstLineChars="200"/>
              <w:textAlignment w:val="auto"/>
              <w:rPr>
                <w:rFonts w:hint="default" w:ascii="Times New Roman" w:hAnsi="Times New Roman" w:eastAsia="宋体" w:cs="Times New Roman"/>
                <w:color w:val="000000"/>
                <w:u w:val="none"/>
                <w:lang w:val="en-US" w:eastAsia="zh-CN"/>
              </w:rPr>
            </w:pPr>
          </w:p>
        </w:tc>
      </w:tr>
      <w:tr w14:paraId="24D0B8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8" w:type="dxa"/>
            <w:left w:w="108" w:type="dxa"/>
            <w:bottom w:w="108" w:type="dxa"/>
            <w:right w:w="108" w:type="dxa"/>
          </w:tblCellMar>
        </w:tblPrEx>
        <w:trPr>
          <w:trHeight w:val="23" w:hRule="atLeast"/>
        </w:trPr>
        <w:tc>
          <w:tcPr>
            <w:tcW w:w="698" w:type="dxa"/>
            <w:noWrap w:val="0"/>
            <w:vAlign w:val="center"/>
          </w:tcPr>
          <w:p w14:paraId="06077842">
            <w:pPr>
              <w:autoSpaceDE w:val="0"/>
              <w:autoSpaceDN w:val="0"/>
              <w:adjustRightInd w:val="0"/>
              <w:snapToGrid w:val="0"/>
              <w:spacing w:line="360" w:lineRule="auto"/>
              <w:jc w:val="center"/>
              <w:rPr>
                <w:rFonts w:hint="default" w:ascii="Times New Roman" w:hAnsi="Times New Roman" w:eastAsia="黑体" w:cs="Times New Roman"/>
                <w:color w:val="000000"/>
                <w:sz w:val="30"/>
                <w:u w:val="none"/>
                <w:vertAlign w:val="baseline"/>
              </w:rPr>
            </w:pPr>
            <w:r>
              <w:rPr>
                <w:rFonts w:hint="default" w:ascii="Times New Roman" w:hAnsi="Times New Roman" w:cs="Times New Roman"/>
                <w:color w:val="000000"/>
                <w:szCs w:val="21"/>
                <w:u w:val="none"/>
              </w:rPr>
              <w:t>规划环境影响</w:t>
            </w:r>
            <w:bookmarkStart w:id="57" w:name="_Toc17687"/>
            <w:bookmarkStart w:id="58" w:name="_Toc18940"/>
            <w:bookmarkStart w:id="59" w:name="_Toc879"/>
            <w:bookmarkStart w:id="60" w:name="_Toc6055"/>
            <w:bookmarkStart w:id="61" w:name="_Toc20386"/>
            <w:bookmarkStart w:id="62" w:name="_Toc22227"/>
            <w:bookmarkStart w:id="63" w:name="_Toc20034"/>
            <w:r>
              <w:rPr>
                <w:rFonts w:hint="default" w:ascii="Times New Roman" w:hAnsi="Times New Roman" w:cs="Times New Roman"/>
                <w:color w:val="000000"/>
                <w:szCs w:val="21"/>
                <w:u w:val="none"/>
              </w:rPr>
              <w:t>评价情况</w:t>
            </w:r>
            <w:bookmarkEnd w:id="57"/>
            <w:bookmarkEnd w:id="58"/>
            <w:bookmarkEnd w:id="59"/>
            <w:bookmarkEnd w:id="60"/>
            <w:bookmarkEnd w:id="61"/>
            <w:bookmarkEnd w:id="62"/>
            <w:bookmarkEnd w:id="63"/>
          </w:p>
        </w:tc>
        <w:tc>
          <w:tcPr>
            <w:tcW w:w="8378" w:type="dxa"/>
            <w:noWrap w:val="0"/>
            <w:vAlign w:val="center"/>
          </w:tcPr>
          <w:p w14:paraId="4021FAD1">
            <w:pPr>
              <w:keepNext w:val="0"/>
              <w:keepLines w:val="0"/>
              <w:pageBreakBefore w:val="0"/>
              <w:widowControl w:val="0"/>
              <w:kinsoku/>
              <w:wordWrap/>
              <w:overflowPunct/>
              <w:topLinePunct w:val="0"/>
              <w:bidi w:val="0"/>
              <w:adjustRightInd/>
              <w:snapToGrid/>
              <w:jc w:val="center"/>
              <w:textAlignment w:val="auto"/>
              <w:rPr>
                <w:rFonts w:hint="default" w:ascii="Times New Roman" w:hAnsi="Times New Roman" w:cs="Times New Roman"/>
                <w:color w:val="000000"/>
                <w:u w:val="none"/>
                <w:lang w:val="en-US" w:eastAsia="zh-CN"/>
              </w:rPr>
            </w:pPr>
            <w:r>
              <w:rPr>
                <w:rFonts w:hint="default" w:ascii="Times New Roman" w:hAnsi="Times New Roman" w:cs="Times New Roman"/>
                <w:color w:val="000000"/>
                <w:u w:val="none"/>
                <w:lang w:val="en-US" w:eastAsia="zh-CN"/>
              </w:rPr>
              <w:t>无</w:t>
            </w:r>
          </w:p>
        </w:tc>
      </w:tr>
      <w:tr w14:paraId="35BCBA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8" w:type="dxa"/>
            <w:left w:w="108" w:type="dxa"/>
            <w:bottom w:w="108" w:type="dxa"/>
            <w:right w:w="108" w:type="dxa"/>
          </w:tblCellMar>
        </w:tblPrEx>
        <w:tc>
          <w:tcPr>
            <w:tcW w:w="698" w:type="dxa"/>
            <w:noWrap w:val="0"/>
            <w:vAlign w:val="center"/>
          </w:tcPr>
          <w:p w14:paraId="4C493298">
            <w:pPr>
              <w:spacing w:line="360" w:lineRule="auto"/>
              <w:jc w:val="center"/>
              <w:outlineLvl w:val="0"/>
              <w:rPr>
                <w:rFonts w:hint="default" w:ascii="Times New Roman" w:hAnsi="Times New Roman" w:eastAsia="黑体" w:cs="Times New Roman"/>
                <w:color w:val="000000"/>
                <w:sz w:val="30"/>
                <w:u w:val="none"/>
                <w:vertAlign w:val="baseline"/>
              </w:rPr>
            </w:pPr>
            <w:bookmarkStart w:id="64" w:name="_Toc30456"/>
            <w:bookmarkStart w:id="65" w:name="_Toc21618"/>
            <w:bookmarkStart w:id="66" w:name="_Toc4463"/>
            <w:bookmarkStart w:id="67" w:name="_Toc31914"/>
            <w:bookmarkStart w:id="68" w:name="_Toc12094"/>
            <w:bookmarkStart w:id="69" w:name="_Toc24875"/>
            <w:bookmarkStart w:id="70" w:name="_Toc9048"/>
            <w:bookmarkStart w:id="71" w:name="_Toc17941"/>
            <w:bookmarkStart w:id="72" w:name="_Toc5862"/>
            <w:bookmarkStart w:id="73" w:name="_Toc18662"/>
            <w:bookmarkStart w:id="74" w:name="_Toc24623"/>
            <w:bookmarkStart w:id="75" w:name="_Toc1215"/>
            <w:r>
              <w:rPr>
                <w:rFonts w:hint="default" w:ascii="Times New Roman" w:hAnsi="Times New Roman" w:cs="Times New Roman"/>
                <w:color w:val="000000"/>
                <w:kern w:val="0"/>
                <w:szCs w:val="21"/>
                <w:u w:val="none"/>
              </w:rPr>
              <w:t>规划及</w:t>
            </w:r>
            <w:r>
              <w:rPr>
                <w:rFonts w:hint="default" w:ascii="Times New Roman" w:hAnsi="Times New Roman" w:cs="Times New Roman"/>
                <w:color w:val="000000"/>
                <w:szCs w:val="21"/>
                <w:u w:val="none"/>
              </w:rPr>
              <w:t>规划环境影响评价</w:t>
            </w:r>
            <w:r>
              <w:rPr>
                <w:rFonts w:hint="default" w:ascii="Times New Roman" w:hAnsi="Times New Roman" w:cs="Times New Roman"/>
                <w:color w:val="000000"/>
                <w:kern w:val="0"/>
                <w:szCs w:val="21"/>
                <w:u w:val="none"/>
              </w:rPr>
              <w:t>符合性分析</w:t>
            </w:r>
            <w:bookmarkEnd w:id="64"/>
            <w:bookmarkEnd w:id="65"/>
            <w:bookmarkEnd w:id="66"/>
            <w:bookmarkEnd w:id="67"/>
            <w:bookmarkEnd w:id="68"/>
            <w:bookmarkEnd w:id="69"/>
            <w:bookmarkEnd w:id="70"/>
            <w:bookmarkEnd w:id="71"/>
            <w:bookmarkEnd w:id="72"/>
            <w:bookmarkEnd w:id="73"/>
            <w:bookmarkEnd w:id="74"/>
            <w:bookmarkEnd w:id="75"/>
          </w:p>
        </w:tc>
        <w:tc>
          <w:tcPr>
            <w:tcW w:w="8378" w:type="dxa"/>
            <w:noWrap w:val="0"/>
            <w:vAlign w:val="top"/>
          </w:tcPr>
          <w:p w14:paraId="0F9EE0CC">
            <w:pPr>
              <w:pStyle w:val="3"/>
              <w:bidi w:val="0"/>
              <w:ind w:left="567" w:leftChars="0" w:hanging="567" w:firstLineChars="0"/>
              <w:rPr>
                <w:rFonts w:hint="default"/>
                <w:lang w:val="en-US" w:eastAsia="zh-CN"/>
              </w:rPr>
            </w:pPr>
            <w:bookmarkStart w:id="76" w:name="_Toc9099"/>
            <w:r>
              <w:rPr>
                <w:rFonts w:hint="default"/>
                <w:lang w:val="en-US" w:eastAsia="zh-CN"/>
              </w:rPr>
              <w:t>规划及规划环境影响评价符合性分析</w:t>
            </w:r>
            <w:bookmarkEnd w:id="76"/>
          </w:p>
          <w:p w14:paraId="71E77F74">
            <w:pPr>
              <w:pStyle w:val="4"/>
              <w:bidi w:val="0"/>
              <w:ind w:left="567" w:leftChars="0" w:hanging="567" w:firstLineChars="0"/>
              <w:rPr>
                <w:rFonts w:hint="default"/>
                <w:lang w:val="en-US" w:eastAsia="zh-CN"/>
              </w:rPr>
            </w:pPr>
            <w:r>
              <w:rPr>
                <w:rFonts w:hint="default"/>
                <w:lang w:val="en-US" w:eastAsia="zh-CN"/>
              </w:rPr>
              <w:t>与《全国沿海渔港建设规划（2018-2025年）》符合性分析</w:t>
            </w:r>
          </w:p>
          <w:p w14:paraId="11EE1A39">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lang w:val="en-US" w:eastAsia="zh-CN"/>
              </w:rPr>
            </w:pPr>
            <w:r>
              <w:rPr>
                <w:rFonts w:hint="default"/>
                <w:lang w:val="en-US" w:eastAsia="zh-CN"/>
              </w:rPr>
              <w:t>为进一步提升渔业防灾减灾能力，促进海洋渔业持续健康发展，加快形成渔港经济区，2018年4月国家发展和改革委员会、农业农村部联合发布了《全国沿海渔港建设规划（2018-2025年）》，其中黄岐半岛渔港经济区规划期内新建连江晓澳、长赤、下宫、长乐潭头、</w:t>
            </w:r>
            <w:r>
              <w:rPr>
                <w:rFonts w:hint="default"/>
                <w:b/>
                <w:bCs/>
                <w:lang w:val="en-US" w:eastAsia="zh-CN"/>
              </w:rPr>
              <w:t>福清海亮沃口</w:t>
            </w:r>
            <w:r>
              <w:rPr>
                <w:rFonts w:hint="default"/>
                <w:lang w:val="en-US" w:eastAsia="zh-CN"/>
              </w:rPr>
              <w:t>5座一级渔港</w:t>
            </w:r>
            <w:r>
              <w:rPr>
                <w:rFonts w:hint="default"/>
                <w:highlight w:val="none"/>
                <w:lang w:val="en-US" w:eastAsia="zh-CN"/>
              </w:rPr>
              <w:t>（附件</w:t>
            </w:r>
            <w:r>
              <w:rPr>
                <w:rFonts w:hint="eastAsia"/>
                <w:highlight w:val="none"/>
                <w:lang w:val="en-US" w:eastAsia="zh-CN"/>
              </w:rPr>
              <w:t>2</w:t>
            </w:r>
            <w:r>
              <w:rPr>
                <w:rFonts w:hint="default"/>
                <w:highlight w:val="none"/>
                <w:lang w:val="en-US" w:eastAsia="zh-CN"/>
              </w:rPr>
              <w:t>）。</w:t>
            </w:r>
          </w:p>
          <w:p w14:paraId="44188155">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lang w:val="en-US" w:eastAsia="zh-CN"/>
              </w:rPr>
            </w:pPr>
            <w:r>
              <w:rPr>
                <w:rFonts w:hint="default"/>
                <w:lang w:val="en-US" w:eastAsia="zh-CN"/>
              </w:rPr>
              <w:t>本项目已列入《全国沿海渔港建设规划（2018-2025年）》，因此，项目建设符合《全国沿海渔港建设规划（2018-2025年）》。</w:t>
            </w:r>
          </w:p>
          <w:p w14:paraId="6755D6A9">
            <w:pPr>
              <w:pStyle w:val="4"/>
              <w:bidi w:val="0"/>
              <w:ind w:left="567" w:leftChars="0" w:hanging="567" w:firstLineChars="0"/>
              <w:rPr>
                <w:rFonts w:hint="default"/>
                <w:lang w:val="en-US" w:eastAsia="zh-CN"/>
              </w:rPr>
            </w:pPr>
            <w:r>
              <w:rPr>
                <w:rFonts w:hint="default"/>
                <w:lang w:val="en-US" w:eastAsia="zh-CN"/>
              </w:rPr>
              <w:t>与《福建省渔港布局与建设规划（2020-2025）》符合性分析</w:t>
            </w:r>
          </w:p>
          <w:p w14:paraId="59E501BD">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lang w:val="en-US" w:eastAsia="zh-CN"/>
              </w:rPr>
            </w:pPr>
            <w:r>
              <w:rPr>
                <w:rFonts w:hint="default"/>
                <w:lang w:val="en-US" w:eastAsia="zh-CN"/>
              </w:rPr>
              <w:t>2020年2月</w:t>
            </w:r>
            <w:r>
              <w:rPr>
                <w:rFonts w:hint="eastAsia"/>
                <w:lang w:val="en-US" w:eastAsia="zh-CN"/>
              </w:rPr>
              <w:t>，</w:t>
            </w:r>
            <w:r>
              <w:rPr>
                <w:rFonts w:hint="default"/>
                <w:lang w:val="en-US" w:eastAsia="zh-CN"/>
              </w:rPr>
              <w:t>福建省发展和改革委员会、福建省财政厅、福建省海洋与渔业局联合发布了《福建省渔港布局与建设规划（2020-2025）》，其中“海亮沃口一级渔港”被列为2020-2025年规划新建设的一级渔港之一</w:t>
            </w:r>
            <w:r>
              <w:rPr>
                <w:rFonts w:hint="default"/>
                <w:highlight w:val="none"/>
                <w:lang w:val="en-US" w:eastAsia="zh-CN"/>
              </w:rPr>
              <w:t>（附件</w:t>
            </w:r>
            <w:r>
              <w:rPr>
                <w:rFonts w:hint="eastAsia"/>
                <w:highlight w:val="none"/>
                <w:lang w:val="en-US" w:eastAsia="zh-CN"/>
              </w:rPr>
              <w:t>3</w:t>
            </w:r>
            <w:r>
              <w:rPr>
                <w:rFonts w:hint="default"/>
                <w:highlight w:val="none"/>
                <w:lang w:val="en-US" w:eastAsia="zh-CN"/>
              </w:rPr>
              <w:t>）</w:t>
            </w:r>
            <w:r>
              <w:rPr>
                <w:rFonts w:hint="default"/>
                <w:lang w:val="en-US" w:eastAsia="zh-CN"/>
              </w:rPr>
              <w:t>。因此，项目建设符合《福建省渔港布局与建设规划（2020-2025）》。</w:t>
            </w:r>
          </w:p>
          <w:p w14:paraId="7B06E2B3">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lang w:val="en-US" w:eastAsia="zh-CN"/>
              </w:rPr>
            </w:pPr>
          </w:p>
        </w:tc>
      </w:tr>
      <w:tr w14:paraId="40B813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8" w:type="dxa"/>
            <w:left w:w="108" w:type="dxa"/>
            <w:bottom w:w="108" w:type="dxa"/>
            <w:right w:w="108" w:type="dxa"/>
          </w:tblCellMar>
        </w:tblPrEx>
        <w:tc>
          <w:tcPr>
            <w:tcW w:w="698" w:type="dxa"/>
            <w:noWrap w:val="0"/>
            <w:vAlign w:val="center"/>
          </w:tcPr>
          <w:p w14:paraId="1A14FA47">
            <w:pPr>
              <w:spacing w:line="360" w:lineRule="auto"/>
              <w:jc w:val="center"/>
              <w:outlineLvl w:val="0"/>
              <w:rPr>
                <w:rFonts w:hint="default" w:ascii="Times New Roman" w:hAnsi="Times New Roman" w:eastAsia="黑体" w:cs="Times New Roman"/>
                <w:color w:val="000000"/>
                <w:sz w:val="30"/>
                <w:u w:val="none"/>
                <w:vertAlign w:val="baseline"/>
              </w:rPr>
            </w:pPr>
            <w:bookmarkStart w:id="77" w:name="_Toc14765"/>
            <w:bookmarkStart w:id="78" w:name="_Toc26548"/>
            <w:bookmarkStart w:id="79" w:name="_Toc2939"/>
            <w:bookmarkStart w:id="80" w:name="_Toc23584"/>
            <w:bookmarkStart w:id="81" w:name="_Toc17996"/>
            <w:bookmarkStart w:id="82" w:name="_Toc8697"/>
            <w:bookmarkStart w:id="83" w:name="_Toc28392"/>
            <w:bookmarkStart w:id="84" w:name="_Toc23611"/>
            <w:bookmarkStart w:id="85" w:name="_Toc18005"/>
            <w:bookmarkStart w:id="86" w:name="_Toc8154"/>
            <w:bookmarkStart w:id="87" w:name="_Toc19045"/>
            <w:bookmarkStart w:id="88" w:name="_Toc5287"/>
            <w:r>
              <w:rPr>
                <w:rFonts w:hint="default" w:ascii="Times New Roman" w:hAnsi="Times New Roman" w:cs="Times New Roman"/>
                <w:color w:val="000000"/>
                <w:kern w:val="0"/>
                <w:szCs w:val="21"/>
                <w:u w:val="none"/>
              </w:rPr>
              <w:t>其他符合性分析</w:t>
            </w:r>
            <w:bookmarkEnd w:id="77"/>
            <w:bookmarkEnd w:id="78"/>
            <w:bookmarkEnd w:id="79"/>
            <w:bookmarkEnd w:id="80"/>
            <w:bookmarkEnd w:id="81"/>
            <w:bookmarkEnd w:id="82"/>
            <w:bookmarkEnd w:id="83"/>
            <w:bookmarkEnd w:id="84"/>
            <w:bookmarkEnd w:id="85"/>
            <w:bookmarkEnd w:id="86"/>
            <w:bookmarkEnd w:id="87"/>
            <w:bookmarkEnd w:id="88"/>
          </w:p>
        </w:tc>
        <w:tc>
          <w:tcPr>
            <w:tcW w:w="8378" w:type="dxa"/>
            <w:noWrap w:val="0"/>
            <w:vAlign w:val="top"/>
          </w:tcPr>
          <w:p w14:paraId="36759EFF">
            <w:pPr>
              <w:pStyle w:val="3"/>
              <w:bidi w:val="0"/>
              <w:ind w:left="567" w:leftChars="0" w:hanging="567" w:firstLineChars="0"/>
              <w:rPr>
                <w:rFonts w:hint="default"/>
                <w:lang w:val="en-US" w:eastAsia="zh-CN"/>
              </w:rPr>
            </w:pPr>
            <w:bookmarkStart w:id="89" w:name="_Toc1496"/>
            <w:r>
              <w:rPr>
                <w:rFonts w:hint="default"/>
                <w:lang w:val="en-US" w:eastAsia="zh-CN"/>
              </w:rPr>
              <w:t>其他符合性分析</w:t>
            </w:r>
            <w:bookmarkEnd w:id="89"/>
          </w:p>
          <w:p w14:paraId="1A5A8ACE">
            <w:pPr>
              <w:pStyle w:val="4"/>
              <w:bidi w:val="0"/>
              <w:ind w:left="567" w:leftChars="0" w:hanging="567" w:firstLineChars="0"/>
              <w:rPr>
                <w:rFonts w:hint="default"/>
                <w:lang w:val="en-US" w:eastAsia="zh-CN"/>
              </w:rPr>
            </w:pPr>
            <w:r>
              <w:rPr>
                <w:rFonts w:hint="default"/>
                <w:lang w:val="en-US" w:eastAsia="zh-CN"/>
              </w:rPr>
              <w:t>产业政策符合性分析</w:t>
            </w:r>
          </w:p>
          <w:p w14:paraId="7F3FEE21">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lang w:val="en-US" w:eastAsia="zh-CN"/>
              </w:rPr>
            </w:pPr>
            <w:r>
              <w:rPr>
                <w:rFonts w:hint="default"/>
                <w:lang w:val="en-US" w:eastAsia="zh-CN"/>
              </w:rPr>
              <w:t>本项目为福清市海亮沃口一级渔港</w:t>
            </w:r>
            <w:r>
              <w:rPr>
                <w:rFonts w:hint="eastAsia"/>
                <w:lang w:val="en-US" w:eastAsia="zh-CN"/>
              </w:rPr>
              <w:t>工程</w:t>
            </w:r>
            <w:r>
              <w:rPr>
                <w:rFonts w:hint="default"/>
                <w:lang w:val="en-US" w:eastAsia="zh-CN"/>
              </w:rPr>
              <w:t>，根据《产业结构调整指导目录（2024年本）》，本项目属于“鼓励类”中“14.远洋渔业、人工鱼礁、渔政渔港工程”项目。因此，本项目建设符合国家产业政策的要求。</w:t>
            </w:r>
          </w:p>
          <w:p w14:paraId="476AE110">
            <w:pPr>
              <w:pStyle w:val="4"/>
              <w:bidi w:val="0"/>
              <w:ind w:left="567" w:leftChars="0" w:hanging="567" w:firstLineChars="0"/>
              <w:rPr>
                <w:rFonts w:hint="default"/>
                <w:lang w:val="en-US" w:eastAsia="zh-CN"/>
              </w:rPr>
            </w:pPr>
            <w:r>
              <w:rPr>
                <w:rFonts w:hint="default"/>
                <w:lang w:val="en-US" w:eastAsia="zh-CN"/>
              </w:rPr>
              <w:t>与《自然资源要素支撑产业高质量发展指导目录（2024年本）》符合性分析</w:t>
            </w:r>
          </w:p>
          <w:p w14:paraId="54E79C89">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lang w:val="en-US" w:eastAsia="zh-CN"/>
              </w:rPr>
            </w:pPr>
            <w:r>
              <w:rPr>
                <w:rFonts w:hint="default"/>
                <w:lang w:val="en-US" w:eastAsia="zh-CN"/>
              </w:rPr>
              <w:t>本项目为一级渔港工程，</w:t>
            </w:r>
            <w:r>
              <w:rPr>
                <w:rFonts w:hint="eastAsia"/>
                <w:lang w:val="en-US" w:eastAsia="zh-CN"/>
              </w:rPr>
              <w:t>属于</w:t>
            </w:r>
            <w:r>
              <w:rPr>
                <w:rFonts w:hint="default"/>
                <w:lang w:val="en-US" w:eastAsia="zh-CN"/>
              </w:rPr>
              <w:t>渔业基础设施建设，根据《自然资源要素支撑产业高质量发展指导目录（2024年本）》，本项目属于第一类鼓励类项目中“民生工程”，作为渔业基础设施，项目建设可以支撑海洋渔业高质量发展，符合该目录鼓励类中的“海洋经济高质量发展用地用海”</w:t>
            </w:r>
            <w:r>
              <w:rPr>
                <w:rFonts w:hint="eastAsia"/>
                <w:lang w:val="en-US" w:eastAsia="zh-CN"/>
              </w:rPr>
              <w:t>。</w:t>
            </w:r>
            <w:r>
              <w:rPr>
                <w:rFonts w:hint="default"/>
                <w:lang w:val="en-US" w:eastAsia="zh-CN"/>
              </w:rPr>
              <w:t>渔港具备渔船停泊、避风、装卸、补给等港航物流功能，本项目为一级渔港工程，是渔业“海上物流枢纽”，符合该目录鼓励类中“国家物流枢纽等重大物流基础设施和港航设施项目用地用海”。</w:t>
            </w:r>
          </w:p>
          <w:p w14:paraId="0ADDFC39">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lang w:val="en-US" w:eastAsia="zh-CN"/>
              </w:rPr>
            </w:pPr>
            <w:r>
              <w:rPr>
                <w:rFonts w:hint="default"/>
                <w:lang w:val="en-US" w:eastAsia="zh-CN"/>
              </w:rPr>
              <w:t>本项目建设无新增围填海，项目用海用地不占用生态保护红线，项目用海涉及岸线均为人工岸线，不涉及自然岸线，不形成新的海岸线，本项目在《福州市国土空间总体规划（2021-2035年）》中位于“渔业用海区”，符合所在国土空间准入要求和用海方式控制要求。项目建设不涉及该目录中限制类和禁止类条款。因此项目建设符合《自然资源要素支撑产业高质量发展指导目录（2024年本）》的要求。</w:t>
            </w:r>
          </w:p>
          <w:p w14:paraId="688CB866">
            <w:pPr>
              <w:pStyle w:val="4"/>
              <w:bidi w:val="0"/>
              <w:ind w:left="567" w:leftChars="0" w:hanging="567" w:firstLineChars="0"/>
              <w:rPr>
                <w:rFonts w:hint="default"/>
                <w:lang w:val="en-US" w:eastAsia="zh-CN"/>
              </w:rPr>
            </w:pPr>
            <w:r>
              <w:rPr>
                <w:rFonts w:hint="default"/>
                <w:lang w:val="en-US" w:eastAsia="zh-CN"/>
              </w:rPr>
              <w:t>与国土空间规划的符合性分析</w:t>
            </w:r>
          </w:p>
          <w:p w14:paraId="1FB482E5">
            <w:pPr>
              <w:keepNext w:val="0"/>
              <w:keepLines w:val="0"/>
              <w:pageBreakBefore w:val="0"/>
              <w:widowControl w:val="0"/>
              <w:kinsoku/>
              <w:wordWrap/>
              <w:overflowPunct/>
              <w:topLinePunct w:val="0"/>
              <w:bidi w:val="0"/>
              <w:adjustRightInd/>
              <w:snapToGrid/>
              <w:ind w:firstLine="482" w:firstLineChars="200"/>
              <w:textAlignment w:val="auto"/>
              <w:rPr>
                <w:rFonts w:hint="default" w:ascii="Times New Roman" w:hAnsi="Times New Roman" w:cs="Times New Roman"/>
                <w:b/>
                <w:bCs/>
                <w:color w:val="000000"/>
                <w:u w:val="none"/>
                <w:lang w:val="en-US" w:eastAsia="zh-CN"/>
              </w:rPr>
            </w:pPr>
            <w:r>
              <w:rPr>
                <w:rFonts w:hint="eastAsia" w:ascii="Times New Roman" w:hAnsi="Times New Roman" w:cs="Times New Roman"/>
                <w:b/>
                <w:bCs/>
                <w:color w:val="000000"/>
                <w:u w:val="none"/>
                <w:lang w:val="en-US" w:eastAsia="zh-CN"/>
              </w:rPr>
              <w:t>（1）与《福建省国土空间规划（2021-2035年）》符合性分析</w:t>
            </w:r>
          </w:p>
          <w:p w14:paraId="1A5E15C3">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eastAsia="宋体" w:cs="Times New Roman"/>
                <w:color w:val="000000"/>
                <w:highlight w:val="none"/>
                <w:u w:val="none"/>
                <w:lang w:val="en-US" w:eastAsia="zh-CN"/>
              </w:rPr>
              <w:t>根据《福建省国土空间规划（2021-2035年）》，科学划定海洋</w:t>
            </w:r>
            <w:r>
              <w:rPr>
                <w:rFonts w:hint="default" w:ascii="Times New Roman" w:hAnsi="Times New Roman" w:cs="Times New Roman"/>
                <w:color w:val="000000"/>
                <w:highlight w:val="none"/>
                <w:u w:val="none"/>
                <w:lang w:val="en-US" w:eastAsia="zh-CN"/>
              </w:rPr>
              <w:t>“</w:t>
            </w:r>
            <w:r>
              <w:rPr>
                <w:rFonts w:hint="default" w:ascii="Times New Roman" w:hAnsi="Times New Roman" w:eastAsia="宋体" w:cs="Times New Roman"/>
                <w:color w:val="000000"/>
                <w:highlight w:val="none"/>
                <w:u w:val="none"/>
                <w:lang w:val="en-US" w:eastAsia="zh-CN"/>
              </w:rPr>
              <w:t>两空间内部一红线</w:t>
            </w:r>
            <w:r>
              <w:rPr>
                <w:rFonts w:hint="default" w:ascii="Times New Roman" w:hAnsi="Times New Roman" w:cs="Times New Roman"/>
                <w:color w:val="000000"/>
                <w:highlight w:val="none"/>
                <w:u w:val="none"/>
                <w:lang w:val="en-US" w:eastAsia="zh-CN"/>
              </w:rPr>
              <w:t>”</w:t>
            </w:r>
            <w:r>
              <w:rPr>
                <w:rFonts w:hint="default" w:ascii="Times New Roman" w:hAnsi="Times New Roman" w:eastAsia="宋体" w:cs="Times New Roman"/>
                <w:color w:val="000000"/>
                <w:highlight w:val="none"/>
                <w:u w:val="none"/>
                <w:lang w:val="en-US" w:eastAsia="zh-CN"/>
              </w:rPr>
              <w:t>，即海洋生态空间、海洋开发利用空间和生态保护红线。将保护并提供生态系统服务或生态产品为主</w:t>
            </w:r>
            <w:r>
              <w:rPr>
                <w:rFonts w:hint="eastAsia" w:cs="Times New Roman"/>
                <w:color w:val="000000"/>
                <w:highlight w:val="none"/>
                <w:u w:val="none"/>
                <w:lang w:val="en-US" w:eastAsia="zh-CN"/>
              </w:rPr>
              <w:t>且</w:t>
            </w:r>
            <w:r>
              <w:rPr>
                <w:rFonts w:hint="default" w:ascii="Times New Roman" w:hAnsi="Times New Roman" w:eastAsia="宋体" w:cs="Times New Roman"/>
                <w:color w:val="000000"/>
                <w:highlight w:val="none"/>
                <w:u w:val="none"/>
                <w:lang w:val="en-US" w:eastAsia="zh-CN"/>
              </w:rPr>
              <w:t>限制开发建设的海域和无居民海岛划入</w:t>
            </w:r>
            <w:r>
              <w:rPr>
                <w:rFonts w:hint="default" w:ascii="Times New Roman" w:hAnsi="Times New Roman" w:eastAsia="宋体" w:cs="Times New Roman"/>
                <w:b/>
                <w:bCs/>
                <w:color w:val="000000"/>
                <w:highlight w:val="none"/>
                <w:u w:val="none"/>
                <w:lang w:val="en-US" w:eastAsia="zh-CN"/>
              </w:rPr>
              <w:t>海洋生态空间</w:t>
            </w:r>
            <w:r>
              <w:rPr>
                <w:rFonts w:hint="default" w:ascii="Times New Roman" w:hAnsi="Times New Roman" w:cs="Times New Roman"/>
                <w:color w:val="000000"/>
                <w:highlight w:val="none"/>
                <w:u w:val="none"/>
                <w:lang w:val="en-US" w:eastAsia="zh-CN"/>
              </w:rPr>
              <w:t>；</w:t>
            </w:r>
            <w:r>
              <w:rPr>
                <w:rFonts w:hint="default" w:ascii="Times New Roman" w:hAnsi="Times New Roman" w:eastAsia="宋体" w:cs="Times New Roman"/>
                <w:color w:val="000000"/>
                <w:highlight w:val="none"/>
                <w:u w:val="none"/>
                <w:lang w:val="en-US" w:eastAsia="zh-CN"/>
              </w:rPr>
              <w:t>将海洋生态空间范围内具有特殊重要生态功能，必须强制性严格保护的区域划入</w:t>
            </w:r>
            <w:r>
              <w:rPr>
                <w:rFonts w:hint="default" w:ascii="Times New Roman" w:hAnsi="Times New Roman" w:eastAsia="宋体" w:cs="Times New Roman"/>
                <w:b/>
                <w:bCs/>
                <w:color w:val="000000"/>
                <w:highlight w:val="none"/>
                <w:u w:val="none"/>
                <w:lang w:val="en-US" w:eastAsia="zh-CN"/>
              </w:rPr>
              <w:t>海洋生态保护红线</w:t>
            </w:r>
            <w:r>
              <w:rPr>
                <w:rFonts w:hint="default" w:ascii="Times New Roman" w:hAnsi="Times New Roman" w:cs="Times New Roman"/>
                <w:color w:val="000000"/>
                <w:highlight w:val="none"/>
                <w:u w:val="none"/>
                <w:lang w:val="en-US" w:eastAsia="zh-CN"/>
              </w:rPr>
              <w:t>；</w:t>
            </w:r>
            <w:r>
              <w:rPr>
                <w:rFonts w:hint="default" w:ascii="Times New Roman" w:hAnsi="Times New Roman" w:eastAsia="宋体" w:cs="Times New Roman"/>
                <w:color w:val="000000"/>
                <w:highlight w:val="none"/>
                <w:u w:val="none"/>
                <w:lang w:val="en-US" w:eastAsia="zh-CN"/>
              </w:rPr>
              <w:t>将允许集中开展开发利用活动的海域，以及允许适度开展开发利用活动的无居民海岛划为</w:t>
            </w:r>
            <w:r>
              <w:rPr>
                <w:rFonts w:hint="default" w:ascii="Times New Roman" w:hAnsi="Times New Roman" w:eastAsia="宋体" w:cs="Times New Roman"/>
                <w:b/>
                <w:bCs/>
                <w:color w:val="000000"/>
                <w:highlight w:val="none"/>
                <w:u w:val="none"/>
                <w:lang w:val="en-US" w:eastAsia="zh-CN"/>
              </w:rPr>
              <w:t>海洋开发利用空间</w:t>
            </w:r>
            <w:r>
              <w:rPr>
                <w:rFonts w:hint="default" w:ascii="Times New Roman" w:hAnsi="Times New Roman" w:eastAsia="宋体" w:cs="Times New Roman"/>
                <w:color w:val="000000"/>
                <w:highlight w:val="none"/>
                <w:u w:val="none"/>
                <w:lang w:val="en-US" w:eastAsia="zh-CN"/>
              </w:rPr>
              <w:t>。在海洋</w:t>
            </w:r>
            <w:r>
              <w:rPr>
                <w:rFonts w:hint="default" w:ascii="Times New Roman" w:hAnsi="Times New Roman" w:cs="Times New Roman"/>
                <w:color w:val="000000"/>
                <w:highlight w:val="none"/>
                <w:u w:val="none"/>
                <w:lang w:val="en-US" w:eastAsia="zh-CN"/>
              </w:rPr>
              <w:t>“</w:t>
            </w:r>
            <w:r>
              <w:rPr>
                <w:rFonts w:hint="default" w:ascii="Times New Roman" w:hAnsi="Times New Roman" w:eastAsia="宋体" w:cs="Times New Roman"/>
                <w:color w:val="000000"/>
                <w:highlight w:val="none"/>
                <w:u w:val="none"/>
                <w:lang w:val="en-US" w:eastAsia="zh-CN"/>
              </w:rPr>
              <w:t>两空间内部一红线</w:t>
            </w:r>
            <w:r>
              <w:rPr>
                <w:rFonts w:hint="default" w:ascii="Times New Roman" w:hAnsi="Times New Roman" w:cs="Times New Roman"/>
                <w:color w:val="000000"/>
                <w:highlight w:val="none"/>
                <w:u w:val="none"/>
                <w:lang w:val="en-US" w:eastAsia="zh-CN"/>
              </w:rPr>
              <w:t>”</w:t>
            </w:r>
            <w:r>
              <w:rPr>
                <w:rFonts w:hint="default" w:ascii="Times New Roman" w:hAnsi="Times New Roman" w:eastAsia="宋体" w:cs="Times New Roman"/>
                <w:color w:val="000000"/>
                <w:highlight w:val="none"/>
                <w:u w:val="none"/>
                <w:lang w:val="en-US" w:eastAsia="zh-CN"/>
              </w:rPr>
              <w:t>的总体布局下，全省海域划分生态空间和海洋发展空间。</w:t>
            </w:r>
          </w:p>
          <w:p w14:paraId="2866B222">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highlight w:val="none"/>
                <w:lang w:eastAsia="zh-CN"/>
              </w:rPr>
            </w:pPr>
            <w:r>
              <w:rPr>
                <w:rFonts w:hint="default" w:ascii="Times New Roman" w:hAnsi="Times New Roman" w:cs="Times New Roman"/>
                <w:color w:val="000000"/>
                <w:highlight w:val="none"/>
              </w:rPr>
              <w:t>全省海域共划分为8大分区，包括海洋生态保护区、海洋生态控制区、渔业用海区、工矿通信用海区、交通运输用海区、游憩用海区、特殊用海区和海洋预留区。根据《福建省国土空间规划（2021-2035年）》，本项目</w:t>
            </w:r>
            <w:r>
              <w:rPr>
                <w:rFonts w:hint="default" w:ascii="Times New Roman" w:hAnsi="Times New Roman" w:cs="Times New Roman"/>
                <w:color w:val="000000"/>
                <w:highlight w:val="none"/>
                <w:lang w:val="en-US" w:eastAsia="zh-CN"/>
              </w:rPr>
              <w:t>位于</w:t>
            </w:r>
            <w:r>
              <w:rPr>
                <w:rFonts w:hint="default" w:ascii="Times New Roman" w:hAnsi="Times New Roman" w:cs="Times New Roman"/>
                <w:color w:val="000000"/>
                <w:highlight w:val="none"/>
              </w:rPr>
              <w:t>“海洋开发利用空间”</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eastAsia="zh-CN"/>
              </w:rPr>
              <w:fldChar w:fldCharType="begin"/>
            </w:r>
            <w:r>
              <w:rPr>
                <w:rFonts w:hint="default" w:ascii="Times New Roman" w:hAnsi="Times New Roman" w:cs="Times New Roman"/>
                <w:color w:val="000000"/>
                <w:highlight w:val="none"/>
                <w:lang w:eastAsia="zh-CN"/>
              </w:rPr>
              <w:instrText xml:space="preserve"> REF _Ref4607 \h </w:instrText>
            </w:r>
            <w:r>
              <w:rPr>
                <w:rFonts w:hint="default" w:ascii="Times New Roman" w:hAnsi="Times New Roman" w:cs="Times New Roman"/>
                <w:color w:val="000000"/>
                <w:highlight w:val="none"/>
                <w:lang w:eastAsia="zh-CN"/>
              </w:rPr>
              <w:fldChar w:fldCharType="separate"/>
            </w:r>
            <w:r>
              <w:rPr>
                <w:rFonts w:hint="default" w:ascii="Times New Roman" w:hAnsi="Times New Roman" w:cs="Times New Roman"/>
                <w:color w:val="000000"/>
                <w:highlight w:val="none"/>
              </w:rPr>
              <w:t>图</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1.2</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1</w:t>
            </w:r>
            <w:r>
              <w:rPr>
                <w:rFonts w:hint="default" w:ascii="Times New Roman" w:hAnsi="Times New Roman" w:cs="Times New Roman"/>
                <w:color w:val="000000"/>
                <w:highlight w:val="none"/>
                <w:lang w:eastAsia="zh-CN"/>
              </w:rPr>
              <w:fldChar w:fldCharType="end"/>
            </w:r>
            <w:r>
              <w:rPr>
                <w:rFonts w:hint="default" w:ascii="Times New Roman" w:hAnsi="Times New Roman" w:cs="Times New Roman"/>
                <w:color w:val="000000"/>
                <w:highlight w:val="none"/>
                <w:lang w:eastAsia="zh-CN"/>
              </w:rPr>
              <w:t>）。</w:t>
            </w:r>
          </w:p>
          <w:p w14:paraId="45D85846">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color w:val="000000"/>
                <w:highlight w:val="none"/>
                <w:u w:val="none"/>
                <w:lang w:val="en-US" w:eastAsia="zh-CN"/>
              </w:rPr>
            </w:pPr>
            <w:r>
              <w:rPr>
                <w:rFonts w:hint="default" w:ascii="Times New Roman" w:hAnsi="Times New Roman" w:cs="Times New Roman"/>
                <w:b/>
                <w:bCs/>
                <w:color w:val="000000"/>
                <w:highlight w:val="none"/>
                <w:u w:val="none"/>
                <w:lang w:val="en-US" w:eastAsia="zh-CN"/>
              </w:rPr>
              <w:t>“海洋开发利用空间”</w:t>
            </w:r>
            <w:r>
              <w:rPr>
                <w:rFonts w:hint="default" w:ascii="Times New Roman" w:hAnsi="Times New Roman" w:cs="Times New Roman"/>
                <w:color w:val="000000"/>
                <w:highlight w:val="none"/>
                <w:u w:val="none"/>
                <w:lang w:val="en-US" w:eastAsia="zh-CN"/>
              </w:rPr>
              <w:t>为允许集中开展开发利用活动的海域，以及允许适度开展开发利用活动的无居民海岛，包括渔业用海区、交通运输用海区、工矿通信用海区、游憩用海区、特殊用海区以及海洋预留区。</w:t>
            </w:r>
          </w:p>
          <w:p w14:paraId="02955EFD">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color w:val="000000"/>
                <w:highlight w:val="none"/>
              </w:rPr>
            </w:pPr>
            <w:r>
              <w:rPr>
                <w:rFonts w:hint="default" w:ascii="Times New Roman" w:hAnsi="Times New Roman" w:cs="Times New Roman"/>
                <w:b/>
                <w:bCs/>
                <w:color w:val="000000"/>
                <w:kern w:val="0"/>
                <w:sz w:val="24"/>
                <w:szCs w:val="24"/>
                <w:highlight w:val="none"/>
                <w:lang w:val="en-US" w:eastAsia="zh-CN" w:bidi="ar"/>
              </w:rPr>
              <w:t>符合性分析：</w:t>
            </w:r>
            <w:r>
              <w:rPr>
                <w:rFonts w:hint="default" w:ascii="Times New Roman" w:hAnsi="Times New Roman" w:cs="Times New Roman"/>
                <w:color w:val="000000"/>
                <w:highlight w:val="none"/>
                <w:u w:val="none"/>
                <w:lang w:val="en-US" w:eastAsia="zh-CN"/>
              </w:rPr>
              <w:t>本项目位于“海洋开发利用空间”中的</w:t>
            </w:r>
            <w:r>
              <w:rPr>
                <w:rFonts w:hint="default" w:ascii="Times New Roman" w:hAnsi="Times New Roman" w:cs="Times New Roman"/>
                <w:b/>
                <w:bCs/>
                <w:color w:val="000000"/>
                <w:highlight w:val="none"/>
                <w:u w:val="none"/>
                <w:lang w:val="en-US" w:eastAsia="zh-CN"/>
              </w:rPr>
              <w:t>“交通运输用海区”</w:t>
            </w:r>
            <w:r>
              <w:rPr>
                <w:rFonts w:hint="default" w:ascii="Times New Roman" w:hAnsi="Times New Roman" w:cs="Times New Roman"/>
                <w:color w:val="000000"/>
                <w:highlight w:val="none"/>
                <w:u w:val="none"/>
                <w:lang w:val="en-US" w:eastAsia="zh-CN"/>
              </w:rPr>
              <w:t>，交通运输用海区是指以</w:t>
            </w:r>
            <w:r>
              <w:rPr>
                <w:rFonts w:hint="default" w:ascii="Times New Roman" w:hAnsi="Times New Roman" w:cs="Times New Roman"/>
                <w:b/>
                <w:bCs/>
                <w:color w:val="000000"/>
                <w:highlight w:val="none"/>
                <w:u w:val="none"/>
                <w:lang w:val="en-US" w:eastAsia="zh-CN"/>
              </w:rPr>
              <w:t>港口建设</w:t>
            </w:r>
            <w:r>
              <w:rPr>
                <w:rFonts w:hint="default" w:ascii="Times New Roman" w:hAnsi="Times New Roman" w:cs="Times New Roman"/>
                <w:color w:val="000000"/>
                <w:highlight w:val="none"/>
                <w:u w:val="none"/>
                <w:lang w:val="en-US" w:eastAsia="zh-CN"/>
              </w:rPr>
              <w:t>（含陆岛交通码头、公务码头等）、航运和锚地、路桥隧道建设、机场建设等为主要功能导向的海域和无居民海岛。本项目为</w:t>
            </w:r>
            <w:r>
              <w:rPr>
                <w:rFonts w:hint="default" w:ascii="Times New Roman" w:hAnsi="Times New Roman" w:cs="Times New Roman"/>
                <w:color w:val="000000"/>
                <w:highlight w:val="none"/>
                <w:lang w:eastAsia="zh-CN"/>
              </w:rPr>
              <w:t>福清市海亮沃口一级渔港</w:t>
            </w:r>
            <w:r>
              <w:rPr>
                <w:rFonts w:hint="eastAsia" w:cs="Times New Roman"/>
                <w:color w:val="000000"/>
                <w:highlight w:val="none"/>
                <w:lang w:val="en-US" w:eastAsia="zh-CN"/>
              </w:rPr>
              <w:t>工程</w:t>
            </w:r>
            <w:r>
              <w:rPr>
                <w:rFonts w:hint="default" w:ascii="Times New Roman" w:hAnsi="Times New Roman" w:cs="Times New Roman"/>
                <w:color w:val="000000"/>
                <w:highlight w:val="none"/>
                <w:u w:val="none"/>
                <w:lang w:val="en-US" w:eastAsia="zh-CN"/>
              </w:rPr>
              <w:t>，属于空间用途准入的</w:t>
            </w:r>
            <w:r>
              <w:rPr>
                <w:rFonts w:hint="default" w:ascii="Times New Roman" w:hAnsi="Times New Roman" w:cs="Times New Roman"/>
                <w:b/>
                <w:bCs/>
                <w:color w:val="000000"/>
                <w:highlight w:val="none"/>
                <w:u w:val="none"/>
                <w:lang w:val="en-US" w:eastAsia="zh-CN"/>
              </w:rPr>
              <w:t>港口建设</w:t>
            </w:r>
            <w:r>
              <w:rPr>
                <w:rFonts w:hint="default" w:ascii="Times New Roman" w:hAnsi="Times New Roman" w:cs="Times New Roman"/>
                <w:color w:val="000000"/>
                <w:highlight w:val="none"/>
                <w:u w:val="none"/>
                <w:lang w:val="en-US" w:eastAsia="zh-CN"/>
              </w:rPr>
              <w:t>，</w:t>
            </w:r>
            <w:r>
              <w:rPr>
                <w:rFonts w:hint="default" w:ascii="Times New Roman" w:hAnsi="Times New Roman" w:eastAsia="宋体" w:cs="Times New Roman"/>
                <w:color w:val="000000"/>
                <w:kern w:val="0"/>
                <w:sz w:val="24"/>
                <w:szCs w:val="24"/>
                <w:highlight w:val="none"/>
                <w:lang w:val="en-US" w:eastAsia="zh-CN" w:bidi="ar"/>
              </w:rPr>
              <w:t>本项目与生态保护区（海域）的距离较远，项目用海不占用生态保护区，不占用海洋生态保护红线集中区域</w:t>
            </w:r>
            <w:r>
              <w:rPr>
                <w:rFonts w:hint="default" w:ascii="Times New Roman" w:hAnsi="Times New Roman" w:cs="Times New Roman"/>
                <w:color w:val="000000"/>
                <w:highlight w:val="none"/>
                <w:u w:val="none"/>
                <w:lang w:val="en-US" w:eastAsia="zh-CN"/>
              </w:rPr>
              <w:t>。项目建设对周边海域国土空间规划分区无影响，符合所在海域国土空间规划分区的管控要求。</w:t>
            </w:r>
          </w:p>
          <w:p w14:paraId="45F0FC9A">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b/>
                <w:bCs/>
                <w:color w:val="000000"/>
                <w:u w:val="none"/>
                <w:lang w:val="en-US" w:eastAsia="zh-CN"/>
              </w:rPr>
            </w:pPr>
            <w:r>
              <w:rPr>
                <w:rFonts w:hint="default" w:ascii="Times New Roman" w:hAnsi="Times New Roman" w:cs="Times New Roman"/>
                <w:color w:val="000000"/>
                <w:highlight w:val="none"/>
                <w:u w:val="none"/>
                <w:lang w:val="en-US" w:eastAsia="zh-CN"/>
              </w:rPr>
              <w:t>因此，本项目符合《福建省国土空间规划（2021-2035年）》。</w:t>
            </w:r>
          </w:p>
          <w:p w14:paraId="2AF31DF0">
            <w:pPr>
              <w:keepNext w:val="0"/>
              <w:keepLines w:val="0"/>
              <w:pageBreakBefore w:val="0"/>
              <w:widowControl w:val="0"/>
              <w:kinsoku/>
              <w:wordWrap/>
              <w:overflowPunct/>
              <w:topLinePunct w:val="0"/>
              <w:bidi w:val="0"/>
              <w:adjustRightInd/>
              <w:snapToGrid/>
              <w:ind w:firstLine="482" w:firstLineChars="200"/>
              <w:textAlignment w:val="auto"/>
              <w:rPr>
                <w:rFonts w:hint="default" w:ascii="Times New Roman" w:hAnsi="Times New Roman" w:cs="Times New Roman"/>
                <w:b/>
                <w:bCs/>
                <w:color w:val="000000"/>
                <w:u w:val="none"/>
                <w:lang w:val="en-US" w:eastAsia="zh-CN"/>
              </w:rPr>
            </w:pPr>
          </w:p>
          <w:p w14:paraId="77599B7B">
            <w:pPr>
              <w:keepNext w:val="0"/>
              <w:keepLines w:val="0"/>
              <w:pageBreakBefore w:val="0"/>
              <w:widowControl w:val="0"/>
              <w:kinsoku/>
              <w:wordWrap/>
              <w:overflowPunct/>
              <w:topLinePunct w:val="0"/>
              <w:bidi w:val="0"/>
              <w:adjustRightInd/>
              <w:snapToGrid/>
              <w:ind w:firstLine="482" w:firstLineChars="200"/>
              <w:textAlignment w:val="auto"/>
              <w:rPr>
                <w:rFonts w:hint="default" w:ascii="Times New Roman" w:hAnsi="Times New Roman" w:cs="Times New Roman"/>
                <w:b/>
                <w:bCs/>
                <w:color w:val="000000"/>
                <w:u w:val="none"/>
                <w:lang w:val="en-US" w:eastAsia="zh-CN"/>
              </w:rPr>
            </w:pPr>
          </w:p>
          <w:p w14:paraId="1326DBF0">
            <w:pPr>
              <w:keepNext w:val="0"/>
              <w:keepLines w:val="0"/>
              <w:pageBreakBefore w:val="0"/>
              <w:widowControl w:val="0"/>
              <w:kinsoku/>
              <w:wordWrap/>
              <w:overflowPunct/>
              <w:topLinePunct w:val="0"/>
              <w:bidi w:val="0"/>
              <w:adjustRightInd/>
              <w:snapToGrid/>
              <w:ind w:firstLine="482" w:firstLineChars="200"/>
              <w:textAlignment w:val="auto"/>
              <w:rPr>
                <w:rFonts w:hint="default" w:ascii="Times New Roman" w:hAnsi="Times New Roman" w:cs="Times New Roman"/>
                <w:b/>
                <w:bCs/>
                <w:color w:val="000000"/>
                <w:u w:val="none"/>
                <w:lang w:val="en-US" w:eastAsia="zh-CN"/>
              </w:rPr>
            </w:pPr>
          </w:p>
          <w:p w14:paraId="54A3C5FB">
            <w:pPr>
              <w:keepNext w:val="0"/>
              <w:keepLines w:val="0"/>
              <w:pageBreakBefore w:val="0"/>
              <w:widowControl w:val="0"/>
              <w:kinsoku/>
              <w:wordWrap/>
              <w:overflowPunct/>
              <w:topLinePunct w:val="0"/>
              <w:bidi w:val="0"/>
              <w:adjustRightInd/>
              <w:snapToGrid/>
              <w:ind w:firstLine="482" w:firstLineChars="200"/>
              <w:textAlignment w:val="auto"/>
              <w:rPr>
                <w:rFonts w:hint="default" w:ascii="Times New Roman" w:hAnsi="Times New Roman" w:cs="Times New Roman"/>
                <w:b/>
                <w:bCs/>
                <w:color w:val="000000"/>
                <w:u w:val="none"/>
                <w:lang w:val="en-US" w:eastAsia="zh-CN"/>
              </w:rPr>
            </w:pPr>
          </w:p>
          <w:p w14:paraId="688DA0D1">
            <w:pPr>
              <w:keepNext w:val="0"/>
              <w:keepLines w:val="0"/>
              <w:pageBreakBefore w:val="0"/>
              <w:widowControl w:val="0"/>
              <w:kinsoku/>
              <w:wordWrap/>
              <w:overflowPunct/>
              <w:topLinePunct w:val="0"/>
              <w:bidi w:val="0"/>
              <w:adjustRightInd/>
              <w:snapToGrid/>
              <w:ind w:firstLine="482" w:firstLineChars="200"/>
              <w:textAlignment w:val="auto"/>
              <w:rPr>
                <w:rFonts w:hint="default" w:ascii="Times New Roman" w:hAnsi="Times New Roman" w:cs="Times New Roman"/>
                <w:b/>
                <w:bCs/>
                <w:color w:val="000000"/>
                <w:u w:val="none"/>
                <w:lang w:val="en-US" w:eastAsia="zh-CN"/>
              </w:rPr>
            </w:pPr>
          </w:p>
          <w:p w14:paraId="59782DA4">
            <w:pPr>
              <w:keepNext w:val="0"/>
              <w:keepLines w:val="0"/>
              <w:pageBreakBefore w:val="0"/>
              <w:widowControl w:val="0"/>
              <w:kinsoku/>
              <w:wordWrap/>
              <w:overflowPunct/>
              <w:topLinePunct w:val="0"/>
              <w:bidi w:val="0"/>
              <w:adjustRightInd/>
              <w:snapToGrid/>
              <w:ind w:firstLine="482" w:firstLineChars="200"/>
              <w:textAlignment w:val="auto"/>
              <w:rPr>
                <w:rFonts w:hint="default" w:ascii="Times New Roman" w:hAnsi="Times New Roman" w:cs="Times New Roman"/>
                <w:b/>
                <w:bCs/>
                <w:color w:val="000000"/>
                <w:u w:val="none"/>
                <w:lang w:val="en-US" w:eastAsia="zh-CN"/>
              </w:rPr>
            </w:pPr>
          </w:p>
          <w:p w14:paraId="4ADFEFF0">
            <w:pPr>
              <w:keepNext w:val="0"/>
              <w:keepLines w:val="0"/>
              <w:pageBreakBefore w:val="0"/>
              <w:widowControl w:val="0"/>
              <w:kinsoku/>
              <w:wordWrap/>
              <w:overflowPunct/>
              <w:topLinePunct w:val="0"/>
              <w:bidi w:val="0"/>
              <w:adjustRightInd/>
              <w:snapToGrid/>
              <w:ind w:firstLine="482" w:firstLineChars="200"/>
              <w:textAlignment w:val="auto"/>
              <w:rPr>
                <w:rFonts w:hint="default" w:ascii="Times New Roman" w:hAnsi="Times New Roman" w:cs="Times New Roman"/>
                <w:b/>
                <w:bCs/>
                <w:color w:val="000000"/>
                <w:u w:val="none"/>
                <w:lang w:val="en-US" w:eastAsia="zh-CN"/>
              </w:rPr>
            </w:pPr>
          </w:p>
          <w:p w14:paraId="5FD4F74C">
            <w:pPr>
              <w:keepNext w:val="0"/>
              <w:keepLines w:val="0"/>
              <w:pageBreakBefore w:val="0"/>
              <w:widowControl w:val="0"/>
              <w:kinsoku/>
              <w:wordWrap/>
              <w:overflowPunct/>
              <w:topLinePunct w:val="0"/>
              <w:bidi w:val="0"/>
              <w:adjustRightInd/>
              <w:snapToGrid/>
              <w:ind w:firstLine="482" w:firstLineChars="200"/>
              <w:textAlignment w:val="auto"/>
              <w:rPr>
                <w:rFonts w:hint="default" w:ascii="Times New Roman" w:hAnsi="Times New Roman" w:cs="Times New Roman"/>
                <w:b/>
                <w:bCs/>
                <w:color w:val="000000"/>
                <w:u w:val="none"/>
                <w:lang w:val="en-US" w:eastAsia="zh-CN"/>
              </w:rPr>
            </w:pPr>
          </w:p>
          <w:p w14:paraId="6A3E39AE">
            <w:pPr>
              <w:keepNext w:val="0"/>
              <w:keepLines w:val="0"/>
              <w:pageBreakBefore w:val="0"/>
              <w:widowControl w:val="0"/>
              <w:kinsoku/>
              <w:wordWrap/>
              <w:overflowPunct/>
              <w:topLinePunct w:val="0"/>
              <w:bidi w:val="0"/>
              <w:adjustRightInd/>
              <w:snapToGrid/>
              <w:ind w:firstLine="482" w:firstLineChars="200"/>
              <w:textAlignment w:val="auto"/>
              <w:rPr>
                <w:rFonts w:hint="default" w:ascii="Times New Roman" w:hAnsi="Times New Roman" w:cs="Times New Roman"/>
                <w:b/>
                <w:bCs/>
                <w:color w:val="000000"/>
                <w:u w:val="none"/>
                <w:lang w:val="en-US" w:eastAsia="zh-CN"/>
              </w:rPr>
            </w:pPr>
          </w:p>
          <w:p w14:paraId="64ABE1EB">
            <w:pPr>
              <w:keepNext w:val="0"/>
              <w:keepLines w:val="0"/>
              <w:pageBreakBefore w:val="0"/>
              <w:widowControl w:val="0"/>
              <w:kinsoku/>
              <w:wordWrap/>
              <w:overflowPunct/>
              <w:topLinePunct w:val="0"/>
              <w:bidi w:val="0"/>
              <w:adjustRightInd/>
              <w:snapToGrid/>
              <w:ind w:firstLine="482" w:firstLineChars="200"/>
              <w:textAlignment w:val="auto"/>
              <w:rPr>
                <w:rFonts w:hint="default" w:ascii="Times New Roman" w:hAnsi="Times New Roman" w:cs="Times New Roman"/>
                <w:b/>
                <w:bCs/>
                <w:color w:val="000000"/>
                <w:u w:val="none"/>
                <w:lang w:val="en-US" w:eastAsia="zh-CN"/>
              </w:rPr>
            </w:pPr>
          </w:p>
          <w:p w14:paraId="6C616427">
            <w:pPr>
              <w:keepNext w:val="0"/>
              <w:keepLines w:val="0"/>
              <w:pageBreakBefore w:val="0"/>
              <w:widowControl w:val="0"/>
              <w:kinsoku/>
              <w:wordWrap/>
              <w:overflowPunct/>
              <w:topLinePunct w:val="0"/>
              <w:bidi w:val="0"/>
              <w:adjustRightInd/>
              <w:snapToGrid/>
              <w:ind w:firstLine="482" w:firstLineChars="200"/>
              <w:textAlignment w:val="auto"/>
              <w:rPr>
                <w:rFonts w:hint="default" w:ascii="Times New Roman" w:hAnsi="Times New Roman" w:cs="Times New Roman"/>
                <w:b/>
                <w:bCs/>
                <w:color w:val="000000"/>
                <w:u w:val="none"/>
                <w:lang w:val="en-US" w:eastAsia="zh-CN"/>
              </w:rPr>
            </w:pPr>
          </w:p>
          <w:p w14:paraId="46614F6E">
            <w:pPr>
              <w:keepNext w:val="0"/>
              <w:keepLines w:val="0"/>
              <w:pageBreakBefore w:val="0"/>
              <w:widowControl w:val="0"/>
              <w:kinsoku/>
              <w:wordWrap/>
              <w:overflowPunct/>
              <w:topLinePunct w:val="0"/>
              <w:bidi w:val="0"/>
              <w:adjustRightInd/>
              <w:snapToGrid/>
              <w:ind w:firstLine="482" w:firstLineChars="200"/>
              <w:textAlignment w:val="auto"/>
              <w:rPr>
                <w:rFonts w:hint="default" w:ascii="Times New Roman" w:hAnsi="Times New Roman" w:cs="Times New Roman"/>
                <w:b/>
                <w:bCs/>
                <w:color w:val="000000"/>
                <w:u w:val="none"/>
                <w:lang w:val="en-US" w:eastAsia="zh-CN"/>
              </w:rPr>
            </w:pPr>
          </w:p>
          <w:p w14:paraId="5F8D6383">
            <w:pPr>
              <w:pStyle w:val="31"/>
              <w:bidi w:val="0"/>
              <w:rPr>
                <w:rFonts w:hint="default"/>
                <w:lang w:val="en-US" w:eastAsia="zh-CN"/>
              </w:rPr>
            </w:pPr>
            <w:r>
              <w:rPr>
                <w:rFonts w:hint="default" w:ascii="Times New Roman" w:hAnsi="Times New Roman" w:eastAsia="宋体" w:cs="Times New Roman"/>
                <w:color w:val="000000"/>
                <w:highlight w:val="none"/>
                <w:lang w:eastAsia="zh-CN"/>
              </w:rPr>
              <w:drawing>
                <wp:inline distT="0" distB="0" distL="114300" distR="114300">
                  <wp:extent cx="5093970" cy="7164070"/>
                  <wp:effectExtent l="0" t="0" r="11430" b="17780"/>
                  <wp:docPr id="163" name="图片 33" descr="图3.9-10 与《福建省国土空间规划（2021-2035年）》的位置关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33" descr="图3.9-10 与《福建省国土空间规划（2021-2035年）》的位置关系"/>
                          <pic:cNvPicPr>
                            <a:picLocks noChangeAspect="1"/>
                          </pic:cNvPicPr>
                        </pic:nvPicPr>
                        <pic:blipFill>
                          <a:blip r:embed="rId13"/>
                          <a:stretch>
                            <a:fillRect/>
                          </a:stretch>
                        </pic:blipFill>
                        <pic:spPr>
                          <a:xfrm>
                            <a:off x="0" y="0"/>
                            <a:ext cx="5093970" cy="7164070"/>
                          </a:xfrm>
                          <a:prstGeom prst="rect">
                            <a:avLst/>
                          </a:prstGeom>
                          <a:noFill/>
                          <a:ln>
                            <a:noFill/>
                          </a:ln>
                        </pic:spPr>
                      </pic:pic>
                    </a:graphicData>
                  </a:graphic>
                </wp:inline>
              </w:drawing>
            </w:r>
          </w:p>
          <w:p w14:paraId="0F2D11C6">
            <w:pPr>
              <w:pStyle w:val="30"/>
              <w:bidi w:val="0"/>
              <w:rPr>
                <w:rFonts w:hint="default" w:ascii="Times New Roman" w:hAnsi="Times New Roman" w:cs="Times New Roman"/>
                <w:color w:val="000000"/>
                <w:highlight w:val="none"/>
                <w:lang w:val="en-US" w:eastAsia="zh-CN"/>
              </w:rPr>
            </w:pPr>
            <w:bookmarkStart w:id="90" w:name="_Ref4607"/>
            <w:r>
              <w:rPr>
                <w:rFonts w:hint="default" w:ascii="Times New Roman" w:hAnsi="Times New Roman" w:cs="Times New Roman"/>
                <w:color w:val="000000"/>
                <w:highlight w:val="none"/>
              </w:rPr>
              <w:t>图</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1.2</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图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1</w:t>
            </w:r>
            <w:r>
              <w:rPr>
                <w:rFonts w:hint="default" w:ascii="Times New Roman" w:hAnsi="Times New Roman" w:cs="Times New Roman"/>
                <w:color w:val="000000"/>
                <w:highlight w:val="none"/>
              </w:rPr>
              <w:fldChar w:fldCharType="end"/>
            </w:r>
            <w:bookmarkEnd w:id="90"/>
            <w:r>
              <w:rPr>
                <w:rFonts w:hint="default" w:ascii="Times New Roman" w:hAnsi="Times New Roman" w:cs="Times New Roman"/>
                <w:color w:val="000000"/>
                <w:highlight w:val="none"/>
                <w:lang w:val="en-US" w:eastAsia="zh-CN"/>
              </w:rPr>
              <w:t xml:space="preserve"> 与《福建省国土空间规划（2021-2035年）》的位置关系</w:t>
            </w:r>
          </w:p>
          <w:p w14:paraId="6DFD9EC0">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lang w:val="en-US" w:eastAsia="zh-CN"/>
              </w:rPr>
            </w:pPr>
          </w:p>
          <w:p w14:paraId="518BD0BF">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lang w:val="en-US" w:eastAsia="zh-CN"/>
              </w:rPr>
            </w:pPr>
          </w:p>
          <w:p w14:paraId="66022117">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lang w:val="en-US" w:eastAsia="zh-CN"/>
              </w:rPr>
            </w:pPr>
          </w:p>
          <w:p w14:paraId="6F13C9F8">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rPr>
            </w:pPr>
            <w:bookmarkStart w:id="91" w:name="_Toc24883"/>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2</w:t>
            </w: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rPr>
              <w:t>与《福州市国土空间总体规划（2021-2035年）》符合性</w:t>
            </w:r>
            <w:bookmarkEnd w:id="91"/>
          </w:p>
          <w:p w14:paraId="41CD0291">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highlight w:val="none"/>
                <w:lang w:eastAsia="zh-CN"/>
              </w:rPr>
            </w:pPr>
            <w:r>
              <w:rPr>
                <w:rFonts w:hint="default" w:ascii="Times New Roman" w:hAnsi="Times New Roman" w:cs="Times New Roman"/>
                <w:color w:val="000000"/>
                <w:highlight w:val="none"/>
              </w:rPr>
              <w:t>《福州市国土空间总体规划（2021-2035年）》于2024年12月9日获得了国务院的批复。根据《福州市国土空间总体规划（2021-2035年）》，本项目用海位于“</w:t>
            </w:r>
            <w:r>
              <w:rPr>
                <w:rFonts w:hint="default" w:ascii="Times New Roman" w:hAnsi="Times New Roman" w:cs="Times New Roman"/>
                <w:color w:val="000000"/>
                <w:highlight w:val="none"/>
                <w:lang w:val="en-US" w:eastAsia="zh-CN"/>
              </w:rPr>
              <w:t>渔业用海区</w:t>
            </w:r>
            <w:r>
              <w:rPr>
                <w:rFonts w:hint="default" w:ascii="Times New Roman" w:hAnsi="Times New Roman" w:cs="Times New Roman"/>
                <w:color w:val="000000"/>
                <w:highlight w:val="none"/>
              </w:rPr>
              <w:t>”</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eastAsia="zh-CN"/>
              </w:rPr>
              <w:fldChar w:fldCharType="begin"/>
            </w:r>
            <w:r>
              <w:rPr>
                <w:rFonts w:hint="default" w:ascii="Times New Roman" w:hAnsi="Times New Roman" w:cs="Times New Roman"/>
                <w:color w:val="000000"/>
                <w:highlight w:val="none"/>
                <w:lang w:eastAsia="zh-CN"/>
              </w:rPr>
              <w:instrText xml:space="preserve"> REF _Ref6622 \h </w:instrText>
            </w:r>
            <w:r>
              <w:rPr>
                <w:rFonts w:hint="default" w:ascii="Times New Roman" w:hAnsi="Times New Roman" w:cs="Times New Roman"/>
                <w:color w:val="000000"/>
                <w:highlight w:val="none"/>
                <w:lang w:eastAsia="zh-CN"/>
              </w:rPr>
              <w:fldChar w:fldCharType="separate"/>
            </w:r>
            <w:r>
              <w:rPr>
                <w:rFonts w:hint="default"/>
              </w:rPr>
              <w:t>图</w:t>
            </w:r>
            <w:r>
              <w:rPr>
                <w:rFonts w:hint="default"/>
              </w:rPr>
              <w:fldChar w:fldCharType="begin"/>
            </w:r>
            <w:r>
              <w:rPr>
                <w:rFonts w:hint="default"/>
              </w:rPr>
              <w:instrText xml:space="preserve"> STYLEREF 2 \s </w:instrText>
            </w:r>
            <w:r>
              <w:rPr>
                <w:rFonts w:hint="default"/>
              </w:rPr>
              <w:fldChar w:fldCharType="separate"/>
            </w:r>
            <w:r>
              <w:rPr>
                <w:rFonts w:hint="default"/>
              </w:rPr>
              <w:t>1.2</w:t>
            </w:r>
            <w:r>
              <w:rPr>
                <w:rFonts w:hint="default"/>
              </w:rPr>
              <w:fldChar w:fldCharType="end"/>
            </w:r>
            <w:r>
              <w:rPr>
                <w:rFonts w:hint="default"/>
                <w:lang w:eastAsia="zh-CN"/>
              </w:rPr>
              <w:t>-</w:t>
            </w:r>
            <w:r>
              <w:rPr>
                <w:rFonts w:hint="default"/>
              </w:rPr>
              <w:t>2</w:t>
            </w:r>
            <w:r>
              <w:rPr>
                <w:rFonts w:hint="default" w:ascii="Times New Roman" w:hAnsi="Times New Roman" w:cs="Times New Roman"/>
                <w:color w:val="000000"/>
                <w:highlight w:val="none"/>
                <w:lang w:eastAsia="zh-CN"/>
              </w:rPr>
              <w:fldChar w:fldCharType="end"/>
            </w:r>
            <w:r>
              <w:rPr>
                <w:rFonts w:hint="default" w:ascii="Times New Roman" w:hAnsi="Times New Roman" w:cs="Times New Roman"/>
                <w:color w:val="000000"/>
                <w:highlight w:val="none"/>
                <w:lang w:eastAsia="zh-CN"/>
              </w:rPr>
              <w:t>）。</w:t>
            </w:r>
          </w:p>
          <w:p w14:paraId="5C851DBE">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color w:val="000000"/>
                <w:highlight w:val="none"/>
              </w:rPr>
            </w:pPr>
            <w:r>
              <w:rPr>
                <w:rFonts w:hint="default" w:ascii="Times New Roman" w:hAnsi="Times New Roman" w:cs="Times New Roman"/>
                <w:b/>
                <w:bCs/>
                <w:color w:val="000000"/>
                <w:highlight w:val="none"/>
              </w:rPr>
              <w:t>渔业用海区</w:t>
            </w:r>
            <w:r>
              <w:rPr>
                <w:rFonts w:hint="default" w:ascii="Times New Roman" w:hAnsi="Times New Roman" w:cs="Times New Roman"/>
                <w:color w:val="000000"/>
                <w:highlight w:val="none"/>
              </w:rPr>
              <w:t>：以渔业基础设施、增养殖、捕捞生产为主导功能。用海方式控制要求：</w:t>
            </w:r>
            <w:r>
              <w:rPr>
                <w:rFonts w:hint="default" w:ascii="Times New Roman" w:hAnsi="Times New Roman" w:cs="Times New Roman"/>
                <w:b/>
                <w:bCs/>
                <w:color w:val="000000"/>
                <w:highlight w:val="none"/>
              </w:rPr>
              <w:t>渔业基础设施</w:t>
            </w:r>
            <w:r>
              <w:rPr>
                <w:rFonts w:hint="default" w:ascii="Times New Roman" w:hAnsi="Times New Roman" w:cs="Times New Roman"/>
                <w:color w:val="000000"/>
                <w:highlight w:val="none"/>
              </w:rPr>
              <w:t>、陆岛交通码头、公务码头、旅游码头、游艇码头等用海，允许适度改变海域自然属性。在开发过程中应合理利用海洋渔业资源，保护养殖海域生态环境，逐步调整不符合功能区管理要求的用海活动，对海湾、河口、海岛、海岸等受损的生态系统进行有序修复，保护产卵场、越冬场、索饵场和洄游通道等重要渔业水域。</w:t>
            </w:r>
          </w:p>
          <w:p w14:paraId="46761435">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eastAsia="宋体" w:cs="Times New Roman"/>
                <w:color w:val="000000"/>
                <w:highlight w:val="none"/>
                <w:lang w:val="en-US" w:eastAsia="zh-CN"/>
              </w:rPr>
            </w:pPr>
            <w:r>
              <w:rPr>
                <w:rFonts w:hint="default" w:ascii="Times New Roman" w:hAnsi="Times New Roman" w:cs="Times New Roman"/>
                <w:b/>
                <w:bCs/>
                <w:color w:val="000000"/>
                <w:highlight w:val="none"/>
              </w:rPr>
              <w:t>符合性分析：</w:t>
            </w:r>
            <w:r>
              <w:rPr>
                <w:rFonts w:hint="default" w:ascii="Times New Roman" w:hAnsi="Times New Roman" w:cs="Times New Roman"/>
                <w:color w:val="000000"/>
                <w:highlight w:val="none"/>
              </w:rPr>
              <w:t>本项目为</w:t>
            </w:r>
            <w:r>
              <w:rPr>
                <w:rFonts w:hint="default" w:ascii="Times New Roman" w:hAnsi="Times New Roman" w:cs="Times New Roman"/>
                <w:color w:val="000000"/>
                <w:highlight w:val="none"/>
                <w:lang w:eastAsia="zh-CN"/>
              </w:rPr>
              <w:t>福清市海亮沃口一级渔港</w:t>
            </w:r>
            <w:r>
              <w:rPr>
                <w:rFonts w:hint="eastAsia" w:cs="Times New Roman"/>
                <w:color w:val="000000"/>
                <w:highlight w:val="none"/>
                <w:lang w:val="en-US" w:eastAsia="zh-CN"/>
              </w:rPr>
              <w:t>工程</w:t>
            </w:r>
            <w:r>
              <w:rPr>
                <w:rFonts w:hint="default" w:ascii="Times New Roman" w:hAnsi="Times New Roman" w:cs="Times New Roman"/>
                <w:color w:val="000000"/>
                <w:highlight w:val="none"/>
              </w:rPr>
              <w:t>，</w:t>
            </w:r>
            <w:r>
              <w:rPr>
                <w:rFonts w:hint="default" w:ascii="Times New Roman" w:hAnsi="Times New Roman" w:cs="Times New Roman"/>
                <w:color w:val="000000"/>
                <w:highlight w:val="none"/>
                <w:lang w:val="en-US" w:eastAsia="zh-CN"/>
              </w:rPr>
              <w:t>属于渔业基础设施建设，本项目已取得海域使用权证（附件7），项目建设将会对周边海域海水养殖有一定的影响，海亮村委会及养殖户均承诺在项目施工建设前，将海水养殖迁移出该海域或停止养殖，同意并支持海亮沃口一级渔港建设。项目建成后，严格控制废水、废气、固废的处理，加强监测、采取相应的预防和治理措施，避免对海洋生态环境造成新的污染。</w:t>
            </w:r>
          </w:p>
          <w:p w14:paraId="167EEE1B">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ascii="Times New Roman" w:hAnsi="Times New Roman" w:cs="Times New Roman"/>
                <w:color w:val="000000"/>
                <w:highlight w:val="none"/>
                <w:lang w:eastAsia="zh-CN"/>
              </w:rPr>
            </w:pPr>
            <w:r>
              <w:rPr>
                <w:rFonts w:hint="default" w:ascii="Times New Roman" w:hAnsi="Times New Roman" w:cs="Times New Roman"/>
                <w:color w:val="000000"/>
                <w:highlight w:val="none"/>
              </w:rPr>
              <w:t>因此，本项目建设符合《福州市国土空间总体规划（2021-2035年）》</w:t>
            </w:r>
            <w:r>
              <w:rPr>
                <w:rFonts w:hint="eastAsia" w:ascii="Times New Roman" w:hAnsi="Times New Roman" w:cs="Times New Roman"/>
                <w:color w:val="000000"/>
                <w:highlight w:val="none"/>
                <w:lang w:eastAsia="zh-CN"/>
              </w:rPr>
              <w:t>。</w:t>
            </w:r>
          </w:p>
          <w:p w14:paraId="379C4542">
            <w:pPr>
              <w:pStyle w:val="31"/>
              <w:bidi w:val="0"/>
              <w:rPr>
                <w:rFonts w:hint="default"/>
                <w:lang w:val="en-US" w:eastAsia="zh-CN"/>
              </w:rPr>
            </w:pPr>
            <w:r>
              <w:rPr>
                <w:rFonts w:hint="eastAsia"/>
                <w:lang w:val="en-US" w:eastAsia="zh-CN"/>
              </w:rPr>
              <w:t>（涉密删除）</w:t>
            </w:r>
          </w:p>
          <w:p w14:paraId="0BC973B9">
            <w:pPr>
              <w:pStyle w:val="30"/>
              <w:bidi w:val="0"/>
              <w:rPr>
                <w:rFonts w:hint="default"/>
                <w:lang w:val="en-US" w:eastAsia="zh-CN"/>
              </w:rPr>
            </w:pPr>
            <w:bookmarkStart w:id="92" w:name="_Ref6622"/>
            <w:r>
              <w:rPr>
                <w:rFonts w:hint="default"/>
              </w:rPr>
              <w:t>图</w:t>
            </w:r>
            <w:r>
              <w:rPr>
                <w:rFonts w:hint="default"/>
              </w:rPr>
              <w:fldChar w:fldCharType="begin"/>
            </w:r>
            <w:r>
              <w:rPr>
                <w:rFonts w:hint="default"/>
              </w:rPr>
              <w:instrText xml:space="preserve"> STYLEREF 2 \s </w:instrText>
            </w:r>
            <w:r>
              <w:rPr>
                <w:rFonts w:hint="default"/>
              </w:rPr>
              <w:fldChar w:fldCharType="separate"/>
            </w:r>
            <w:r>
              <w:rPr>
                <w:rFonts w:hint="default"/>
              </w:rPr>
              <w:t>1.2</w:t>
            </w:r>
            <w:r>
              <w:rPr>
                <w:rFonts w:hint="default"/>
              </w:rPr>
              <w:fldChar w:fldCharType="end"/>
            </w:r>
            <w:r>
              <w:rPr>
                <w:rFonts w:hint="default"/>
                <w:lang w:eastAsia="zh-CN"/>
              </w:rPr>
              <w:t>-</w:t>
            </w:r>
            <w:r>
              <w:rPr>
                <w:rFonts w:hint="default"/>
              </w:rPr>
              <w:fldChar w:fldCharType="begin"/>
            </w:r>
            <w:r>
              <w:rPr>
                <w:rFonts w:hint="default"/>
              </w:rPr>
              <w:instrText xml:space="preserve"> SEQ 图 \* ARABIC \s 2 </w:instrText>
            </w:r>
            <w:r>
              <w:rPr>
                <w:rFonts w:hint="default"/>
              </w:rPr>
              <w:fldChar w:fldCharType="separate"/>
            </w:r>
            <w:r>
              <w:rPr>
                <w:rFonts w:hint="default"/>
              </w:rPr>
              <w:t>2</w:t>
            </w:r>
            <w:r>
              <w:rPr>
                <w:rFonts w:hint="default"/>
              </w:rPr>
              <w:fldChar w:fldCharType="end"/>
            </w:r>
            <w:bookmarkEnd w:id="92"/>
            <w:r>
              <w:rPr>
                <w:rFonts w:hint="default"/>
                <w:lang w:val="en-US" w:eastAsia="zh-CN"/>
              </w:rPr>
              <w:t xml:space="preserve"> 与《福州市国土空间总体规划（2021-2035年）》的位置关系</w:t>
            </w:r>
          </w:p>
          <w:p w14:paraId="19054BE4">
            <w:pPr>
              <w:pStyle w:val="4"/>
              <w:bidi w:val="0"/>
              <w:ind w:left="567" w:leftChars="0" w:hanging="567" w:firstLineChars="0"/>
              <w:rPr>
                <w:rFonts w:hint="default"/>
                <w:lang w:val="en-US" w:eastAsia="zh-CN"/>
              </w:rPr>
            </w:pPr>
            <w:r>
              <w:rPr>
                <w:rFonts w:hint="default"/>
                <w:lang w:val="en-US" w:eastAsia="zh-CN"/>
              </w:rPr>
              <w:t>与《福州港总体规划（2035年）》符合性分析</w:t>
            </w:r>
          </w:p>
          <w:p w14:paraId="1CBE5D92">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根据2021年10月批复的《福州港总体规划（2035年）》，福州港性质为国家综合运输体系的重要枢纽，是海峡西岸经济区开发开放的重要依托，是福州市、宁德市和平潭综合实验区经济发展的重要依托，是海峡西岸对台“三通”的主要口岸。福州港将形成“一港八区”的总体发展格局，其中福州市域港口分为闽江口内、江阴、松下、罗源湾和平潭共五个港区，宁德市域港口分为三都澳、白马和沙埕共三个港区。</w:t>
            </w:r>
          </w:p>
          <w:p w14:paraId="4C650BDF">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本</w:t>
            </w:r>
            <w:r>
              <w:rPr>
                <w:rFonts w:hint="default" w:ascii="Times New Roman" w:hAnsi="Times New Roman" w:cs="Times New Roman"/>
                <w:color w:val="000000"/>
                <w:highlight w:val="none"/>
              </w:rPr>
              <w:t>项目不占用规划的港口岸线和航道</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eastAsia="zh-CN"/>
              </w:rPr>
              <w:fldChar w:fldCharType="begin"/>
            </w:r>
            <w:r>
              <w:rPr>
                <w:rFonts w:hint="default" w:ascii="Times New Roman" w:hAnsi="Times New Roman" w:cs="Times New Roman"/>
                <w:color w:val="000000"/>
                <w:highlight w:val="none"/>
                <w:lang w:eastAsia="zh-CN"/>
              </w:rPr>
              <w:instrText xml:space="preserve"> REF _Ref22667 \h </w:instrText>
            </w:r>
            <w:r>
              <w:rPr>
                <w:rFonts w:hint="default" w:ascii="Times New Roman" w:hAnsi="Times New Roman" w:cs="Times New Roman"/>
                <w:color w:val="000000"/>
                <w:highlight w:val="none"/>
                <w:lang w:eastAsia="zh-CN"/>
              </w:rPr>
              <w:fldChar w:fldCharType="separate"/>
            </w:r>
            <w:r>
              <w:rPr>
                <w:rFonts w:hint="default" w:ascii="Times New Roman" w:hAnsi="Times New Roman" w:cs="Times New Roman"/>
                <w:color w:val="000000"/>
                <w:highlight w:val="none"/>
              </w:rPr>
              <w:t>图</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1.2</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3</w:t>
            </w:r>
            <w:r>
              <w:rPr>
                <w:rFonts w:hint="default" w:ascii="Times New Roman" w:hAnsi="Times New Roman" w:cs="Times New Roman"/>
                <w:color w:val="000000"/>
                <w:highlight w:val="none"/>
                <w:lang w:eastAsia="zh-CN"/>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，距离最近的金井作业区约7.6km。因此，本项目建设与《福州港总体规划（2035年）》</w:t>
            </w:r>
            <w:r>
              <w:rPr>
                <w:rFonts w:hint="default" w:ascii="Times New Roman" w:hAnsi="Times New Roman" w:cs="Times New Roman"/>
                <w:color w:val="000000"/>
                <w:highlight w:val="none"/>
                <w:lang w:val="en-US" w:eastAsia="zh-CN"/>
              </w:rPr>
              <w:t>不冲突</w:t>
            </w:r>
            <w:r>
              <w:rPr>
                <w:rFonts w:hint="eastAsia" w:ascii="Times New Roman" w:hAnsi="Times New Roman" w:cs="Times New Roman"/>
                <w:color w:val="000000"/>
                <w:highlight w:val="none"/>
                <w:lang w:val="en-US" w:eastAsia="zh-CN"/>
              </w:rPr>
              <w:t>。</w:t>
            </w:r>
          </w:p>
          <w:p w14:paraId="5A733F59">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ascii="Times New Roman" w:hAnsi="Times New Roman" w:cs="Times New Roman"/>
                <w:color w:val="000000"/>
                <w:highlight w:val="none"/>
                <w:lang w:val="en-US" w:eastAsia="zh-CN"/>
              </w:rPr>
            </w:pPr>
          </w:p>
          <w:p w14:paraId="7B211F94">
            <w:pPr>
              <w:pStyle w:val="31"/>
              <w:bidi w:val="0"/>
              <w:rPr>
                <w:rFonts w:hint="eastAsia"/>
                <w:lang w:val="en-US" w:eastAsia="zh-CN"/>
              </w:rPr>
            </w:pPr>
            <w:r>
              <w:rPr>
                <w:rFonts w:hint="eastAsia"/>
                <w:lang w:val="en-US" w:eastAsia="zh-CN"/>
              </w:rPr>
              <w:t>（涉密删除）</w:t>
            </w:r>
          </w:p>
          <w:p w14:paraId="2C14D7AD">
            <w:pPr>
              <w:pStyle w:val="30"/>
              <w:bidi w:val="0"/>
              <w:rPr>
                <w:rFonts w:hint="default" w:ascii="Times New Roman" w:hAnsi="Times New Roman" w:cs="Times New Roman"/>
                <w:color w:val="000000"/>
                <w:highlight w:val="none"/>
                <w:lang w:val="en-US" w:eastAsia="zh-CN"/>
              </w:rPr>
            </w:pPr>
            <w:bookmarkStart w:id="93" w:name="_Ref22667"/>
            <w:r>
              <w:rPr>
                <w:rFonts w:hint="default" w:ascii="Times New Roman" w:hAnsi="Times New Roman" w:cs="Times New Roman"/>
                <w:color w:val="000000"/>
                <w:highlight w:val="none"/>
              </w:rPr>
              <w:t>图</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1.2</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图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w:t>
            </w:r>
            <w:r>
              <w:rPr>
                <w:rFonts w:hint="default" w:ascii="Times New Roman" w:hAnsi="Times New Roman" w:cs="Times New Roman"/>
                <w:color w:val="000000"/>
                <w:highlight w:val="none"/>
              </w:rPr>
              <w:fldChar w:fldCharType="end"/>
            </w:r>
            <w:bookmarkEnd w:id="93"/>
            <w:r>
              <w:rPr>
                <w:rFonts w:hint="default" w:ascii="Times New Roman" w:hAnsi="Times New Roman" w:cs="Times New Roman"/>
                <w:color w:val="000000"/>
                <w:highlight w:val="none"/>
                <w:lang w:val="en-US" w:eastAsia="zh-CN"/>
              </w:rPr>
              <w:t xml:space="preserve"> 福州港总体布局规划图（局部）</w:t>
            </w:r>
          </w:p>
          <w:p w14:paraId="3E821627">
            <w:pPr>
              <w:pStyle w:val="4"/>
              <w:bidi w:val="0"/>
              <w:ind w:left="567" w:leftChars="0" w:hanging="567" w:firstLineChars="0"/>
              <w:rPr>
                <w:rFonts w:hint="eastAsia"/>
                <w:lang w:val="en-US" w:eastAsia="zh-CN"/>
              </w:rPr>
            </w:pPr>
            <w:r>
              <w:rPr>
                <w:rFonts w:hint="eastAsia"/>
                <w:lang w:val="en-US" w:eastAsia="zh-CN"/>
              </w:rPr>
              <w:t>与《渔港建设标准》（DB35/T 964-2009）符合性分析</w:t>
            </w:r>
          </w:p>
          <w:p w14:paraId="180AFE31">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根据《渔港建设标准》（DB35/T 964-2009）规定（</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REF _Ref14615 \h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1.2</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1</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val="en-US" w:eastAsia="zh-CN"/>
              </w:rPr>
              <w:t>）：综合型一级渔港的水产品年卸港量≥4万吨、港内水域面积≥30公顷，避风水域面积≥20公顷，码头泊位长度≥400m、陆域面积≥10公顷。本项目设计年卸港量4.24万吨，港内水域面积59.2411公顷，码头泊位310m，新建陆域面积23.49万m</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lang w:val="en-US" w:eastAsia="zh-CN"/>
              </w:rPr>
              <w:t>。现有海亮沃口二级渔港年卸港量2.97万吨，建有直立顺岸码头100m、150HP斜坡码头68m，陆域面积1.83万m</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lang w:val="en-US" w:eastAsia="zh-CN"/>
              </w:rPr>
              <w:t>。项目建成后，合计年卸港量7.21万吨，形成码头长度478m，陆域面积25.32万m</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rPr>
              <w:t>，能够满足</w:t>
            </w:r>
            <w:r>
              <w:rPr>
                <w:rFonts w:hint="default" w:ascii="Times New Roman" w:hAnsi="Times New Roman" w:cs="Times New Roman"/>
                <w:color w:val="000000"/>
                <w:highlight w:val="none"/>
                <w:lang w:val="en-US" w:eastAsia="zh-CN"/>
              </w:rPr>
              <w:t>《渔港建设标准》（DB35/T 964-2009）中综合型一级渔港</w:t>
            </w:r>
            <w:r>
              <w:rPr>
                <w:rFonts w:hint="default" w:ascii="Times New Roman" w:hAnsi="Times New Roman" w:cs="Times New Roman"/>
                <w:color w:val="000000"/>
                <w:highlight w:val="none"/>
              </w:rPr>
              <w:t>的要求</w:t>
            </w:r>
            <w:r>
              <w:rPr>
                <w:rFonts w:hint="default" w:ascii="Times New Roman" w:hAnsi="Times New Roman" w:cs="Times New Roman"/>
                <w:color w:val="000000"/>
                <w:highlight w:val="none"/>
                <w:lang w:val="en-US" w:eastAsia="zh-CN"/>
              </w:rPr>
              <w:t>。</w:t>
            </w:r>
          </w:p>
          <w:p w14:paraId="2AFF4D29">
            <w:pPr>
              <w:pStyle w:val="11"/>
              <w:rPr>
                <w:rFonts w:hint="default" w:ascii="Times New Roman" w:hAnsi="Times New Roman" w:cs="Times New Roman"/>
                <w:color w:val="000000"/>
                <w:highlight w:val="none"/>
                <w:lang w:val="en-US" w:eastAsia="zh-CN"/>
              </w:rPr>
            </w:pPr>
            <w:bookmarkStart w:id="94" w:name="_Ref14615"/>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1.2</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表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1</w:t>
            </w:r>
            <w:r>
              <w:rPr>
                <w:rFonts w:hint="default" w:ascii="Times New Roman" w:hAnsi="Times New Roman" w:cs="Times New Roman"/>
                <w:color w:val="000000"/>
                <w:highlight w:val="none"/>
              </w:rPr>
              <w:fldChar w:fldCharType="end"/>
            </w:r>
            <w:bookmarkEnd w:id="94"/>
            <w:r>
              <w:rPr>
                <w:rFonts w:hint="default" w:ascii="Times New Roman" w:hAnsi="Times New Roman" w:cs="Times New Roman"/>
                <w:color w:val="000000"/>
                <w:highlight w:val="none"/>
                <w:lang w:val="en-US" w:eastAsia="zh-CN"/>
              </w:rPr>
              <w:t xml:space="preserve"> 与《渔港建设标准》（DB35/T 964-2009）符合性</w:t>
            </w:r>
          </w:p>
          <w:tbl>
            <w:tblPr>
              <w:tblStyle w:val="22"/>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251"/>
              <w:gridCol w:w="1706"/>
              <w:gridCol w:w="2161"/>
              <w:gridCol w:w="1027"/>
            </w:tblGrid>
            <w:tr w14:paraId="5331FB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1995" w:type="pct"/>
                  <w:noWrap w:val="0"/>
                  <w:vAlign w:val="center"/>
                </w:tcPr>
                <w:p w14:paraId="4852AD6E">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项目</w:t>
                  </w:r>
                </w:p>
              </w:tc>
              <w:tc>
                <w:tcPr>
                  <w:tcW w:w="1047" w:type="pct"/>
                  <w:noWrap w:val="0"/>
                  <w:vAlign w:val="center"/>
                </w:tcPr>
                <w:p w14:paraId="149AD316">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一级渔港-综合型</w:t>
                  </w:r>
                </w:p>
              </w:tc>
              <w:tc>
                <w:tcPr>
                  <w:tcW w:w="1326" w:type="pct"/>
                  <w:noWrap w:val="0"/>
                  <w:vAlign w:val="center"/>
                </w:tcPr>
                <w:p w14:paraId="55132E2F">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本项目情况</w:t>
                  </w:r>
                </w:p>
              </w:tc>
              <w:tc>
                <w:tcPr>
                  <w:tcW w:w="630" w:type="pct"/>
                  <w:noWrap w:val="0"/>
                  <w:vAlign w:val="center"/>
                </w:tcPr>
                <w:p w14:paraId="12792887">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符合性</w:t>
                  </w:r>
                </w:p>
              </w:tc>
            </w:tr>
            <w:tr w14:paraId="104666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995" w:type="pct"/>
                  <w:noWrap w:val="0"/>
                  <w:vAlign w:val="center"/>
                </w:tcPr>
                <w:p w14:paraId="1DCDB109">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水产品年卸港量，≥</w:t>
                  </w:r>
                </w:p>
              </w:tc>
              <w:tc>
                <w:tcPr>
                  <w:tcW w:w="1047" w:type="pct"/>
                  <w:noWrap w:val="0"/>
                  <w:vAlign w:val="center"/>
                </w:tcPr>
                <w:p w14:paraId="0B48A929">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4万吨</w:t>
                  </w:r>
                </w:p>
              </w:tc>
              <w:tc>
                <w:tcPr>
                  <w:tcW w:w="1326" w:type="pct"/>
                  <w:noWrap w:val="0"/>
                  <w:vAlign w:val="center"/>
                </w:tcPr>
                <w:p w14:paraId="12E01017">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7.21万吨</w:t>
                  </w:r>
                </w:p>
              </w:tc>
              <w:tc>
                <w:tcPr>
                  <w:tcW w:w="630" w:type="pct"/>
                  <w:noWrap w:val="0"/>
                  <w:vAlign w:val="center"/>
                </w:tcPr>
                <w:p w14:paraId="5AE5ADA3">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符合</w:t>
                  </w:r>
                </w:p>
              </w:tc>
            </w:tr>
            <w:tr w14:paraId="051B90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995" w:type="pct"/>
                  <w:noWrap w:val="0"/>
                  <w:vAlign w:val="center"/>
                </w:tcPr>
                <w:p w14:paraId="11A164DA">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投资额度，≥</w:t>
                  </w:r>
                </w:p>
              </w:tc>
              <w:tc>
                <w:tcPr>
                  <w:tcW w:w="1047" w:type="pct"/>
                  <w:noWrap w:val="0"/>
                  <w:vAlign w:val="center"/>
                </w:tcPr>
                <w:p w14:paraId="4EDAD43E">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6000万元</w:t>
                  </w:r>
                </w:p>
              </w:tc>
              <w:tc>
                <w:tcPr>
                  <w:tcW w:w="1326" w:type="pct"/>
                  <w:noWrap w:val="0"/>
                  <w:vAlign w:val="center"/>
                </w:tcPr>
                <w:p w14:paraId="7CDF93FA">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35622万元</w:t>
                  </w:r>
                </w:p>
              </w:tc>
              <w:tc>
                <w:tcPr>
                  <w:tcW w:w="630" w:type="pct"/>
                  <w:noWrap w:val="0"/>
                  <w:vAlign w:val="center"/>
                </w:tcPr>
                <w:p w14:paraId="0E638806">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符合</w:t>
                  </w:r>
                </w:p>
              </w:tc>
            </w:tr>
            <w:tr w14:paraId="493520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995" w:type="pct"/>
                  <w:noWrap w:val="0"/>
                  <w:vAlign w:val="center"/>
                </w:tcPr>
                <w:p w14:paraId="2C5A85DB">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设计高水位时港内水域面积，≥</w:t>
                  </w:r>
                </w:p>
              </w:tc>
              <w:tc>
                <w:tcPr>
                  <w:tcW w:w="1047" w:type="pct"/>
                  <w:noWrap w:val="0"/>
                  <w:vAlign w:val="center"/>
                </w:tcPr>
                <w:p w14:paraId="58000C00">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30万平方米</w:t>
                  </w:r>
                </w:p>
              </w:tc>
              <w:tc>
                <w:tcPr>
                  <w:tcW w:w="1326" w:type="pct"/>
                  <w:noWrap w:val="0"/>
                  <w:vAlign w:val="center"/>
                </w:tcPr>
                <w:p w14:paraId="597AC272">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59.2411万平方米</w:t>
                  </w:r>
                </w:p>
              </w:tc>
              <w:tc>
                <w:tcPr>
                  <w:tcW w:w="630" w:type="pct"/>
                  <w:noWrap w:val="0"/>
                  <w:vAlign w:val="center"/>
                </w:tcPr>
                <w:p w14:paraId="7A86B000">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符合</w:t>
                  </w:r>
                </w:p>
              </w:tc>
            </w:tr>
            <w:tr w14:paraId="0C2D32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995" w:type="pct"/>
                  <w:noWrap w:val="0"/>
                  <w:vAlign w:val="center"/>
                </w:tcPr>
                <w:p w14:paraId="1DC084F1">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设计高水位时港内避风水域面积，≥</w:t>
                  </w:r>
                </w:p>
              </w:tc>
              <w:tc>
                <w:tcPr>
                  <w:tcW w:w="1047" w:type="pct"/>
                  <w:noWrap w:val="0"/>
                  <w:vAlign w:val="center"/>
                </w:tcPr>
                <w:p w14:paraId="1948980F">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20万平方米</w:t>
                  </w:r>
                </w:p>
              </w:tc>
              <w:tc>
                <w:tcPr>
                  <w:tcW w:w="1326" w:type="pct"/>
                  <w:noWrap w:val="0"/>
                  <w:vAlign w:val="center"/>
                </w:tcPr>
                <w:p w14:paraId="5B791AC0">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rPr>
                    <w:t>39.24</w:t>
                  </w:r>
                  <w:r>
                    <w:rPr>
                      <w:rFonts w:hint="default" w:ascii="Times New Roman" w:hAnsi="Times New Roman" w:cs="Times New Roman"/>
                      <w:color w:val="000000"/>
                      <w:highlight w:val="none"/>
                      <w:lang w:val="en-US" w:eastAsia="zh-CN"/>
                    </w:rPr>
                    <w:t>万平方米</w:t>
                  </w:r>
                </w:p>
              </w:tc>
              <w:tc>
                <w:tcPr>
                  <w:tcW w:w="630" w:type="pct"/>
                  <w:noWrap w:val="0"/>
                  <w:vAlign w:val="center"/>
                </w:tcPr>
                <w:p w14:paraId="276D9011">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符合</w:t>
                  </w:r>
                </w:p>
              </w:tc>
            </w:tr>
            <w:tr w14:paraId="1309EC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995" w:type="pct"/>
                  <w:noWrap w:val="0"/>
                  <w:vAlign w:val="center"/>
                </w:tcPr>
                <w:p w14:paraId="62B23CE8">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码头长度，≥</w:t>
                  </w:r>
                </w:p>
              </w:tc>
              <w:tc>
                <w:tcPr>
                  <w:tcW w:w="1047" w:type="pct"/>
                  <w:noWrap w:val="0"/>
                  <w:vAlign w:val="center"/>
                </w:tcPr>
                <w:p w14:paraId="7159F569">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400m</w:t>
                  </w:r>
                </w:p>
              </w:tc>
              <w:tc>
                <w:tcPr>
                  <w:tcW w:w="1326" w:type="pct"/>
                  <w:noWrap w:val="0"/>
                  <w:vAlign w:val="center"/>
                </w:tcPr>
                <w:p w14:paraId="3455B9E5">
                  <w:pPr>
                    <w:pStyle w:val="31"/>
                    <w:bidi w:val="0"/>
                    <w:jc w:val="center"/>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478m</w:t>
                  </w:r>
                </w:p>
              </w:tc>
              <w:tc>
                <w:tcPr>
                  <w:tcW w:w="630" w:type="pct"/>
                  <w:noWrap w:val="0"/>
                  <w:vAlign w:val="center"/>
                </w:tcPr>
                <w:p w14:paraId="0375B4C1">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符合</w:t>
                  </w:r>
                </w:p>
              </w:tc>
            </w:tr>
            <w:tr w14:paraId="5C0456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995" w:type="pct"/>
                  <w:noWrap w:val="0"/>
                  <w:vAlign w:val="center"/>
                </w:tcPr>
                <w:p w14:paraId="17A11319">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陆域面积，≥</w:t>
                  </w:r>
                </w:p>
              </w:tc>
              <w:tc>
                <w:tcPr>
                  <w:tcW w:w="1047" w:type="pct"/>
                  <w:noWrap w:val="0"/>
                  <w:vAlign w:val="center"/>
                </w:tcPr>
                <w:p w14:paraId="59F19B27">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10万平方米</w:t>
                  </w:r>
                </w:p>
              </w:tc>
              <w:tc>
                <w:tcPr>
                  <w:tcW w:w="1326" w:type="pct"/>
                  <w:noWrap w:val="0"/>
                  <w:vAlign w:val="center"/>
                </w:tcPr>
                <w:p w14:paraId="0B8BFA6E">
                  <w:pPr>
                    <w:pStyle w:val="31"/>
                    <w:bidi w:val="0"/>
                    <w:jc w:val="center"/>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25.32万平方米</w:t>
                  </w:r>
                </w:p>
              </w:tc>
              <w:tc>
                <w:tcPr>
                  <w:tcW w:w="630" w:type="pct"/>
                  <w:noWrap w:val="0"/>
                  <w:vAlign w:val="center"/>
                </w:tcPr>
                <w:p w14:paraId="4097B14D">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符合</w:t>
                  </w:r>
                </w:p>
              </w:tc>
            </w:tr>
            <w:tr w14:paraId="64BA9C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995" w:type="pct"/>
                  <w:noWrap w:val="0"/>
                  <w:vAlign w:val="center"/>
                </w:tcPr>
                <w:p w14:paraId="1AC2CF4E">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执法办证中心建筑面积</w:t>
                  </w:r>
                </w:p>
              </w:tc>
              <w:tc>
                <w:tcPr>
                  <w:tcW w:w="1047" w:type="pct"/>
                  <w:noWrap w:val="0"/>
                  <w:vAlign w:val="center"/>
                </w:tcPr>
                <w:p w14:paraId="31558562">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800m</w:t>
                  </w:r>
                  <w:r>
                    <w:rPr>
                      <w:rFonts w:hint="default" w:ascii="Times New Roman" w:hAnsi="Times New Roman" w:cs="Times New Roman"/>
                      <w:color w:val="000000"/>
                      <w:highlight w:val="none"/>
                      <w:vertAlign w:val="superscript"/>
                      <w:lang w:val="en-US" w:eastAsia="zh-CN"/>
                    </w:rPr>
                    <w:t>2</w:t>
                  </w:r>
                </w:p>
              </w:tc>
              <w:tc>
                <w:tcPr>
                  <w:tcW w:w="1326" w:type="pct"/>
                  <w:noWrap w:val="0"/>
                  <w:vAlign w:val="center"/>
                </w:tcPr>
                <w:p w14:paraId="1CABE6D4">
                  <w:pPr>
                    <w:pStyle w:val="31"/>
                    <w:bidi w:val="0"/>
                    <w:jc w:val="center"/>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1200m</w:t>
                  </w:r>
                  <w:r>
                    <w:rPr>
                      <w:rFonts w:hint="default" w:ascii="Times New Roman" w:hAnsi="Times New Roman" w:cs="Times New Roman"/>
                      <w:color w:val="000000"/>
                      <w:highlight w:val="none"/>
                      <w:vertAlign w:val="superscript"/>
                      <w:lang w:val="en-US" w:eastAsia="zh-CN"/>
                    </w:rPr>
                    <w:t>2</w:t>
                  </w:r>
                </w:p>
              </w:tc>
              <w:tc>
                <w:tcPr>
                  <w:tcW w:w="630" w:type="pct"/>
                  <w:noWrap w:val="0"/>
                  <w:vAlign w:val="center"/>
                </w:tcPr>
                <w:p w14:paraId="4F19A6E8">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符合</w:t>
                  </w:r>
                </w:p>
              </w:tc>
            </w:tr>
          </w:tbl>
          <w:p w14:paraId="4E54CA17">
            <w:pPr>
              <w:pStyle w:val="4"/>
              <w:bidi w:val="0"/>
              <w:ind w:left="567" w:leftChars="0" w:hanging="567" w:firstLineChars="0"/>
              <w:rPr>
                <w:rFonts w:hint="default"/>
                <w:lang w:val="en-US" w:eastAsia="zh-CN"/>
              </w:rPr>
            </w:pPr>
            <w:r>
              <w:rPr>
                <w:rFonts w:hint="default"/>
                <w:lang w:val="en-US" w:eastAsia="zh-CN"/>
              </w:rPr>
              <w:t>与《福建省海岸带及海洋空间规划（2021-2035年）》符合性</w:t>
            </w:r>
          </w:p>
          <w:p w14:paraId="5B3A897B">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rPr>
              <w:t>根据</w:t>
            </w:r>
            <w:r>
              <w:rPr>
                <w:rFonts w:hint="default" w:ascii="Times New Roman" w:hAnsi="Times New Roman" w:cs="Times New Roman"/>
                <w:color w:val="000000"/>
                <w:highlight w:val="none"/>
                <w:lang w:val="en-US" w:eastAsia="zh-CN"/>
              </w:rPr>
              <w:t>《福建省海岸带及海洋空间规划（2021-2035年）》</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福建省海域划分为海洋生态保护区、海洋生态控制区和海洋发展区等三个一级类主导功能区，其中海洋发展区细分为渔业用海区、交通运输用海区、工矿通信用海区、游憩用海区、特殊用海区和海洋预留区等6个二级类海洋功能区。</w:t>
            </w:r>
            <w:r>
              <w:rPr>
                <w:rFonts w:hint="default" w:ascii="Times New Roman" w:hAnsi="Times New Roman" w:cs="Times New Roman"/>
                <w:color w:val="000000"/>
                <w:highlight w:val="none"/>
                <w:lang w:val="en-US" w:eastAsia="zh-CN"/>
              </w:rPr>
              <w:t>根据</w:t>
            </w:r>
            <w:r>
              <w:rPr>
                <w:rFonts w:hint="default" w:ascii="Times New Roman" w:hAnsi="Times New Roman" w:cs="Times New Roman"/>
                <w:color w:val="000000"/>
                <w:highlight w:val="none"/>
              </w:rPr>
              <w:t>海岸线自然资源条件和开发程度，将海岸线分为严格保护、限制开发和优化利用三个类别。</w:t>
            </w:r>
            <w:r>
              <w:rPr>
                <w:rFonts w:hint="default" w:ascii="Times New Roman" w:hAnsi="Times New Roman" w:cs="Times New Roman"/>
                <w:color w:val="000000"/>
                <w:highlight w:val="none"/>
                <w:lang w:val="en-US" w:eastAsia="zh-CN"/>
              </w:rPr>
              <w:t>根据</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REF _Ref8934 \h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rPr>
              <w:t>图</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1.2</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4</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val="en-US" w:eastAsia="zh-CN"/>
              </w:rPr>
              <w:t>可知，本项目涉及“限制开发岸线”“渔业用海区”，具体管控要求如下：</w:t>
            </w:r>
          </w:p>
          <w:p w14:paraId="48EDC426">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b w:val="0"/>
                <w:bCs w:val="0"/>
                <w:color w:val="000000"/>
                <w:highlight w:val="none"/>
              </w:rPr>
            </w:pPr>
            <w:r>
              <w:rPr>
                <w:rFonts w:hint="default" w:ascii="Times New Roman" w:hAnsi="Times New Roman" w:cs="Times New Roman"/>
                <w:b w:val="0"/>
                <w:bCs w:val="0"/>
                <w:color w:val="000000"/>
                <w:highlight w:val="none"/>
                <w:lang w:eastAsia="zh-CN"/>
              </w:rPr>
              <w:t>（</w:t>
            </w:r>
            <w:r>
              <w:rPr>
                <w:rFonts w:hint="default" w:ascii="Times New Roman" w:hAnsi="Times New Roman" w:cs="Times New Roman"/>
                <w:b w:val="0"/>
                <w:bCs w:val="0"/>
                <w:color w:val="000000"/>
                <w:highlight w:val="none"/>
                <w:lang w:val="en-US" w:eastAsia="zh-CN"/>
              </w:rPr>
              <w:t>1</w:t>
            </w:r>
            <w:r>
              <w:rPr>
                <w:rFonts w:hint="default" w:ascii="Times New Roman" w:hAnsi="Times New Roman" w:cs="Times New Roman"/>
                <w:b w:val="0"/>
                <w:bCs w:val="0"/>
                <w:color w:val="000000"/>
                <w:highlight w:val="none"/>
                <w:lang w:eastAsia="zh-CN"/>
              </w:rPr>
              <w:t>）</w:t>
            </w:r>
            <w:r>
              <w:rPr>
                <w:rFonts w:hint="default" w:ascii="Times New Roman" w:hAnsi="Times New Roman" w:cs="Times New Roman"/>
                <w:b w:val="0"/>
                <w:bCs w:val="0"/>
                <w:color w:val="000000"/>
                <w:highlight w:val="none"/>
              </w:rPr>
              <w:t>限制开发岸线</w:t>
            </w:r>
          </w:p>
          <w:p w14:paraId="19E09245">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b w:val="0"/>
                <w:bCs w:val="0"/>
                <w:color w:val="000000"/>
                <w:highlight w:val="none"/>
              </w:rPr>
            </w:pPr>
            <w:r>
              <w:rPr>
                <w:rFonts w:hint="default" w:ascii="Times New Roman" w:hAnsi="Times New Roman" w:cs="Times New Roman"/>
                <w:b w:val="0"/>
                <w:bCs w:val="0"/>
                <w:color w:val="000000"/>
                <w:highlight w:val="none"/>
              </w:rPr>
              <w:t>限制开发岸线是指自然形态保持基本完整、生态功能与资源价值较好、开发利用程度较低的海岸线。</w:t>
            </w:r>
          </w:p>
          <w:p w14:paraId="0567EF50">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b w:val="0"/>
                <w:bCs w:val="0"/>
                <w:color w:val="000000"/>
                <w:highlight w:val="none"/>
              </w:rPr>
            </w:pPr>
            <w:r>
              <w:rPr>
                <w:rFonts w:hint="default" w:ascii="Times New Roman" w:hAnsi="Times New Roman" w:cs="Times New Roman"/>
                <w:b w:val="0"/>
                <w:bCs w:val="0"/>
                <w:color w:val="000000"/>
                <w:highlight w:val="none"/>
              </w:rPr>
              <w:t>限制开发岸线管控要求：严格控制改变海岸自然形态和影响海岸生态功能的开发利用活动，预留未来发展空间，严格海域使用审批。</w:t>
            </w:r>
          </w:p>
          <w:p w14:paraId="2CB0B97E">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b w:val="0"/>
                <w:bCs w:val="0"/>
                <w:color w:val="000000"/>
                <w:highlight w:val="none"/>
              </w:rPr>
            </w:pPr>
            <w:r>
              <w:rPr>
                <w:rFonts w:hint="default" w:ascii="Times New Roman" w:hAnsi="Times New Roman" w:cs="Times New Roman"/>
                <w:b w:val="0"/>
                <w:bCs w:val="0"/>
                <w:color w:val="000000"/>
                <w:highlight w:val="none"/>
                <w:lang w:eastAsia="zh-CN"/>
              </w:rPr>
              <w:t>（</w:t>
            </w:r>
            <w:r>
              <w:rPr>
                <w:rFonts w:hint="default" w:ascii="Times New Roman" w:hAnsi="Times New Roman" w:cs="Times New Roman"/>
                <w:b w:val="0"/>
                <w:bCs w:val="0"/>
                <w:color w:val="000000"/>
                <w:highlight w:val="none"/>
                <w:lang w:val="en-US" w:eastAsia="zh-CN"/>
              </w:rPr>
              <w:t>2</w:t>
            </w:r>
            <w:r>
              <w:rPr>
                <w:rFonts w:hint="default" w:ascii="Times New Roman" w:hAnsi="Times New Roman" w:cs="Times New Roman"/>
                <w:b w:val="0"/>
                <w:bCs w:val="0"/>
                <w:color w:val="000000"/>
                <w:highlight w:val="none"/>
                <w:lang w:eastAsia="zh-CN"/>
              </w:rPr>
              <w:t>）</w:t>
            </w:r>
            <w:r>
              <w:rPr>
                <w:rFonts w:hint="default" w:ascii="Times New Roman" w:hAnsi="Times New Roman" w:cs="Times New Roman"/>
                <w:b w:val="0"/>
                <w:bCs w:val="0"/>
                <w:color w:val="000000"/>
                <w:highlight w:val="none"/>
              </w:rPr>
              <w:t>渔业用海区</w:t>
            </w:r>
          </w:p>
          <w:p w14:paraId="30941E5D">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b w:val="0"/>
                <w:bCs w:val="0"/>
                <w:color w:val="000000"/>
                <w:highlight w:val="none"/>
              </w:rPr>
            </w:pPr>
            <w:r>
              <w:rPr>
                <w:rFonts w:hint="default" w:ascii="Times New Roman" w:hAnsi="Times New Roman" w:cs="Times New Roman"/>
                <w:b w:val="0"/>
                <w:bCs w:val="0"/>
                <w:color w:val="000000"/>
                <w:highlight w:val="none"/>
              </w:rPr>
              <w:t>渔业用海区是指以渔业基础设施建设、增养殖和捕捞生产等渔业利用为主要功能导向的海域和无居民海岛。</w:t>
            </w:r>
          </w:p>
          <w:p w14:paraId="75CA5F7A">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eastAsia="宋体" w:cs="Times New Roman"/>
                <w:b w:val="0"/>
                <w:bCs w:val="0"/>
                <w:color w:val="000000"/>
                <w:highlight w:val="none"/>
                <w:lang w:val="en-US" w:eastAsia="zh-CN"/>
              </w:rPr>
            </w:pPr>
            <w:r>
              <w:rPr>
                <w:rFonts w:hint="default" w:ascii="Times New Roman" w:hAnsi="Times New Roman" w:cs="Times New Roman"/>
                <w:b/>
                <w:bCs/>
                <w:color w:val="000000"/>
                <w:highlight w:val="none"/>
                <w:lang w:val="en-US" w:eastAsia="zh-CN"/>
              </w:rPr>
              <w:t>符合性分析：</w:t>
            </w:r>
            <w:r>
              <w:rPr>
                <w:rFonts w:hint="default" w:ascii="Times New Roman" w:hAnsi="Times New Roman" w:cs="Times New Roman"/>
                <w:b w:val="0"/>
                <w:bCs w:val="0"/>
                <w:color w:val="000000"/>
                <w:highlight w:val="none"/>
                <w:lang w:val="en-US" w:eastAsia="zh-CN"/>
              </w:rPr>
              <w:t>本项目为福清市海亮沃口一级渔港</w:t>
            </w:r>
            <w:r>
              <w:rPr>
                <w:rFonts w:hint="eastAsia" w:cs="Times New Roman"/>
                <w:color w:val="000000"/>
                <w:highlight w:val="none"/>
                <w:lang w:val="en-US" w:eastAsia="zh-CN"/>
              </w:rPr>
              <w:t>工程</w:t>
            </w:r>
            <w:r>
              <w:rPr>
                <w:rFonts w:hint="default" w:ascii="Times New Roman" w:hAnsi="Times New Roman" w:cs="Times New Roman"/>
                <w:b w:val="0"/>
                <w:bCs w:val="0"/>
                <w:color w:val="000000"/>
                <w:highlight w:val="none"/>
                <w:lang w:val="en-US" w:eastAsia="zh-CN"/>
              </w:rPr>
              <w:t>，属于渔业基础设施建设。本项目的建设能够进一步提升当地</w:t>
            </w:r>
            <w:r>
              <w:rPr>
                <w:rFonts w:hint="default" w:ascii="Times New Roman" w:hAnsi="Times New Roman" w:cs="Times New Roman"/>
                <w:color w:val="000000"/>
                <w:highlight w:val="none"/>
                <w:lang w:val="en-US" w:eastAsia="zh-CN"/>
              </w:rPr>
              <w:t>渔业防灾减灾能力，促进海洋渔业持续健康发展，加快形成渔港经济区。项目已取得海域使用权证（附件</w:t>
            </w:r>
            <w:r>
              <w:rPr>
                <w:rFonts w:hint="eastAsia" w:cs="Times New Roman"/>
                <w:color w:val="000000"/>
                <w:highlight w:val="none"/>
                <w:lang w:val="en-US" w:eastAsia="zh-CN"/>
              </w:rPr>
              <w:t>7</w:t>
            </w:r>
            <w:r>
              <w:rPr>
                <w:rFonts w:hint="default" w:ascii="Times New Roman" w:hAnsi="Times New Roman" w:cs="Times New Roman"/>
                <w:color w:val="000000"/>
                <w:highlight w:val="none"/>
                <w:lang w:val="en-US" w:eastAsia="zh-CN"/>
              </w:rPr>
              <w:t>），项目建设占用人工岸线26.6m，不占用自然岸线，不形成新的岸线，不会</w:t>
            </w:r>
            <w:r>
              <w:rPr>
                <w:rFonts w:hint="default" w:ascii="Times New Roman" w:hAnsi="Times New Roman" w:cs="Times New Roman"/>
                <w:b w:val="0"/>
                <w:bCs w:val="0"/>
                <w:color w:val="000000"/>
                <w:highlight w:val="none"/>
              </w:rPr>
              <w:t>改变海岸自然形态和影响海岸生态功能的开发利用活动</w:t>
            </w:r>
            <w:r>
              <w:rPr>
                <w:rFonts w:hint="default" w:ascii="Times New Roman" w:hAnsi="Times New Roman" w:cs="Times New Roman"/>
                <w:b w:val="0"/>
                <w:bCs w:val="0"/>
                <w:color w:val="000000"/>
                <w:highlight w:val="none"/>
                <w:lang w:eastAsia="zh-CN"/>
              </w:rPr>
              <w:t>。</w:t>
            </w:r>
            <w:r>
              <w:rPr>
                <w:rFonts w:hint="default" w:ascii="Times New Roman" w:hAnsi="Times New Roman" w:cs="Times New Roman"/>
                <w:b w:val="0"/>
                <w:bCs w:val="0"/>
                <w:color w:val="000000"/>
                <w:highlight w:val="none"/>
                <w:lang w:val="en-US" w:eastAsia="zh-CN"/>
              </w:rPr>
              <w:t>本项目不涉及产卵场、越冬场、索饵场和洄游通道等重要渔业水域，</w:t>
            </w:r>
            <w:r>
              <w:rPr>
                <w:rFonts w:hint="default" w:ascii="Times New Roman" w:hAnsi="Times New Roman" w:cs="Times New Roman"/>
                <w:color w:val="000000"/>
                <w:highlight w:val="none"/>
                <w:lang w:val="en-US" w:eastAsia="zh-CN"/>
              </w:rPr>
              <w:t>项目建设将会对周边海域海水养殖有一定的影响，海亮村委会及养殖户均承诺在项目施工建设前，将海水养殖迁移出该海域或停止养殖，同意并支持海亮沃口一级渔港建设。</w:t>
            </w:r>
          </w:p>
          <w:p w14:paraId="7C3ED769">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b w:val="0"/>
                <w:bCs w:val="0"/>
                <w:color w:val="000000"/>
                <w:u w:val="none"/>
                <w:lang w:val="en-US" w:eastAsia="zh-CN"/>
              </w:rPr>
            </w:pPr>
            <w:r>
              <w:rPr>
                <w:rFonts w:hint="default" w:ascii="Times New Roman" w:hAnsi="Times New Roman" w:cs="Times New Roman"/>
                <w:color w:val="000000"/>
                <w:highlight w:val="none"/>
              </w:rPr>
              <w:t>因此，本项目建设符合</w:t>
            </w:r>
            <w:r>
              <w:rPr>
                <w:rFonts w:hint="default" w:ascii="Times New Roman" w:hAnsi="Times New Roman" w:cs="Times New Roman"/>
                <w:color w:val="000000"/>
                <w:highlight w:val="none"/>
                <w:lang w:val="en-US" w:eastAsia="zh-CN"/>
              </w:rPr>
              <w:t>《福建省海岸带及海洋空间规划（2021-2035年）》</w:t>
            </w:r>
            <w:r>
              <w:rPr>
                <w:rFonts w:hint="default" w:ascii="Times New Roman" w:hAnsi="Times New Roman" w:cs="Times New Roman"/>
                <w:color w:val="000000"/>
                <w:highlight w:val="none"/>
              </w:rPr>
              <w:t>。</w:t>
            </w:r>
          </w:p>
          <w:p w14:paraId="0A4E4F74">
            <w:pPr>
              <w:pStyle w:val="31"/>
              <w:bidi w:val="0"/>
              <w:rPr>
                <w:rFonts w:hint="default"/>
                <w:lang w:val="en-US" w:eastAsia="zh-CN"/>
              </w:rPr>
            </w:pPr>
            <w:r>
              <w:rPr>
                <w:rFonts w:hint="eastAsia"/>
                <w:lang w:val="en-US" w:eastAsia="zh-CN"/>
              </w:rPr>
              <w:t>（涉密删除）</w:t>
            </w:r>
          </w:p>
          <w:p w14:paraId="03460766">
            <w:pPr>
              <w:pStyle w:val="30"/>
              <w:bidi w:val="0"/>
              <w:rPr>
                <w:rFonts w:hint="default" w:ascii="Times New Roman" w:hAnsi="Times New Roman" w:cs="Times New Roman"/>
                <w:color w:val="000000"/>
                <w:highlight w:val="none"/>
                <w:lang w:val="en-US" w:eastAsia="zh-CN"/>
              </w:rPr>
            </w:pPr>
            <w:bookmarkStart w:id="95" w:name="_Ref8934"/>
            <w:r>
              <w:rPr>
                <w:rFonts w:hint="default" w:ascii="Times New Roman" w:hAnsi="Times New Roman" w:cs="Times New Roman"/>
                <w:color w:val="000000"/>
                <w:highlight w:val="none"/>
              </w:rPr>
              <w:t>图</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1.2</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图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w:t>
            </w:r>
            <w:r>
              <w:rPr>
                <w:rFonts w:hint="default" w:ascii="Times New Roman" w:hAnsi="Times New Roman" w:cs="Times New Roman"/>
                <w:color w:val="000000"/>
                <w:highlight w:val="none"/>
              </w:rPr>
              <w:fldChar w:fldCharType="end"/>
            </w:r>
            <w:bookmarkEnd w:id="95"/>
            <w:r>
              <w:rPr>
                <w:rFonts w:hint="default" w:ascii="Times New Roman" w:hAnsi="Times New Roman" w:cs="Times New Roman"/>
                <w:color w:val="000000"/>
                <w:highlight w:val="none"/>
                <w:lang w:val="en-US" w:eastAsia="zh-CN"/>
              </w:rPr>
              <w:t xml:space="preserve"> 与《福建省海岸带及海洋空间规划（2021-2035年）》的位置关系</w:t>
            </w:r>
          </w:p>
          <w:p w14:paraId="3F8E43B1">
            <w:pPr>
              <w:pStyle w:val="4"/>
              <w:bidi w:val="0"/>
              <w:ind w:left="567" w:leftChars="0" w:hanging="567" w:firstLineChars="0"/>
              <w:rPr>
                <w:rFonts w:hint="default"/>
                <w:lang w:val="en-US" w:eastAsia="zh-CN"/>
              </w:rPr>
            </w:pPr>
            <w:r>
              <w:rPr>
                <w:rFonts w:hint="default"/>
                <w:lang w:val="en-US" w:eastAsia="zh-CN"/>
              </w:rPr>
              <w:t>与福建省“三区三线”划定成果符合性</w:t>
            </w:r>
          </w:p>
          <w:p w14:paraId="0C23D431">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三区三线”是指城镇空间、农业空间、生态空间3种类型空间所对应的区域，以及分别对应划定的城镇开发边界、永久基本农田保护红线、生态保护红线3条控制线。其中“三区”突出主导功能划分，“三线”侧重边界的刚性管控。它是国土空间用途管制的重要内容，也是国土空间用途管制的核心框架。本项目与福建省“三区三线”划定成果的位置</w:t>
            </w:r>
            <w:r>
              <w:rPr>
                <w:rFonts w:hint="default" w:ascii="Times New Roman" w:hAnsi="Times New Roman" w:cs="Times New Roman"/>
                <w:color w:val="000000"/>
                <w:highlight w:val="none"/>
                <w:lang w:val="en-US" w:eastAsia="zh-CN"/>
              </w:rPr>
              <w:t>关系见</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REF _Ref13800 \h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rPr>
              <w:t>图</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1.2</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5</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rPr>
              <w:t>。</w:t>
            </w:r>
          </w:p>
          <w:p w14:paraId="0DD22BB9">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lang w:val="en-US" w:eastAsia="zh-CN"/>
              </w:rPr>
            </w:pPr>
            <w:r>
              <w:rPr>
                <w:rFonts w:hint="default" w:ascii="Times New Roman" w:hAnsi="Times New Roman" w:cs="Times New Roman"/>
                <w:color w:val="000000"/>
                <w:highlight w:val="none"/>
              </w:rPr>
              <w:t>根据福建省“三区三线”划定成果，本项目不涉及生态保护红线、城镇开发边界线和永久基本农田保护红线。因此，项目与福建省“三区三线”划定成果不冲突。</w:t>
            </w:r>
          </w:p>
          <w:p w14:paraId="43D4DFF4">
            <w:pPr>
              <w:pStyle w:val="31"/>
              <w:bidi w:val="0"/>
              <w:rPr>
                <w:rFonts w:hint="default"/>
                <w:lang w:val="en-US" w:eastAsia="zh-CN"/>
              </w:rPr>
            </w:pPr>
            <w:r>
              <w:rPr>
                <w:rFonts w:hint="eastAsia"/>
                <w:lang w:val="en-US" w:eastAsia="zh-CN"/>
              </w:rPr>
              <w:t>（涉密删除）</w:t>
            </w:r>
          </w:p>
          <w:p w14:paraId="3BD8A4D5">
            <w:pPr>
              <w:pStyle w:val="30"/>
              <w:bidi w:val="0"/>
              <w:rPr>
                <w:rFonts w:hint="default" w:ascii="Times New Roman" w:hAnsi="Times New Roman" w:cs="Times New Roman"/>
                <w:color w:val="000000"/>
                <w:highlight w:val="none"/>
                <w:lang w:val="en-US" w:eastAsia="zh-CN"/>
              </w:rPr>
            </w:pPr>
            <w:bookmarkStart w:id="96" w:name="_Ref13800"/>
            <w:r>
              <w:rPr>
                <w:rFonts w:hint="default" w:ascii="Times New Roman" w:hAnsi="Times New Roman" w:cs="Times New Roman"/>
                <w:color w:val="000000"/>
                <w:highlight w:val="none"/>
              </w:rPr>
              <w:t>图</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1.2</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图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5</w:t>
            </w:r>
            <w:r>
              <w:rPr>
                <w:rFonts w:hint="default" w:ascii="Times New Roman" w:hAnsi="Times New Roman" w:cs="Times New Roman"/>
                <w:color w:val="000000"/>
                <w:highlight w:val="none"/>
              </w:rPr>
              <w:fldChar w:fldCharType="end"/>
            </w:r>
            <w:bookmarkEnd w:id="96"/>
            <w:r>
              <w:rPr>
                <w:rFonts w:hint="default" w:ascii="Times New Roman" w:hAnsi="Times New Roman" w:cs="Times New Roman"/>
                <w:color w:val="000000"/>
                <w:highlight w:val="none"/>
                <w:lang w:val="en-US" w:eastAsia="zh-CN"/>
              </w:rPr>
              <w:t xml:space="preserve"> 与福建省“三区三线”划定成果的位置关系</w:t>
            </w:r>
          </w:p>
          <w:p w14:paraId="5A74AB85">
            <w:pPr>
              <w:pStyle w:val="30"/>
              <w:bidi w:val="0"/>
              <w:rPr>
                <w:rFonts w:hint="default" w:ascii="Times New Roman" w:hAnsi="Times New Roman" w:cs="Times New Roman"/>
                <w:color w:val="000000"/>
                <w:highlight w:val="none"/>
                <w:lang w:val="en-US" w:eastAsia="zh-CN"/>
              </w:rPr>
            </w:pPr>
          </w:p>
          <w:p w14:paraId="3CF1C4A1">
            <w:pPr>
              <w:pStyle w:val="30"/>
              <w:bidi w:val="0"/>
              <w:rPr>
                <w:rFonts w:hint="default" w:ascii="Times New Roman" w:hAnsi="Times New Roman" w:cs="Times New Roman"/>
                <w:color w:val="000000"/>
                <w:highlight w:val="none"/>
                <w:lang w:val="en-US" w:eastAsia="zh-CN"/>
              </w:rPr>
            </w:pPr>
          </w:p>
          <w:p w14:paraId="72C73D20">
            <w:pPr>
              <w:pStyle w:val="4"/>
              <w:bidi w:val="0"/>
              <w:ind w:left="567" w:leftChars="0" w:hanging="567" w:firstLineChars="0"/>
              <w:rPr>
                <w:rFonts w:hint="default"/>
                <w:lang w:val="en-US" w:eastAsia="zh-CN"/>
              </w:rPr>
            </w:pPr>
            <w:r>
              <w:rPr>
                <w:rFonts w:hint="default"/>
                <w:lang w:val="en-US" w:eastAsia="zh-CN"/>
              </w:rPr>
              <w:t>与湿地相关法律法规符合性</w:t>
            </w:r>
          </w:p>
          <w:p w14:paraId="46518D9D">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eastAsia="宋体" w:cs="Times New Roman"/>
                <w:b/>
                <w:bCs/>
                <w:color w:val="000000"/>
                <w:highlight w:val="none"/>
                <w:lang w:val="en-US" w:eastAsia="zh-CN"/>
              </w:rPr>
            </w:pPr>
            <w:r>
              <w:rPr>
                <w:rFonts w:hint="default" w:ascii="Times New Roman" w:hAnsi="Times New Roman" w:cs="Times New Roman"/>
                <w:b/>
                <w:bCs/>
                <w:color w:val="000000"/>
                <w:highlight w:val="none"/>
              </w:rPr>
              <w:t>（1）</w:t>
            </w:r>
            <w:r>
              <w:rPr>
                <w:rFonts w:hint="default" w:ascii="Times New Roman" w:hAnsi="Times New Roman" w:cs="Times New Roman"/>
                <w:b/>
                <w:bCs/>
                <w:color w:val="000000"/>
                <w:highlight w:val="none"/>
                <w:lang w:val="en-US" w:eastAsia="zh-CN"/>
              </w:rPr>
              <w:t>与</w:t>
            </w:r>
            <w:r>
              <w:rPr>
                <w:rFonts w:hint="default" w:ascii="Times New Roman" w:hAnsi="Times New Roman" w:cs="Times New Roman"/>
                <w:b/>
                <w:bCs/>
                <w:color w:val="000000"/>
                <w:highlight w:val="none"/>
              </w:rPr>
              <w:t>《中华人民共和国湿地保护法》</w:t>
            </w:r>
            <w:r>
              <w:rPr>
                <w:rFonts w:hint="default" w:ascii="Times New Roman" w:hAnsi="Times New Roman" w:cs="Times New Roman"/>
                <w:b/>
                <w:bCs/>
                <w:color w:val="000000"/>
                <w:highlight w:val="none"/>
                <w:lang w:val="en-US" w:eastAsia="zh-CN"/>
              </w:rPr>
              <w:t>符合性分析</w:t>
            </w:r>
          </w:p>
          <w:p w14:paraId="646E3851">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根据《中华人民共和国湿地保护法》第十九条，国家严格控制占用湿地。禁止占用国家重要湿地，国家重大项目、防灾减灾项目、重要水利及保护设施项目、湿地保护项目等除外。建设项目选址、选线应当避让湿地，无法避让的应当尽量减少占用，并采取必要措施减轻对湿地生态功能的不利影响。</w:t>
            </w:r>
          </w:p>
          <w:p w14:paraId="007150A5">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本项目建设没有占用国家重要湿地。因此，本项目建设符合《中华人民共和国湿地保护法》。</w:t>
            </w:r>
          </w:p>
          <w:p w14:paraId="547EC0F5">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eastAsia="宋体" w:cs="Times New Roman"/>
                <w:b/>
                <w:bCs/>
                <w:color w:val="000000"/>
                <w:highlight w:val="none"/>
                <w:lang w:val="en-US" w:eastAsia="zh-CN"/>
              </w:rPr>
            </w:pPr>
            <w:r>
              <w:rPr>
                <w:rFonts w:hint="default" w:ascii="Times New Roman" w:hAnsi="Times New Roman" w:cs="Times New Roman"/>
                <w:b/>
                <w:bCs/>
                <w:color w:val="000000"/>
                <w:highlight w:val="none"/>
              </w:rPr>
              <w:t>（2）</w:t>
            </w:r>
            <w:r>
              <w:rPr>
                <w:rFonts w:hint="default" w:ascii="Times New Roman" w:hAnsi="Times New Roman" w:cs="Times New Roman"/>
                <w:b/>
                <w:bCs/>
                <w:color w:val="000000"/>
                <w:highlight w:val="none"/>
                <w:lang w:val="en-US" w:eastAsia="zh-CN"/>
              </w:rPr>
              <w:t>与</w:t>
            </w:r>
            <w:r>
              <w:rPr>
                <w:rFonts w:hint="default" w:ascii="Times New Roman" w:hAnsi="Times New Roman" w:cs="Times New Roman"/>
                <w:b/>
                <w:bCs/>
                <w:color w:val="000000"/>
                <w:highlight w:val="none"/>
              </w:rPr>
              <w:t>《福建省湿地保护条例》</w:t>
            </w:r>
            <w:r>
              <w:rPr>
                <w:rFonts w:hint="default" w:ascii="Times New Roman" w:hAnsi="Times New Roman" w:cs="Times New Roman"/>
                <w:b/>
                <w:bCs/>
                <w:color w:val="000000"/>
                <w:highlight w:val="none"/>
                <w:lang w:val="en-US" w:eastAsia="zh-CN"/>
              </w:rPr>
              <w:t>符合性分析</w:t>
            </w:r>
          </w:p>
          <w:p w14:paraId="34AC6A06">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根据《福建省湿地保护条例》（2023年1月1日实施），建设项目选址、选线应当避让湿地，无法避让的应当尽量减少占用，并采取必要措施减轻对湿地生态功能的不利影响。建设项目规划选址、选线审批或者核准时，涉及省级重要湿地的，应当按照管理权限，征求省人民政府授权部门的意见，省人民政府授权部门出具意见前，应当组织湿地保护专家论证；涉及一般湿地的，应当按照管理权限，征求县级人民政府授权部门的意见。</w:t>
            </w:r>
          </w:p>
          <w:p w14:paraId="18E11EAD">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rPr>
              <w:t>根据《福建省第一批省重要湿地保护名录》《福清市人民政府关于公布福清市第一批一般湿地名录的通知》，工程建设不涉及占用省重要湿地和一般湿地名录湿地。2024年9月</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建设单位委托</w:t>
            </w:r>
            <w:r>
              <w:rPr>
                <w:rFonts w:hint="default" w:ascii="Times New Roman" w:hAnsi="Times New Roman" w:cs="Times New Roman"/>
                <w:color w:val="000000"/>
                <w:highlight w:val="none"/>
              </w:rPr>
              <w:t>福建省林业勘察设计院编制《福清市海亮沃口一级渔港工程涉及福清市一般湿地生态功能影响评价报告》</w:t>
            </w:r>
            <w:r>
              <w:rPr>
                <w:rFonts w:hint="eastAsia" w:ascii="Times New Roman" w:hAnsi="Times New Roman" w:cs="Times New Roman"/>
                <w:color w:val="000000"/>
                <w:highlight w:val="none"/>
                <w:lang w:eastAsia="zh-CN"/>
              </w:rPr>
              <w:t>，</w:t>
            </w:r>
            <w:r>
              <w:rPr>
                <w:rFonts w:hint="eastAsia" w:ascii="Times New Roman" w:hAnsi="Times New Roman" w:cs="Times New Roman"/>
                <w:color w:val="000000"/>
                <w:highlight w:val="none"/>
                <w:lang w:val="en-US" w:eastAsia="zh-CN"/>
              </w:rPr>
              <w:t>本项目涉及占用福清市一般湿地面积为90.0425hm</w:t>
            </w:r>
            <w:r>
              <w:rPr>
                <w:rFonts w:hint="eastAsia" w:ascii="Times New Roman" w:hAnsi="Times New Roman" w:cs="Times New Roman"/>
                <w:color w:val="000000"/>
                <w:highlight w:val="none"/>
                <w:vertAlign w:val="superscript"/>
                <w:lang w:val="en-US" w:eastAsia="zh-CN"/>
              </w:rPr>
              <w:t>2</w:t>
            </w:r>
            <w:r>
              <w:rPr>
                <w:rFonts w:hint="eastAsia" w:ascii="Times New Roman" w:hAnsi="Times New Roman" w:cs="Times New Roman"/>
                <w:color w:val="000000"/>
                <w:highlight w:val="none"/>
                <w:lang w:val="en-US" w:eastAsia="zh-CN"/>
              </w:rPr>
              <w:t>，其中永久占用一般湿地</w:t>
            </w:r>
            <w:r>
              <w:rPr>
                <w:rFonts w:hint="default" w:ascii="Times New Roman" w:hAnsi="Times New Roman" w:cs="Times New Roman"/>
                <w:color w:val="000000"/>
                <w:highlight w:val="none"/>
                <w:lang w:val="en-US" w:eastAsia="zh-CN"/>
              </w:rPr>
              <w:t>89.8528</w:t>
            </w:r>
            <w:r>
              <w:rPr>
                <w:rFonts w:hint="eastAsia" w:ascii="Times New Roman" w:hAnsi="Times New Roman" w:cs="Times New Roman"/>
                <w:color w:val="000000"/>
                <w:highlight w:val="none"/>
                <w:lang w:val="en-US" w:eastAsia="zh-CN"/>
              </w:rPr>
              <w:t>hm</w:t>
            </w:r>
            <w:r>
              <w:rPr>
                <w:rFonts w:hint="eastAsia"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lang w:val="en-US" w:eastAsia="zh-CN"/>
              </w:rPr>
              <w:t>（沿海滩涂12.6564</w:t>
            </w:r>
            <w:r>
              <w:rPr>
                <w:rFonts w:hint="eastAsia" w:ascii="Times New Roman" w:hAnsi="Times New Roman" w:cs="Times New Roman"/>
                <w:color w:val="000000"/>
                <w:highlight w:val="none"/>
                <w:lang w:val="en-US" w:eastAsia="zh-CN"/>
              </w:rPr>
              <w:t>hm</w:t>
            </w:r>
            <w:r>
              <w:rPr>
                <w:rFonts w:hint="eastAsia"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lang w:val="en-US" w:eastAsia="zh-CN"/>
              </w:rPr>
              <w:t>、浅海水域77.1964</w:t>
            </w:r>
            <w:r>
              <w:rPr>
                <w:rFonts w:hint="eastAsia" w:ascii="Times New Roman" w:hAnsi="Times New Roman" w:cs="Times New Roman"/>
                <w:color w:val="000000"/>
                <w:highlight w:val="none"/>
                <w:lang w:val="en-US" w:eastAsia="zh-CN"/>
              </w:rPr>
              <w:t>hm</w:t>
            </w:r>
            <w:r>
              <w:rPr>
                <w:rFonts w:hint="eastAsia"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lang w:val="en-US" w:eastAsia="zh-CN"/>
              </w:rPr>
              <w:t>）</w:t>
            </w:r>
            <w:r>
              <w:rPr>
                <w:rFonts w:hint="eastAsia" w:ascii="Times New Roman" w:hAnsi="Times New Roman" w:cs="Times New Roman"/>
                <w:color w:val="000000"/>
                <w:highlight w:val="none"/>
                <w:lang w:val="en-US" w:eastAsia="zh-CN"/>
              </w:rPr>
              <w:t>，临时占用一般湿地</w:t>
            </w:r>
            <w:r>
              <w:rPr>
                <w:rFonts w:hint="default" w:ascii="Times New Roman" w:hAnsi="Times New Roman" w:cs="Times New Roman"/>
                <w:color w:val="000000"/>
                <w:highlight w:val="none"/>
                <w:lang w:val="en-US" w:eastAsia="zh-CN"/>
              </w:rPr>
              <w:t>0.1897</w:t>
            </w:r>
            <w:r>
              <w:rPr>
                <w:rFonts w:hint="eastAsia" w:ascii="Times New Roman" w:hAnsi="Times New Roman" w:cs="Times New Roman"/>
                <w:color w:val="000000"/>
                <w:highlight w:val="none"/>
                <w:lang w:val="en-US" w:eastAsia="zh-CN"/>
              </w:rPr>
              <w:t>hm</w:t>
            </w:r>
            <w:r>
              <w:rPr>
                <w:rFonts w:hint="eastAsia"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lang w:val="en-US" w:eastAsia="zh-CN"/>
              </w:rPr>
              <w:t>，详见</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REF _Ref15503 \h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1.2</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2</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val="en-US" w:eastAsia="zh-CN"/>
              </w:rPr>
              <w:t>、</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REF _Ref29499 \h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rPr>
              <w:t>图</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1.2</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6</w:t>
            </w:r>
            <w:r>
              <w:rPr>
                <w:rFonts w:hint="default" w:ascii="Times New Roman" w:hAnsi="Times New Roman" w:cs="Times New Roman"/>
                <w:color w:val="000000"/>
                <w:highlight w:val="none"/>
                <w:lang w:val="en-US" w:eastAsia="zh-CN"/>
              </w:rPr>
              <w:fldChar w:fldCharType="end"/>
            </w:r>
            <w:r>
              <w:rPr>
                <w:rFonts w:hint="eastAsia" w:ascii="Times New Roman" w:hAnsi="Times New Roman" w:cs="Times New Roman"/>
                <w:color w:val="000000"/>
                <w:highlight w:val="none"/>
                <w:lang w:val="en-US" w:eastAsia="zh-CN"/>
              </w:rPr>
              <w:t>。</w:t>
            </w:r>
            <w:r>
              <w:rPr>
                <w:rFonts w:hint="default" w:ascii="Times New Roman" w:hAnsi="Times New Roman" w:cs="Times New Roman"/>
                <w:color w:val="000000"/>
                <w:highlight w:val="none"/>
                <w:lang w:val="en-US" w:eastAsia="zh-CN"/>
              </w:rPr>
              <w:t>2026年2月3日</w:t>
            </w:r>
            <w:r>
              <w:rPr>
                <w:rFonts w:hint="eastAsia" w:ascii="Times New Roman" w:hAnsi="Times New Roman" w:cs="Times New Roman"/>
                <w:color w:val="000000"/>
                <w:highlight w:val="none"/>
                <w:lang w:val="en-US" w:eastAsia="zh-CN"/>
              </w:rPr>
              <w:t>，建设单位</w:t>
            </w:r>
            <w:r>
              <w:rPr>
                <w:rFonts w:hint="default" w:ascii="Times New Roman" w:hAnsi="Times New Roman" w:cs="Times New Roman"/>
                <w:color w:val="000000"/>
                <w:highlight w:val="none"/>
                <w:lang w:val="en-US" w:eastAsia="zh-CN"/>
              </w:rPr>
              <w:t>取得了《福清市自然资源和规划局关于福建省福清市海亮沃口一级渔港工程建设项目涉及一般湿地的意见》（融自然综〔2026〕178号，附件</w:t>
            </w:r>
            <w:r>
              <w:rPr>
                <w:rFonts w:hint="eastAsia" w:cs="Times New Roman"/>
                <w:color w:val="000000"/>
                <w:highlight w:val="none"/>
                <w:lang w:val="en-US" w:eastAsia="zh-CN"/>
              </w:rPr>
              <w:t>16</w:t>
            </w:r>
            <w:r>
              <w:rPr>
                <w:rFonts w:hint="default" w:ascii="Times New Roman" w:hAnsi="Times New Roman" w:cs="Times New Roman"/>
                <w:color w:val="000000"/>
                <w:highlight w:val="none"/>
                <w:lang w:val="en-US" w:eastAsia="zh-CN"/>
              </w:rPr>
              <w:t>），同意本项目占用福清市一般湿地。</w:t>
            </w:r>
          </w:p>
          <w:p w14:paraId="31F991D0">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根据《福建省湿地保护条例》第十六条之规定“除因防洪、航道、港口或者其他水工程占用河道管理范围及蓄滞洪区内的湿地外，经依法批准占用重要湿地的单位，应当按照国家有关规定恢复或者重建与所占用湿地面积和质量相当的湿地；没有条件恢复、重建的，应当按照国家有关规定缴纳湿地恢复费。缴纳湿地恢复费的，不再缴纳其他相同性质的恢复费用。建设项目确需临时占用湿地的，按照国家有关规定办理。”</w:t>
            </w:r>
          </w:p>
          <w:p w14:paraId="10542228">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因本工程为渔业基础工程，属于港口类项目，但涉及占用滨海湿地，需落实湿地面积管控。因福清市现无湿地总量管控的条件，后期将根据《中华人民共和国湿地保护法》《福建省湿地保护条例》等相关文件要求落实湿地面积管控。</w:t>
            </w:r>
          </w:p>
          <w:p w14:paraId="0EF23F55">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lang w:val="en-US" w:eastAsia="zh-CN"/>
              </w:rPr>
            </w:pPr>
            <w:r>
              <w:rPr>
                <w:rFonts w:hint="default" w:ascii="Times New Roman" w:hAnsi="Times New Roman" w:cs="Times New Roman"/>
                <w:color w:val="000000"/>
                <w:highlight w:val="none"/>
              </w:rPr>
              <w:t>因此，本项目建设符合《福建省湿地保护条例》</w:t>
            </w:r>
            <w:r>
              <w:rPr>
                <w:rFonts w:hint="default" w:ascii="Times New Roman" w:hAnsi="Times New Roman" w:cs="Times New Roman"/>
                <w:color w:val="000000"/>
                <w:highlight w:val="none"/>
                <w:lang w:eastAsia="zh-CN"/>
              </w:rPr>
              <w:t>。</w:t>
            </w:r>
          </w:p>
          <w:p w14:paraId="01AD05CF">
            <w:pPr>
              <w:pStyle w:val="30"/>
              <w:bidi w:val="0"/>
              <w:rPr>
                <w:rFonts w:hint="default" w:ascii="Times New Roman" w:hAnsi="Times New Roman" w:cs="Times New Roman"/>
                <w:color w:val="000000"/>
                <w:highlight w:val="none"/>
              </w:rPr>
            </w:pPr>
            <w:bookmarkStart w:id="97" w:name="_Ref15503"/>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1.2</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表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2</w:t>
            </w:r>
            <w:r>
              <w:rPr>
                <w:rFonts w:hint="default" w:ascii="Times New Roman" w:hAnsi="Times New Roman" w:cs="Times New Roman"/>
                <w:color w:val="000000"/>
                <w:highlight w:val="none"/>
              </w:rPr>
              <w:fldChar w:fldCharType="end"/>
            </w:r>
            <w:bookmarkEnd w:id="97"/>
            <w:r>
              <w:rPr>
                <w:rFonts w:hint="default" w:ascii="Times New Roman" w:hAnsi="Times New Roman" w:cs="Times New Roman"/>
                <w:color w:val="000000"/>
                <w:highlight w:val="none"/>
                <w:lang w:val="en-US" w:eastAsia="zh-CN"/>
              </w:rPr>
              <w:t xml:space="preserve"> 工程建设占用福清市一般湿地情况一览表</w:t>
            </w:r>
          </w:p>
          <w:p w14:paraId="7B232135">
            <w:pPr>
              <w:pStyle w:val="31"/>
              <w:bidi w:val="0"/>
              <w:rPr>
                <w:rFonts w:hint="default"/>
                <w:lang w:val="en-US" w:eastAsia="zh-CN"/>
              </w:rPr>
            </w:pPr>
            <w:r>
              <w:rPr>
                <w:rFonts w:hint="eastAsia"/>
                <w:lang w:val="en-US" w:eastAsia="zh-CN"/>
              </w:rPr>
              <w:t>（涉密删除）</w:t>
            </w:r>
          </w:p>
          <w:p w14:paraId="5094E157">
            <w:pPr>
              <w:pStyle w:val="31"/>
              <w:bidi w:val="0"/>
              <w:rPr>
                <w:rFonts w:hint="default"/>
                <w:lang w:val="en-US" w:eastAsia="zh-CN"/>
              </w:rPr>
            </w:pPr>
            <w:r>
              <w:rPr>
                <w:rFonts w:hint="eastAsia"/>
                <w:lang w:val="en-US" w:eastAsia="zh-CN"/>
              </w:rPr>
              <w:t>（涉密删除）</w:t>
            </w:r>
          </w:p>
          <w:p w14:paraId="75B7CF0B">
            <w:pPr>
              <w:pStyle w:val="30"/>
              <w:bidi w:val="0"/>
              <w:rPr>
                <w:rFonts w:hint="default" w:ascii="Times New Roman" w:hAnsi="Times New Roman" w:cs="Times New Roman"/>
                <w:color w:val="000000"/>
                <w:highlight w:val="none"/>
                <w:lang w:val="en-US" w:eastAsia="zh-CN"/>
              </w:rPr>
            </w:pPr>
            <w:bookmarkStart w:id="98" w:name="_Ref29499"/>
            <w:r>
              <w:rPr>
                <w:rFonts w:hint="default" w:ascii="Times New Roman" w:hAnsi="Times New Roman" w:cs="Times New Roman"/>
                <w:color w:val="000000"/>
                <w:highlight w:val="none"/>
              </w:rPr>
              <w:t>图</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1.2</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图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6</w:t>
            </w:r>
            <w:r>
              <w:rPr>
                <w:rFonts w:hint="default" w:ascii="Times New Roman" w:hAnsi="Times New Roman" w:cs="Times New Roman"/>
                <w:color w:val="000000"/>
                <w:highlight w:val="none"/>
              </w:rPr>
              <w:fldChar w:fldCharType="end"/>
            </w:r>
            <w:bookmarkEnd w:id="98"/>
            <w:r>
              <w:rPr>
                <w:rFonts w:hint="default" w:ascii="Times New Roman" w:hAnsi="Times New Roman" w:cs="Times New Roman"/>
                <w:color w:val="000000"/>
                <w:highlight w:val="none"/>
                <w:lang w:val="en-US" w:eastAsia="zh-CN"/>
              </w:rPr>
              <w:t xml:space="preserve"> 工程建设占用一般湿地类型分布图</w:t>
            </w:r>
          </w:p>
          <w:p w14:paraId="18BD7400">
            <w:pPr>
              <w:pStyle w:val="4"/>
              <w:bidi w:val="0"/>
              <w:ind w:left="567" w:leftChars="0" w:hanging="567" w:firstLineChars="0"/>
              <w:rPr>
                <w:rFonts w:hint="default"/>
                <w:lang w:val="en-US" w:eastAsia="zh-CN"/>
              </w:rPr>
            </w:pPr>
            <w:r>
              <w:rPr>
                <w:rFonts w:hint="default"/>
                <w:lang w:val="en-US" w:eastAsia="zh-CN"/>
              </w:rPr>
              <w:t>与《福州市养殖水域滩涂规划（2018-2030年）》符合性分析</w:t>
            </w:r>
          </w:p>
          <w:p w14:paraId="37162A42">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根据《福州市养殖水域滩涂规划（2018-2030年）》，本项目位于海坛海峡西部养殖区和兴化湾限养区</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项目用海区养殖水域滩涂登记表详见</w:t>
            </w:r>
            <w:r>
              <w:rPr>
                <w:rFonts w:hint="default" w:ascii="Times New Roman" w:hAnsi="Times New Roman" w:cs="Times New Roman"/>
                <w:color w:val="000000"/>
                <w:highlight w:val="none"/>
                <w:lang w:val="en-US"/>
              </w:rPr>
              <w:fldChar w:fldCharType="begin"/>
            </w:r>
            <w:r>
              <w:rPr>
                <w:rFonts w:hint="default" w:ascii="Times New Roman" w:hAnsi="Times New Roman" w:cs="Times New Roman"/>
                <w:color w:val="000000"/>
                <w:highlight w:val="none"/>
                <w:lang w:val="en-US"/>
              </w:rPr>
              <w:instrText xml:space="preserve"> REF _Ref4321 \h </w:instrText>
            </w:r>
            <w:r>
              <w:rPr>
                <w:rFonts w:hint="default" w:ascii="Times New Roman" w:hAnsi="Times New Roman" w:cs="Times New Roman"/>
                <w:color w:val="000000"/>
                <w:highlight w:val="none"/>
                <w:lang w:val="en-US"/>
              </w:rPr>
              <w:fldChar w:fldCharType="separate"/>
            </w:r>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1.2</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3</w:t>
            </w:r>
            <w:r>
              <w:rPr>
                <w:rFonts w:hint="default" w:ascii="Times New Roman" w:hAnsi="Times New Roman" w:cs="Times New Roman"/>
                <w:color w:val="000000"/>
                <w:highlight w:val="none"/>
                <w:lang w:val="en-US"/>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规划图见</w:t>
            </w:r>
            <w:r>
              <w:rPr>
                <w:rFonts w:hint="default" w:ascii="Times New Roman" w:hAnsi="Times New Roman" w:cs="Times New Roman"/>
                <w:color w:val="000000"/>
                <w:highlight w:val="none"/>
                <w:lang w:eastAsia="zh-CN"/>
              </w:rPr>
              <w:fldChar w:fldCharType="begin"/>
            </w:r>
            <w:r>
              <w:rPr>
                <w:rFonts w:hint="default" w:ascii="Times New Roman" w:hAnsi="Times New Roman" w:cs="Times New Roman"/>
                <w:color w:val="000000"/>
                <w:highlight w:val="none"/>
                <w:lang w:eastAsia="zh-CN"/>
              </w:rPr>
              <w:instrText xml:space="preserve"> REF _Ref16429 \h </w:instrText>
            </w:r>
            <w:r>
              <w:rPr>
                <w:rFonts w:hint="default" w:ascii="Times New Roman" w:hAnsi="Times New Roman" w:cs="Times New Roman"/>
                <w:color w:val="000000"/>
                <w:highlight w:val="none"/>
                <w:lang w:eastAsia="zh-CN"/>
              </w:rPr>
              <w:fldChar w:fldCharType="separate"/>
            </w:r>
            <w:r>
              <w:rPr>
                <w:rFonts w:hint="default" w:ascii="Times New Roman" w:hAnsi="Times New Roman" w:cs="Times New Roman"/>
                <w:color w:val="000000"/>
                <w:highlight w:val="none"/>
              </w:rPr>
              <w:t>图</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1.2</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7</w:t>
            </w:r>
            <w:r>
              <w:rPr>
                <w:rFonts w:hint="default" w:ascii="Times New Roman" w:hAnsi="Times New Roman" w:cs="Times New Roman"/>
                <w:color w:val="000000"/>
                <w:highlight w:val="none"/>
                <w:lang w:eastAsia="zh-CN"/>
              </w:rPr>
              <w:fldChar w:fldCharType="end"/>
            </w:r>
            <w:r>
              <w:rPr>
                <w:rFonts w:hint="default" w:ascii="Times New Roman" w:hAnsi="Times New Roman" w:cs="Times New Roman"/>
                <w:color w:val="000000"/>
                <w:highlight w:val="none"/>
              </w:rPr>
              <w:t>。</w:t>
            </w:r>
          </w:p>
          <w:p w14:paraId="0D29FD89">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项目用海占用海坛海峡西部养殖区87.7529公顷，将直接造成可养殖海域面积的减少，但项目用海面积不大，仅占海坛海峡西部养殖区总面积的1.02%，对养殖区主导功能的发挥基本没有影响。本项目为渔业基础设施建设，能够提升当地渔船的靠泊和锚泊条件，保障当地渔业生产安全，促进养殖业的发展；项目用海与周边海水养殖户的相关利益关系可以协调；在严格执行环保要求的前提下，项目运营对周边海水养殖影响不大。</w:t>
            </w:r>
          </w:p>
          <w:p w14:paraId="03758C17">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项目用海占用兴化湾限养区2.2774公顷，主要位于原二级渔港的口门通道附近，现状没有海水养殖，这部分海域项目申请作为港池使用，基本维持海域现状，与兴化湾限养区的管理要求没有冲突。</w:t>
            </w:r>
          </w:p>
          <w:p w14:paraId="6C575CED">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lang w:val="en-US" w:eastAsia="zh-CN"/>
              </w:rPr>
            </w:pPr>
            <w:r>
              <w:rPr>
                <w:rFonts w:hint="default" w:ascii="Times New Roman" w:hAnsi="Times New Roman" w:cs="Times New Roman"/>
                <w:color w:val="000000"/>
                <w:highlight w:val="none"/>
                <w:lang w:val="en-US" w:eastAsia="zh-CN"/>
              </w:rPr>
              <w:t>因此</w:t>
            </w:r>
            <w:r>
              <w:rPr>
                <w:rFonts w:hint="default" w:ascii="Times New Roman" w:hAnsi="Times New Roman" w:cs="Times New Roman"/>
                <w:color w:val="000000"/>
                <w:highlight w:val="none"/>
              </w:rPr>
              <w:t>，</w:t>
            </w:r>
            <w:r>
              <w:rPr>
                <w:rFonts w:hint="default" w:ascii="Times New Roman" w:hAnsi="Times New Roman" w:cs="Times New Roman"/>
                <w:color w:val="000000"/>
                <w:highlight w:val="none"/>
                <w:lang w:val="en-US" w:eastAsia="zh-CN"/>
              </w:rPr>
              <w:t>本项目建设</w:t>
            </w:r>
            <w:r>
              <w:rPr>
                <w:rFonts w:hint="default" w:ascii="Times New Roman" w:hAnsi="Times New Roman" w:cs="Times New Roman"/>
                <w:color w:val="000000"/>
                <w:highlight w:val="none"/>
              </w:rPr>
              <w:t>与《福州市养殖水域滩涂规划（2018-2030年）》的要求</w:t>
            </w:r>
            <w:r>
              <w:rPr>
                <w:rFonts w:hint="default" w:ascii="Times New Roman" w:hAnsi="Times New Roman" w:cs="Times New Roman"/>
                <w:color w:val="000000"/>
                <w:highlight w:val="none"/>
                <w:lang w:val="en-US" w:eastAsia="zh-CN"/>
              </w:rPr>
              <w:t>不</w:t>
            </w:r>
            <w:r>
              <w:rPr>
                <w:rFonts w:hint="default" w:ascii="Times New Roman" w:hAnsi="Times New Roman" w:cs="Times New Roman"/>
                <w:color w:val="000000"/>
                <w:highlight w:val="none"/>
              </w:rPr>
              <w:t>冲突。</w:t>
            </w:r>
          </w:p>
          <w:p w14:paraId="480E1A98">
            <w:pPr>
              <w:pStyle w:val="30"/>
              <w:bidi w:val="0"/>
              <w:rPr>
                <w:rFonts w:hint="default" w:ascii="Times New Roman" w:hAnsi="Times New Roman" w:cs="Times New Roman"/>
                <w:color w:val="000000"/>
                <w:highlight w:val="none"/>
              </w:rPr>
            </w:pPr>
            <w:bookmarkStart w:id="99" w:name="_Ref4321"/>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1.2</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表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w:t>
            </w:r>
            <w:r>
              <w:rPr>
                <w:rFonts w:hint="default" w:ascii="Times New Roman" w:hAnsi="Times New Roman" w:cs="Times New Roman"/>
                <w:color w:val="000000"/>
                <w:highlight w:val="none"/>
              </w:rPr>
              <w:fldChar w:fldCharType="end"/>
            </w:r>
            <w:bookmarkEnd w:id="99"/>
            <w:r>
              <w:rPr>
                <w:rFonts w:hint="default" w:ascii="Times New Roman" w:hAnsi="Times New Roman" w:cs="Times New Roman"/>
                <w:color w:val="000000"/>
                <w:highlight w:val="none"/>
                <w:lang w:val="en-US" w:eastAsia="zh-CN"/>
              </w:rPr>
              <w:t xml:space="preserve"> 福州市养殖水域滩涂规划登记表</w:t>
            </w:r>
          </w:p>
          <w:p w14:paraId="41201216">
            <w:pPr>
              <w:pStyle w:val="31"/>
              <w:bidi w:val="0"/>
              <w:rPr>
                <w:rFonts w:hint="default"/>
                <w:lang w:val="en-US" w:eastAsia="zh-CN"/>
              </w:rPr>
            </w:pPr>
            <w:r>
              <w:rPr>
                <w:rFonts w:hint="eastAsia"/>
                <w:lang w:val="en-US" w:eastAsia="zh-CN"/>
              </w:rPr>
              <w:t>（涉密删除）</w:t>
            </w:r>
          </w:p>
          <w:p w14:paraId="25F4701D">
            <w:pPr>
              <w:pStyle w:val="31"/>
              <w:bidi w:val="0"/>
              <w:rPr>
                <w:rFonts w:hint="default"/>
                <w:lang w:val="en-US" w:eastAsia="zh-CN"/>
              </w:rPr>
            </w:pPr>
            <w:r>
              <w:rPr>
                <w:rFonts w:hint="eastAsia"/>
                <w:lang w:val="en-US" w:eastAsia="zh-CN"/>
              </w:rPr>
              <w:t>（涉密删除）</w:t>
            </w:r>
          </w:p>
          <w:p w14:paraId="41A2D4D4">
            <w:pPr>
              <w:pStyle w:val="30"/>
              <w:bidi w:val="0"/>
              <w:rPr>
                <w:rFonts w:hint="default" w:ascii="Times New Roman" w:hAnsi="Times New Roman" w:cs="Times New Roman"/>
                <w:color w:val="000000"/>
                <w:highlight w:val="none"/>
                <w:lang w:val="en-US" w:eastAsia="zh-CN"/>
              </w:rPr>
            </w:pPr>
            <w:bookmarkStart w:id="100" w:name="_Ref16429"/>
            <w:r>
              <w:rPr>
                <w:rFonts w:hint="default" w:ascii="Times New Roman" w:hAnsi="Times New Roman" w:cs="Times New Roman"/>
                <w:color w:val="000000"/>
                <w:highlight w:val="none"/>
              </w:rPr>
              <w:t>图</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1.2</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图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7</w:t>
            </w:r>
            <w:r>
              <w:rPr>
                <w:rFonts w:hint="default" w:ascii="Times New Roman" w:hAnsi="Times New Roman" w:cs="Times New Roman"/>
                <w:color w:val="000000"/>
                <w:highlight w:val="none"/>
              </w:rPr>
              <w:fldChar w:fldCharType="end"/>
            </w:r>
            <w:bookmarkEnd w:id="100"/>
            <w:r>
              <w:rPr>
                <w:rFonts w:hint="default" w:ascii="Times New Roman" w:hAnsi="Times New Roman" w:cs="Times New Roman"/>
                <w:color w:val="000000"/>
                <w:highlight w:val="none"/>
                <w:lang w:val="en-US" w:eastAsia="zh-CN"/>
              </w:rPr>
              <w:t xml:space="preserve"> 与《福州市养殖水域滩涂规划（2018-2030年）》的位置关系</w:t>
            </w:r>
          </w:p>
          <w:p w14:paraId="5A71D5AE">
            <w:pPr>
              <w:pStyle w:val="4"/>
              <w:bidi w:val="0"/>
              <w:ind w:left="567" w:leftChars="0" w:hanging="567" w:firstLineChars="0"/>
              <w:rPr>
                <w:rFonts w:hint="default"/>
                <w:lang w:val="en-US" w:eastAsia="zh-CN"/>
              </w:rPr>
            </w:pPr>
            <w:r>
              <w:rPr>
                <w:rFonts w:hint="default"/>
                <w:lang w:val="en-US" w:eastAsia="zh-CN"/>
              </w:rPr>
              <w:t>与《福建省海岛保护规划（2011-2020年）》符合性分析</w:t>
            </w:r>
          </w:p>
          <w:p w14:paraId="7083C0BB">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项目区周边的岛礁资源主要有大礁山</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大王马屿</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小王马屿</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王马南屿等无居民海岛，可门岛、草屿、塘屿等有居民海岛。其中与本项目东防波堤距离最近的无居民海岛为王马南屿，最近距离约</w:t>
            </w:r>
            <w:r>
              <w:rPr>
                <w:rFonts w:hint="default" w:ascii="Times New Roman" w:hAnsi="Times New Roman" w:cs="Times New Roman"/>
                <w:color w:val="000000"/>
                <w:highlight w:val="none"/>
                <w:lang w:val="en-US" w:eastAsia="zh-CN"/>
              </w:rPr>
              <w:t>160</w:t>
            </w:r>
            <w:r>
              <w:rPr>
                <w:rFonts w:hint="default" w:ascii="Times New Roman" w:hAnsi="Times New Roman" w:cs="Times New Roman"/>
                <w:color w:val="000000"/>
                <w:highlight w:val="none"/>
              </w:rPr>
              <w:t>m。根据《福建省海岛保护规划》（2011~2020年），“王马南屿属于二级类中的一般保护类海岛，面积为2636m</w:t>
            </w:r>
            <w:r>
              <w:rPr>
                <w:rFonts w:hint="default" w:ascii="Times New Roman" w:hAnsi="Times New Roman" w:cs="Times New Roman"/>
                <w:color w:val="000000"/>
                <w:highlight w:val="none"/>
                <w:vertAlign w:val="superscript"/>
              </w:rPr>
              <w:t>2</w:t>
            </w:r>
            <w:r>
              <w:rPr>
                <w:rFonts w:hint="default" w:ascii="Times New Roman" w:hAnsi="Times New Roman" w:cs="Times New Roman"/>
                <w:color w:val="000000"/>
                <w:highlight w:val="none"/>
              </w:rPr>
              <w:t>，近圆形，地势中间高四周低，地表岩石裸露，长零星小草，基岩海岸，南面乱石滩延伸，海域有吊养，顶部建有一导标，具体说明为：保留开发利用现状，保护海岛生态环境和岛上的导航标志”。</w:t>
            </w:r>
          </w:p>
          <w:p w14:paraId="38E58B1D">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项目建设没有占用海岛，没有对周边岛礁进行连岛、爆破等破坏岛礁属性的作业，对岛礁资源没有损耗。工程建设引起的王马南屿周边的潮流场和冲淤环境变化较小，不会引起海岛地形地貌的改变；项目施工悬浮泥沙入海用海对项目区周边大礁山、大马王屿、王马南屿等海岛的水质环境有一定的影响，但悬浮泥沙影响是短暂的，随着施工结束而消失，故项目用海对周边海岛的影响有限。因此，本项目建设不改变周边无居民海岛的定位和现状，对海岛资源基本没有影响。</w:t>
            </w:r>
          </w:p>
          <w:p w14:paraId="4A599E77">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b w:val="0"/>
                <w:bCs w:val="0"/>
                <w:color w:val="000000"/>
                <w:u w:val="none"/>
                <w:lang w:val="en-US" w:eastAsia="zh-CN"/>
              </w:rPr>
            </w:pPr>
            <w:r>
              <w:rPr>
                <w:rFonts w:hint="default" w:ascii="Times New Roman" w:hAnsi="Times New Roman" w:cs="Times New Roman"/>
                <w:color w:val="000000"/>
                <w:highlight w:val="none"/>
              </w:rPr>
              <w:t>综上，项目</w:t>
            </w:r>
            <w:r>
              <w:rPr>
                <w:rFonts w:hint="eastAsia" w:ascii="Times New Roman" w:hAnsi="Times New Roman" w:cs="Times New Roman"/>
                <w:color w:val="000000"/>
                <w:highlight w:val="none"/>
                <w:lang w:val="en-US" w:eastAsia="zh-CN"/>
              </w:rPr>
              <w:t>建设符合</w:t>
            </w:r>
            <w:r>
              <w:rPr>
                <w:rFonts w:hint="default" w:ascii="Times New Roman" w:hAnsi="Times New Roman" w:cs="Times New Roman"/>
                <w:color w:val="000000"/>
                <w:highlight w:val="none"/>
              </w:rPr>
              <w:t>《福建省海岛保护规划（2011-2020年）》</w:t>
            </w:r>
            <w:r>
              <w:rPr>
                <w:rFonts w:hint="eastAsia" w:ascii="Times New Roman" w:hAnsi="Times New Roman" w:cs="Times New Roman"/>
                <w:color w:val="000000"/>
                <w:highlight w:val="none"/>
                <w:lang w:val="en-US" w:eastAsia="zh-CN"/>
              </w:rPr>
              <w:t>的</w:t>
            </w:r>
            <w:r>
              <w:rPr>
                <w:rFonts w:hint="default" w:ascii="Times New Roman" w:hAnsi="Times New Roman" w:cs="Times New Roman"/>
                <w:color w:val="000000"/>
                <w:highlight w:val="none"/>
              </w:rPr>
              <w:t>要求。</w:t>
            </w:r>
          </w:p>
          <w:p w14:paraId="00F692A1">
            <w:pPr>
              <w:pStyle w:val="4"/>
              <w:bidi w:val="0"/>
              <w:ind w:left="567" w:leftChars="0" w:hanging="567" w:firstLineChars="0"/>
              <w:rPr>
                <w:rFonts w:hint="default"/>
                <w:lang w:val="en-US" w:eastAsia="zh-CN"/>
              </w:rPr>
            </w:pPr>
            <w:r>
              <w:rPr>
                <w:rFonts w:hint="default"/>
                <w:lang w:val="en-US" w:eastAsia="zh-CN"/>
              </w:rPr>
              <w:t>与生态公益林保护要求符合性分析</w:t>
            </w:r>
          </w:p>
          <w:p w14:paraId="750F25F1">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根据《建设项目使用林地审核审批管理办法》（国家林业局第35号令）要求，其中“第四条占用和临时占用林地的建设项目应当遵守林地分级管理的规定：（二）国务院批准、同意的建设项目，国务院有关部门和省级人民政府及其有关部门批准的基础设施、公共事业、民生建设项目，可以使用Ⅱ级及其以下保护林地。”</w:t>
            </w:r>
          </w:p>
          <w:p w14:paraId="6C520427">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国家级公益林管理办法》（2017年4月28日）：第九条“严格控制勘查、开采矿藏和工程建设使用国家级公益林地。确需使用的，严格按照《建设项目使用林地审核审批管理办法》有关规定办理使用林地手续。涉及林木采伐的，按相关规定依法办理林木采伐手续。</w:t>
            </w:r>
          </w:p>
          <w:p w14:paraId="2485D895">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福建省生态公益林条例》“第三章保护与利用”中对生态公益林开发做如下规定：第二十三条一级保护的生态公益林按照国家对生态保护红线的管控要求予以保护。第二十四条二级保护的生态公益林除经依法批准的基础设施、省级以上的重点民生保障项目和公共事业项目之外，禁止开发。第二十五条三级保护的生态公益林除经依法批准的基础设施、民生保障项目和公共事业项目之外，禁止开发。</w:t>
            </w:r>
          </w:p>
          <w:p w14:paraId="0FBBF311">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val="0"/>
                <w:bCs w:val="0"/>
                <w:color w:val="000000"/>
                <w:u w:val="none"/>
                <w:lang w:val="en-US" w:eastAsia="zh-CN"/>
              </w:rPr>
            </w:pPr>
            <w:r>
              <w:rPr>
                <w:rFonts w:hint="default" w:ascii="Times New Roman" w:hAnsi="Times New Roman" w:cs="Times New Roman"/>
                <w:b/>
                <w:bCs/>
                <w:color w:val="000000"/>
                <w:highlight w:val="none"/>
                <w:lang w:val="en-US" w:eastAsia="zh-CN"/>
              </w:rPr>
              <w:t>符合性分析：</w:t>
            </w:r>
            <w:r>
              <w:rPr>
                <w:rFonts w:hint="default" w:ascii="Times New Roman" w:hAnsi="Times New Roman" w:cs="Times New Roman"/>
                <w:color w:val="000000"/>
                <w:highlight w:val="none"/>
                <w:lang w:val="en-US" w:eastAsia="zh-CN"/>
              </w:rPr>
              <w:t>本工程新增陆域面积为23.49万m</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lang w:val="en-US" w:eastAsia="zh-CN"/>
              </w:rPr>
              <w:t>，根据国家林业和草原局关于本工程使用林地审核同意书（林资许准（闽）〔2021〕16号，附件8），本项目后方陆域占用生态林20.4322hm</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lang w:val="en-US" w:eastAsia="zh-CN"/>
              </w:rPr>
              <w:t>，其中占用</w:t>
            </w:r>
            <w:r>
              <w:rPr>
                <w:rFonts w:hint="eastAsia" w:cs="Times New Roman"/>
                <w:color w:val="000000"/>
                <w:highlight w:val="none"/>
                <w:lang w:val="en-US" w:eastAsia="zh-CN"/>
              </w:rPr>
              <w:t>一级</w:t>
            </w:r>
            <w:r>
              <w:rPr>
                <w:rFonts w:hint="default" w:ascii="Times New Roman" w:hAnsi="Times New Roman" w:cs="Times New Roman"/>
                <w:color w:val="000000"/>
                <w:highlight w:val="none"/>
                <w:lang w:val="en-US" w:eastAsia="zh-CN"/>
              </w:rPr>
              <w:t>生态公益林地9.1446hm</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lang w:val="en-US" w:eastAsia="zh-CN"/>
              </w:rPr>
              <w:t>、省级生态公益林地11.2876hm</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lang w:val="en-US" w:eastAsia="zh-CN"/>
              </w:rPr>
              <w:t>，林地保护等级为</w:t>
            </w:r>
            <w:r>
              <w:rPr>
                <w:rFonts w:hint="default" w:ascii="Times New Roman" w:hAnsi="Times New Roman" w:cs="Times New Roman"/>
                <w:color w:val="000000"/>
                <w:highlight w:val="none"/>
              </w:rPr>
              <w:t>Ⅱ级</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本工程拟使用林地现状情况见</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REF _Ref31005 \h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1.2</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4</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val="en-US" w:eastAsia="zh-CN"/>
              </w:rPr>
              <w:t>、</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REF _Ref31041 \h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rPr>
              <w:t>图</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1.2</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8</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val="en-US" w:eastAsia="zh-CN"/>
              </w:rPr>
              <w:t>。本工程已于2024年10月29日取得了福建省人民政府农用地转用和土地征收的批复（闽政地﹝2024﹞549号，附件10），2024年12月4日取得了项目建设用地规划许可证（证号：地字第350181202400134号，附件9）</w:t>
            </w:r>
            <w:r>
              <w:rPr>
                <w:rFonts w:hint="eastAsia" w:cs="Times New Roman"/>
                <w:color w:val="000000"/>
                <w:highlight w:val="none"/>
                <w:lang w:val="en-US" w:eastAsia="zh-CN"/>
              </w:rPr>
              <w:t>且</w:t>
            </w:r>
            <w:r>
              <w:rPr>
                <w:rFonts w:hint="default" w:ascii="Times New Roman" w:hAnsi="Times New Roman" w:cs="Times New Roman"/>
                <w:color w:val="000000"/>
                <w:highlight w:val="none"/>
                <w:lang w:val="en-US" w:eastAsia="zh-CN"/>
              </w:rPr>
              <w:t>已办理林木采伐许可证（附件11）。工程施工过程中应严格控制用地红线，采取围挡施工，沿项目区做好截排水、沉沙及边坡防护措施，从而减轻对林地的压占及破坏，降低对林地的影响。因此，本项目的建设符合生态公益林保护的相关要求。</w:t>
            </w:r>
          </w:p>
          <w:p w14:paraId="465A6BF7">
            <w:pPr>
              <w:pStyle w:val="31"/>
              <w:bidi w:val="0"/>
              <w:rPr>
                <w:rFonts w:hint="default"/>
                <w:lang w:val="en-US" w:eastAsia="zh-CN"/>
              </w:rPr>
            </w:pPr>
            <w:r>
              <w:rPr>
                <w:rFonts w:hint="eastAsia"/>
                <w:lang w:val="en-US" w:eastAsia="zh-CN"/>
              </w:rPr>
              <w:t>（涉密删除）</w:t>
            </w:r>
          </w:p>
          <w:p w14:paraId="7C7BB9FE">
            <w:pPr>
              <w:pStyle w:val="30"/>
              <w:bidi w:val="0"/>
              <w:rPr>
                <w:rFonts w:hint="default" w:ascii="Times New Roman" w:hAnsi="Times New Roman" w:eastAsia="宋体" w:cs="Times New Roman"/>
                <w:color w:val="000000"/>
                <w:highlight w:val="none"/>
                <w:lang w:val="en-US" w:eastAsia="zh-CN"/>
              </w:rPr>
            </w:pPr>
            <w:bookmarkStart w:id="101" w:name="_Ref31041"/>
            <w:r>
              <w:rPr>
                <w:rFonts w:hint="default" w:ascii="Times New Roman" w:hAnsi="Times New Roman" w:cs="Times New Roman"/>
                <w:color w:val="000000"/>
                <w:highlight w:val="none"/>
              </w:rPr>
              <w:t>图</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1.2</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图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8</w:t>
            </w:r>
            <w:r>
              <w:rPr>
                <w:rFonts w:hint="default" w:ascii="Times New Roman" w:hAnsi="Times New Roman" w:cs="Times New Roman"/>
                <w:color w:val="000000"/>
                <w:highlight w:val="none"/>
              </w:rPr>
              <w:fldChar w:fldCharType="end"/>
            </w:r>
            <w:bookmarkEnd w:id="101"/>
            <w:r>
              <w:rPr>
                <w:rFonts w:hint="default" w:ascii="Times New Roman" w:hAnsi="Times New Roman" w:cs="Times New Roman"/>
                <w:color w:val="000000"/>
                <w:highlight w:val="none"/>
                <w:lang w:val="en-US" w:eastAsia="zh-CN"/>
              </w:rPr>
              <w:t xml:space="preserve"> 工程拟使用林地现状图</w:t>
            </w:r>
          </w:p>
          <w:p w14:paraId="60A2502C">
            <w:pPr>
              <w:pStyle w:val="30"/>
              <w:bidi w:val="0"/>
              <w:rPr>
                <w:rFonts w:hint="default" w:ascii="Times New Roman" w:hAnsi="Times New Roman" w:cs="Times New Roman"/>
                <w:color w:val="000000"/>
                <w:highlight w:val="none"/>
                <w:lang w:val="en-US" w:eastAsia="zh-CN"/>
              </w:rPr>
            </w:pPr>
            <w:bookmarkStart w:id="102" w:name="_Ref31005"/>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1.2</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表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w:t>
            </w:r>
            <w:r>
              <w:rPr>
                <w:rFonts w:hint="default" w:ascii="Times New Roman" w:hAnsi="Times New Roman" w:cs="Times New Roman"/>
                <w:color w:val="000000"/>
                <w:highlight w:val="none"/>
              </w:rPr>
              <w:fldChar w:fldCharType="end"/>
            </w:r>
            <w:bookmarkEnd w:id="102"/>
            <w:r>
              <w:rPr>
                <w:rFonts w:hint="default" w:ascii="Times New Roman" w:hAnsi="Times New Roman" w:cs="Times New Roman"/>
                <w:color w:val="000000"/>
                <w:highlight w:val="none"/>
                <w:lang w:val="en-US" w:eastAsia="zh-CN"/>
              </w:rPr>
              <w:t xml:space="preserve"> 工程拟使用林地情况</w:t>
            </w:r>
          </w:p>
          <w:p w14:paraId="29D430A3">
            <w:pPr>
              <w:pStyle w:val="31"/>
              <w:bidi w:val="0"/>
              <w:rPr>
                <w:rFonts w:hint="default"/>
                <w:lang w:val="en-US" w:eastAsia="zh-CN"/>
              </w:rPr>
            </w:pPr>
            <w:r>
              <w:rPr>
                <w:rFonts w:hint="eastAsia"/>
                <w:lang w:val="en-US" w:eastAsia="zh-CN"/>
              </w:rPr>
              <w:t>（涉密删除）</w:t>
            </w:r>
          </w:p>
          <w:p w14:paraId="1F193087">
            <w:pPr>
              <w:keepNext w:val="0"/>
              <w:keepLines w:val="0"/>
              <w:pageBreakBefore w:val="0"/>
              <w:widowControl w:val="0"/>
              <w:kinsoku/>
              <w:wordWrap/>
              <w:overflowPunct/>
              <w:topLinePunct w:val="0"/>
              <w:bidi w:val="0"/>
              <w:adjustRightInd/>
              <w:snapToGrid/>
              <w:ind w:firstLine="480" w:firstLineChars="200"/>
              <w:textAlignment w:val="auto"/>
              <w:rPr>
                <w:rFonts w:hint="default" w:ascii="Times New Roman" w:hAnsi="Times New Roman" w:cs="Times New Roman"/>
                <w:b w:val="0"/>
                <w:bCs w:val="0"/>
                <w:color w:val="000000"/>
                <w:u w:val="none"/>
                <w:lang w:val="en-US" w:eastAsia="zh-CN"/>
              </w:rPr>
            </w:pPr>
          </w:p>
          <w:p w14:paraId="51968B46">
            <w:pPr>
              <w:keepNext w:val="0"/>
              <w:keepLines w:val="0"/>
              <w:pageBreakBefore w:val="0"/>
              <w:widowControl w:val="0"/>
              <w:kinsoku/>
              <w:wordWrap/>
              <w:overflowPunct/>
              <w:topLinePunct w:val="0"/>
              <w:bidi w:val="0"/>
              <w:adjustRightInd/>
              <w:snapToGrid/>
              <w:ind w:firstLine="480" w:firstLineChars="200"/>
              <w:textAlignment w:val="auto"/>
              <w:rPr>
                <w:rFonts w:hint="default" w:ascii="Times New Roman" w:hAnsi="Times New Roman" w:cs="Times New Roman"/>
                <w:b w:val="0"/>
                <w:bCs w:val="0"/>
                <w:color w:val="000000"/>
                <w:u w:val="none"/>
                <w:lang w:val="en-US" w:eastAsia="zh-CN"/>
              </w:rPr>
            </w:pPr>
          </w:p>
          <w:p w14:paraId="6A2DE9DF">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u w:val="none"/>
                <w:lang w:val="en-US" w:eastAsia="zh-CN"/>
              </w:rPr>
            </w:pPr>
          </w:p>
          <w:p w14:paraId="4BF52AA5">
            <w:pPr>
              <w:keepNext w:val="0"/>
              <w:keepLines w:val="0"/>
              <w:pageBreakBefore w:val="0"/>
              <w:widowControl w:val="0"/>
              <w:kinsoku/>
              <w:wordWrap/>
              <w:overflowPunct/>
              <w:topLinePunct w:val="0"/>
              <w:bidi w:val="0"/>
              <w:adjustRightInd/>
              <w:snapToGrid/>
              <w:ind w:firstLine="480" w:firstLineChars="200"/>
              <w:textAlignment w:val="auto"/>
              <w:rPr>
                <w:rFonts w:hint="default" w:ascii="Times New Roman" w:hAnsi="Times New Roman" w:cs="Times New Roman"/>
                <w:color w:val="000000"/>
                <w:u w:val="none"/>
                <w:lang w:val="en-US" w:eastAsia="zh-CN"/>
              </w:rPr>
            </w:pPr>
          </w:p>
          <w:p w14:paraId="2D6B2473">
            <w:pPr>
              <w:keepNext w:val="0"/>
              <w:keepLines w:val="0"/>
              <w:pageBreakBefore w:val="0"/>
              <w:widowControl w:val="0"/>
              <w:kinsoku/>
              <w:wordWrap/>
              <w:overflowPunct/>
              <w:topLinePunct w:val="0"/>
              <w:bidi w:val="0"/>
              <w:adjustRightInd/>
              <w:snapToGrid/>
              <w:ind w:firstLine="480" w:firstLineChars="200"/>
              <w:textAlignment w:val="auto"/>
              <w:rPr>
                <w:rFonts w:hint="default" w:ascii="Times New Roman" w:hAnsi="Times New Roman" w:cs="Times New Roman"/>
                <w:color w:val="000000"/>
                <w:u w:val="none"/>
                <w:lang w:val="en-US" w:eastAsia="zh-CN"/>
              </w:rPr>
            </w:pPr>
          </w:p>
        </w:tc>
      </w:tr>
    </w:tbl>
    <w:p w14:paraId="07DF9EB5">
      <w:pPr>
        <w:spacing w:line="360" w:lineRule="auto"/>
        <w:outlineLvl w:val="9"/>
        <w:rPr>
          <w:rFonts w:hint="default" w:ascii="Times New Roman" w:hAnsi="Times New Roman" w:eastAsia="黑体" w:cs="Times New Roman"/>
          <w:color w:val="000000"/>
          <w:sz w:val="30"/>
          <w:u w:val="none"/>
        </w:rPr>
        <w:sectPr>
          <w:pgSz w:w="11906" w:h="16838"/>
          <w:pgMar w:top="1701" w:right="1531" w:bottom="1701" w:left="1531" w:header="851" w:footer="1077" w:gutter="0"/>
          <w:pgNumType w:fmt="decimal"/>
          <w:cols w:space="720" w:num="1"/>
          <w:docGrid w:linePitch="312" w:charSpace="0"/>
        </w:sectPr>
      </w:pPr>
    </w:p>
    <w:tbl>
      <w:tblPr>
        <w:tblStyle w:val="22"/>
        <w:tblW w:w="907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08" w:type="dxa"/>
          <w:left w:w="108" w:type="dxa"/>
          <w:bottom w:w="108" w:type="dxa"/>
          <w:right w:w="108" w:type="dxa"/>
        </w:tblCellMar>
      </w:tblPr>
      <w:tblGrid>
        <w:gridCol w:w="698"/>
        <w:gridCol w:w="8378"/>
      </w:tblGrid>
      <w:tr w14:paraId="589393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8" w:type="dxa"/>
            <w:left w:w="108" w:type="dxa"/>
            <w:bottom w:w="108" w:type="dxa"/>
            <w:right w:w="108" w:type="dxa"/>
          </w:tblCellMar>
        </w:tblPrEx>
        <w:tc>
          <w:tcPr>
            <w:tcW w:w="698" w:type="dxa"/>
            <w:noWrap w:val="0"/>
            <w:vAlign w:val="center"/>
          </w:tcPr>
          <w:p w14:paraId="203C546A">
            <w:pPr>
              <w:spacing w:line="360" w:lineRule="auto"/>
              <w:jc w:val="center"/>
              <w:outlineLvl w:val="0"/>
              <w:rPr>
                <w:rFonts w:hint="default" w:ascii="Times New Roman" w:hAnsi="Times New Roman" w:eastAsia="黑体" w:cs="Times New Roman"/>
                <w:color w:val="000000"/>
                <w:sz w:val="30"/>
                <w:u w:val="none"/>
                <w:vertAlign w:val="baseline"/>
              </w:rPr>
            </w:pPr>
            <w:bookmarkStart w:id="103" w:name="_Toc11627"/>
            <w:bookmarkStart w:id="104" w:name="_Toc2743"/>
            <w:bookmarkStart w:id="105" w:name="_Toc19684"/>
            <w:bookmarkStart w:id="106" w:name="_Toc32331"/>
            <w:bookmarkStart w:id="107" w:name="_Toc19358"/>
            <w:bookmarkStart w:id="108" w:name="_Toc27934"/>
            <w:bookmarkStart w:id="109" w:name="_Toc30398"/>
            <w:bookmarkStart w:id="110" w:name="_Toc8933"/>
            <w:bookmarkStart w:id="111" w:name="_Toc8696"/>
            <w:r>
              <w:rPr>
                <w:rFonts w:hint="default" w:ascii="Times New Roman" w:hAnsi="Times New Roman" w:cs="Times New Roman"/>
                <w:color w:val="000000"/>
                <w:kern w:val="0"/>
                <w:szCs w:val="21"/>
                <w:u w:val="none"/>
              </w:rPr>
              <w:t>其他符合性分析</w:t>
            </w:r>
            <w:bookmarkEnd w:id="103"/>
            <w:bookmarkEnd w:id="104"/>
            <w:bookmarkEnd w:id="105"/>
            <w:bookmarkEnd w:id="106"/>
            <w:bookmarkEnd w:id="107"/>
            <w:bookmarkEnd w:id="108"/>
            <w:bookmarkEnd w:id="109"/>
            <w:bookmarkEnd w:id="110"/>
            <w:bookmarkEnd w:id="111"/>
          </w:p>
        </w:tc>
        <w:tc>
          <w:tcPr>
            <w:tcW w:w="8378" w:type="dxa"/>
            <w:noWrap w:val="0"/>
            <w:vAlign w:val="top"/>
          </w:tcPr>
          <w:p w14:paraId="5B1C1AC2">
            <w:pPr>
              <w:pStyle w:val="4"/>
              <w:bidi w:val="0"/>
              <w:ind w:left="567" w:leftChars="0" w:hanging="567" w:firstLineChars="0"/>
              <w:rPr>
                <w:rFonts w:hint="default"/>
                <w:lang w:val="en-US" w:eastAsia="zh-CN"/>
              </w:rPr>
            </w:pPr>
            <w:r>
              <w:rPr>
                <w:rFonts w:hint="default"/>
                <w:lang w:val="en-US" w:eastAsia="zh-CN"/>
              </w:rPr>
              <w:t>生态环境分区管控符合性分析</w:t>
            </w:r>
          </w:p>
          <w:p w14:paraId="08C85E7D">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根据《福州市生态环境局关于发布福州市2024年生态环境分区管控动态更新成果的通知》（榕环保综〔2025〕1号），本项目生态环境分区管控符合性分析如下：</w:t>
            </w:r>
          </w:p>
          <w:p w14:paraId="31305BDF">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eastAsia="宋体" w:cs="Times New Roman"/>
                <w:b/>
                <w:bCs/>
                <w:color w:val="000000"/>
                <w:highlight w:val="none"/>
                <w:lang w:eastAsia="zh-CN"/>
              </w:rPr>
            </w:pP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1</w:t>
            </w:r>
            <w:r>
              <w:rPr>
                <w:rFonts w:hint="default" w:ascii="Times New Roman" w:hAnsi="Times New Roman" w:cs="Times New Roman"/>
                <w:b/>
                <w:bCs/>
                <w:color w:val="000000"/>
                <w:highlight w:val="none"/>
                <w:lang w:eastAsia="zh-CN"/>
              </w:rPr>
              <w:t>）生态保护红线</w:t>
            </w:r>
          </w:p>
          <w:p w14:paraId="4E73DDD4">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福州市生态保护红线划定面积为5082.05平方千米，其中陆域面积为2410.32平方千米，海域面积为2671.73平方千米。</w:t>
            </w:r>
          </w:p>
          <w:p w14:paraId="7C9DFBA8">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根据本项目与</w:t>
            </w:r>
            <w:r>
              <w:rPr>
                <w:rFonts w:hint="default" w:ascii="Times New Roman" w:hAnsi="Times New Roman" w:cs="Times New Roman"/>
                <w:color w:val="000000"/>
                <w:highlight w:val="none"/>
              </w:rPr>
              <w:t>福建省“三区三线”划定成果</w:t>
            </w:r>
            <w:r>
              <w:rPr>
                <w:rFonts w:hint="default" w:ascii="Times New Roman" w:hAnsi="Times New Roman" w:cs="Times New Roman"/>
                <w:color w:val="000000"/>
                <w:highlight w:val="none"/>
                <w:lang w:val="en-US" w:eastAsia="zh-CN"/>
              </w:rPr>
              <w:t>的位置关系（</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REF _Ref13800 \h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rPr>
              <w:t>图</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1.2</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5</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val="en-US" w:eastAsia="zh-CN"/>
              </w:rPr>
              <w:t>），</w:t>
            </w:r>
            <w:r>
              <w:rPr>
                <w:rFonts w:hint="default" w:ascii="Times New Roman" w:hAnsi="Times New Roman" w:cs="Times New Roman"/>
                <w:color w:val="000000"/>
                <w:highlight w:val="none"/>
              </w:rPr>
              <w:t>本项目不涉及生态保护红线、城镇开发边界线和永久基本农田保护红线</w:t>
            </w:r>
            <w:r>
              <w:rPr>
                <w:rFonts w:hint="default" w:ascii="Times New Roman" w:hAnsi="Times New Roman" w:cs="Times New Roman"/>
                <w:color w:val="000000"/>
                <w:highlight w:val="none"/>
                <w:lang w:eastAsia="zh-CN"/>
              </w:rPr>
              <w:t>。在严格落实相关环保与生态措施的前提下，项目用海基本可以维持海域和陆域自然环境现状，其建设对周边陆域和海域生态保护红线区基本没有影响，能符合生态保护红线的相关要求。</w:t>
            </w:r>
          </w:p>
          <w:p w14:paraId="43B158AE">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eastAsia="宋体" w:cs="Times New Roman"/>
                <w:b/>
                <w:bCs/>
                <w:color w:val="000000"/>
                <w:highlight w:val="none"/>
                <w:lang w:val="en-US" w:eastAsia="zh-CN"/>
              </w:rPr>
            </w:pP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2</w:t>
            </w: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环境质量底线</w:t>
            </w:r>
          </w:p>
          <w:p w14:paraId="451135FB">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项目所在区域环境空气质量执行《环境空气质量标准》（GB 3095-2026）表1中的二级标准，声环境质量执行2类标准，声环境执行《声环境质量标准》（GB3096-2008）2类标准。项目所在海域执行《海水水质标准》（GB3097-1997）第二类标准、《海洋沉积物质量》（GB18668-2002）第一类标准、《海洋生物质量》（GB18421-2001）第一类标准。</w:t>
            </w:r>
          </w:p>
          <w:p w14:paraId="5457EC7F">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本项目运营期船舶含油污水、船舶生活污水由海事部门认可的船舶污染物接收单位接收处理，不在港区排放；食堂废水经隔油沉淀，与生活污水一同经过化粪池处理后，</w:t>
            </w:r>
            <w:r>
              <w:rPr>
                <w:rStyle w:val="23"/>
                <w:rFonts w:hint="default" w:ascii="Times New Roman" w:hAnsi="Times New Roman" w:cs="Times New Roman"/>
                <w:color w:val="000000"/>
                <w:highlight w:val="none"/>
                <w:lang w:val="en-US" w:eastAsia="zh-CN"/>
              </w:rPr>
              <w:t>港区</w:t>
            </w:r>
            <w:r>
              <w:rPr>
                <w:rStyle w:val="23"/>
                <w:rFonts w:hint="default" w:ascii="Times New Roman" w:hAnsi="Times New Roman" w:cs="Times New Roman"/>
                <w:color w:val="000000"/>
                <w:highlight w:val="none"/>
              </w:rPr>
              <w:t>冲洗废水</w:t>
            </w:r>
            <w:r>
              <w:rPr>
                <w:rFonts w:hint="default" w:ascii="Times New Roman" w:hAnsi="Times New Roman" w:cs="Times New Roman"/>
                <w:color w:val="000000"/>
                <w:highlight w:val="none"/>
              </w:rPr>
              <w:t>经</w:t>
            </w:r>
            <w:r>
              <w:rPr>
                <w:rFonts w:hint="default" w:ascii="Times New Roman" w:hAnsi="Times New Roman" w:cs="Times New Roman"/>
                <w:color w:val="000000"/>
                <w:highlight w:val="none"/>
                <w:lang w:val="en-US" w:eastAsia="zh-CN"/>
              </w:rPr>
              <w:t>收集沟</w:t>
            </w:r>
            <w:r>
              <w:rPr>
                <w:rFonts w:hint="default" w:ascii="Times New Roman" w:hAnsi="Times New Roman" w:cs="Times New Roman"/>
                <w:color w:val="000000"/>
                <w:highlight w:val="none"/>
              </w:rPr>
              <w:t>收集</w:t>
            </w:r>
            <w:r>
              <w:rPr>
                <w:rFonts w:hint="default" w:ascii="Times New Roman" w:hAnsi="Times New Roman" w:cs="Times New Roman"/>
                <w:color w:val="000000"/>
                <w:highlight w:val="none"/>
                <w:lang w:val="en-US" w:eastAsia="zh-CN"/>
              </w:rPr>
              <w:t>后</w:t>
            </w:r>
            <w:r>
              <w:rPr>
                <w:rFonts w:hint="default" w:ascii="Times New Roman" w:hAnsi="Times New Roman" w:cs="Times New Roman"/>
                <w:color w:val="000000"/>
                <w:highlight w:val="none"/>
              </w:rPr>
              <w:t>，</w:t>
            </w:r>
            <w:r>
              <w:rPr>
                <w:rFonts w:hint="default" w:ascii="Times New Roman" w:hAnsi="Times New Roman" w:cs="Times New Roman"/>
                <w:color w:val="000000"/>
                <w:highlight w:val="none"/>
                <w:vertAlign w:val="baseline"/>
                <w:lang w:val="en-US" w:eastAsia="zh-CN"/>
              </w:rPr>
              <w:t>经自建污水处理站处理后</w:t>
            </w:r>
            <w:r>
              <w:rPr>
                <w:rFonts w:hint="default" w:ascii="Times New Roman" w:hAnsi="Times New Roman" w:cs="Times New Roman"/>
                <w:color w:val="000000"/>
                <w:highlight w:val="none"/>
              </w:rPr>
              <w:t>回用于港区绿化灌溉、洒水及冲洗用水</w:t>
            </w:r>
            <w:r>
              <w:rPr>
                <w:rFonts w:hint="default" w:ascii="Times New Roman" w:hAnsi="Times New Roman" w:cs="Times New Roman"/>
                <w:color w:val="000000"/>
                <w:highlight w:val="none"/>
                <w:lang w:eastAsia="zh-CN"/>
              </w:rPr>
              <w:t>。</w:t>
            </w:r>
          </w:p>
          <w:p w14:paraId="09D4A67F">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本项目运营期</w:t>
            </w:r>
            <w:r>
              <w:rPr>
                <w:rFonts w:hint="default" w:ascii="Times New Roman" w:hAnsi="Times New Roman" w:cs="Times New Roman"/>
                <w:b w:val="0"/>
                <w:bCs w:val="0"/>
                <w:color w:val="000000"/>
                <w:highlight w:val="none"/>
                <w:lang w:val="en-US" w:eastAsia="zh-CN"/>
              </w:rPr>
              <w:t>船舶、运输车辆燃油废气主要污染物为SO</w:t>
            </w:r>
            <w:r>
              <w:rPr>
                <w:rFonts w:hint="default" w:ascii="Times New Roman" w:hAnsi="Times New Roman" w:cs="Times New Roman"/>
                <w:b w:val="0"/>
                <w:bCs w:val="0"/>
                <w:color w:val="000000"/>
                <w:highlight w:val="none"/>
                <w:vertAlign w:val="subscript"/>
                <w:lang w:val="en-US" w:eastAsia="zh-CN"/>
              </w:rPr>
              <w:t>2</w:t>
            </w:r>
            <w:r>
              <w:rPr>
                <w:rFonts w:hint="default" w:ascii="Times New Roman" w:hAnsi="Times New Roman" w:cs="Times New Roman"/>
                <w:b w:val="0"/>
                <w:bCs w:val="0"/>
                <w:color w:val="000000"/>
                <w:highlight w:val="none"/>
                <w:lang w:val="en-US" w:eastAsia="zh-CN"/>
              </w:rPr>
              <w:t>、NO</w:t>
            </w:r>
            <w:r>
              <w:rPr>
                <w:rFonts w:hint="default" w:ascii="Times New Roman" w:hAnsi="Times New Roman" w:cs="Times New Roman"/>
                <w:b w:val="0"/>
                <w:bCs w:val="0"/>
                <w:color w:val="000000"/>
                <w:highlight w:val="none"/>
                <w:vertAlign w:val="subscript"/>
                <w:lang w:val="en-US" w:eastAsia="zh-CN"/>
              </w:rPr>
              <w:t>X</w:t>
            </w:r>
            <w:r>
              <w:rPr>
                <w:rFonts w:hint="default" w:ascii="Times New Roman" w:hAnsi="Times New Roman" w:cs="Times New Roman"/>
                <w:b w:val="0"/>
                <w:bCs w:val="0"/>
                <w:color w:val="000000"/>
                <w:highlight w:val="none"/>
                <w:lang w:val="en-US" w:eastAsia="zh-CN"/>
              </w:rPr>
              <w:t>、CO、颗粒物等，排放废气时间短暂，废气污染物的产生源强较小；卸渔区</w:t>
            </w:r>
            <w:r>
              <w:rPr>
                <w:rFonts w:hint="default" w:ascii="Times New Roman" w:hAnsi="Times New Roman" w:cs="Times New Roman"/>
                <w:b w:val="0"/>
                <w:bCs w:val="0"/>
                <w:color w:val="000000"/>
                <w:highlight w:val="none"/>
              </w:rPr>
              <w:t>每天均进行</w:t>
            </w:r>
            <w:r>
              <w:rPr>
                <w:rFonts w:hint="default" w:ascii="Times New Roman" w:hAnsi="Times New Roman" w:cs="Times New Roman"/>
                <w:b w:val="0"/>
                <w:bCs w:val="0"/>
                <w:color w:val="000000"/>
                <w:highlight w:val="none"/>
                <w:lang w:val="en-US" w:eastAsia="zh-CN"/>
              </w:rPr>
              <w:t>冲洗</w:t>
            </w:r>
            <w:r>
              <w:rPr>
                <w:rFonts w:hint="default" w:ascii="Times New Roman" w:hAnsi="Times New Roman" w:cs="Times New Roman"/>
                <w:b w:val="0"/>
                <w:bCs w:val="0"/>
                <w:color w:val="000000"/>
                <w:highlight w:val="none"/>
              </w:rPr>
              <w:t>，渔货废弃物每日清运，恶臭气体产生量较少</w:t>
            </w:r>
            <w:r>
              <w:rPr>
                <w:rFonts w:hint="default" w:ascii="Times New Roman" w:hAnsi="Times New Roman" w:cs="Times New Roman"/>
                <w:b w:val="0"/>
                <w:bCs w:val="0"/>
                <w:color w:val="000000"/>
                <w:highlight w:val="none"/>
                <w:lang w:eastAsia="zh-CN"/>
              </w:rPr>
              <w:t>；</w:t>
            </w:r>
            <w:r>
              <w:rPr>
                <w:rFonts w:hint="default" w:ascii="Times New Roman" w:hAnsi="Times New Roman" w:cs="Times New Roman"/>
                <w:color w:val="000000"/>
                <w:highlight w:val="none"/>
                <w:lang w:val="en-US" w:eastAsia="zh-CN"/>
              </w:rPr>
              <w:t>污水处理站</w:t>
            </w:r>
            <w:r>
              <w:rPr>
                <w:rFonts w:hint="default" w:ascii="Times New Roman" w:hAnsi="Times New Roman" w:cs="Times New Roman"/>
                <w:color w:val="000000"/>
                <w:highlight w:val="none"/>
                <w:lang w:eastAsia="zh-CN"/>
              </w:rPr>
              <w:t>恶臭气体产生量较小，并且污水处理设施为埋地式结构，加盖密闭处理，恶臭气体不易外漏，恶臭对环境影响较小；</w:t>
            </w:r>
            <w:r>
              <w:rPr>
                <w:rFonts w:hint="default" w:ascii="Times New Roman" w:hAnsi="Times New Roman" w:cs="Times New Roman"/>
                <w:b w:val="0"/>
                <w:bCs w:val="0"/>
                <w:color w:val="000000"/>
                <w:highlight w:val="none"/>
                <w:lang w:val="en-US" w:eastAsia="zh-CN"/>
              </w:rPr>
              <w:t>食堂油烟</w:t>
            </w:r>
            <w:r>
              <w:rPr>
                <w:rFonts w:hint="default" w:ascii="Times New Roman" w:hAnsi="Times New Roman" w:cs="Times New Roman"/>
                <w:color w:val="000000"/>
                <w:highlight w:val="none"/>
                <w:u w:val="none"/>
                <w:lang w:val="en-US" w:eastAsia="zh-CN"/>
              </w:rPr>
              <w:t>经油烟净化装置处理后至屋顶天面排放。</w:t>
            </w:r>
            <w:r>
              <w:rPr>
                <w:rFonts w:hint="default" w:ascii="Times New Roman" w:hAnsi="Times New Roman" w:cs="Times New Roman"/>
                <w:color w:val="000000"/>
                <w:highlight w:val="none"/>
                <w:lang w:eastAsia="zh-CN"/>
              </w:rPr>
              <w:t>项目区大气流动性较好，排放的废气易被海面的风迅速扩散、稀释，对环境影响较小</w:t>
            </w:r>
            <w:r>
              <w:rPr>
                <w:rFonts w:hint="default" w:ascii="Times New Roman" w:hAnsi="Times New Roman" w:cs="Times New Roman"/>
                <w:b w:val="0"/>
                <w:bCs w:val="0"/>
                <w:color w:val="000000"/>
                <w:highlight w:val="none"/>
                <w:lang w:val="en-US" w:eastAsia="zh-CN"/>
              </w:rPr>
              <w:t>。</w:t>
            </w:r>
          </w:p>
          <w:p w14:paraId="238BA7AF">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运营期噪声主要为渔船、车辆噪声、装卸噪声及机械设备噪声，运营期选用技术先进、性能质量良好的低声级设备，加强动力机械设备的检修与维护，</w:t>
            </w:r>
            <w:r>
              <w:rPr>
                <w:rFonts w:hint="default" w:ascii="Times New Roman" w:hAnsi="Times New Roman" w:cs="Times New Roman"/>
                <w:color w:val="000000"/>
                <w:highlight w:val="none"/>
              </w:rPr>
              <w:t>本工程码头泊位距离周边居民区约</w:t>
            </w:r>
            <w:r>
              <w:rPr>
                <w:rFonts w:hint="default" w:ascii="Times New Roman" w:hAnsi="Times New Roman" w:cs="Times New Roman"/>
                <w:color w:val="000000"/>
                <w:highlight w:val="none"/>
                <w:lang w:val="en-US" w:eastAsia="zh-CN"/>
              </w:rPr>
              <w:t>493</w:t>
            </w:r>
            <w:r>
              <w:rPr>
                <w:rFonts w:hint="default" w:ascii="Times New Roman" w:hAnsi="Times New Roman" w:cs="Times New Roman"/>
                <w:color w:val="000000"/>
                <w:highlight w:val="none"/>
              </w:rPr>
              <w:t>m</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船舶噪声对港界外声环境基本没有影响。</w:t>
            </w:r>
          </w:p>
          <w:p w14:paraId="6DB428AF">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综上所述，</w:t>
            </w:r>
            <w:r>
              <w:rPr>
                <w:rFonts w:hint="default" w:ascii="Times New Roman" w:hAnsi="Times New Roman" w:cs="Times New Roman"/>
                <w:color w:val="000000"/>
                <w:highlight w:val="none"/>
                <w:lang w:eastAsia="zh-CN"/>
              </w:rPr>
              <w:t>在落实本报告提出的环保措施的前提下，本工程环境影响是可接受的，不会突破区域环境质量底线。</w:t>
            </w:r>
          </w:p>
          <w:p w14:paraId="333A244F">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eastAsia="宋体" w:cs="Times New Roman"/>
                <w:b/>
                <w:bCs/>
                <w:color w:val="000000"/>
                <w:highlight w:val="none"/>
                <w:lang w:eastAsia="zh-CN"/>
              </w:rPr>
            </w:pP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3</w:t>
            </w:r>
            <w:r>
              <w:rPr>
                <w:rFonts w:hint="default" w:ascii="Times New Roman" w:hAnsi="Times New Roman" w:cs="Times New Roman"/>
                <w:b/>
                <w:bCs/>
                <w:color w:val="000000"/>
                <w:highlight w:val="none"/>
                <w:lang w:eastAsia="zh-CN"/>
              </w:rPr>
              <w:t>）资源利用上线</w:t>
            </w:r>
          </w:p>
          <w:p w14:paraId="0D3C404C">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rPr>
              <w:t>本工程为渔业基础设施建设工程，施工期及运营期用水、用电</w:t>
            </w:r>
            <w:r>
              <w:rPr>
                <w:rFonts w:hint="default" w:ascii="Times New Roman" w:hAnsi="Times New Roman" w:cs="Times New Roman"/>
                <w:color w:val="000000"/>
                <w:highlight w:val="none"/>
                <w:lang w:val="en-US" w:eastAsia="zh-CN"/>
              </w:rPr>
              <w:t>等依靠陆域且用量较少；运营期船用燃料应使用低硫柴油，衔接全国渔港发展方向。项目用地为渔港后方陆域，为渔港规划用地，不会突破土地资源利用上线。项目建设占用人工岸线26.6m，不占用自然岸线，不形成新的岸线。</w:t>
            </w:r>
          </w:p>
          <w:p w14:paraId="1B050CB4">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eastAsia="宋体" w:cs="Times New Roman"/>
                <w:b/>
                <w:bCs/>
                <w:color w:val="000000"/>
                <w:highlight w:val="none"/>
                <w:lang w:eastAsia="zh-CN"/>
              </w:rPr>
            </w:pP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4</w:t>
            </w:r>
            <w:r>
              <w:rPr>
                <w:rFonts w:hint="default" w:ascii="Times New Roman" w:hAnsi="Times New Roman" w:cs="Times New Roman"/>
                <w:b/>
                <w:bCs/>
                <w:color w:val="000000"/>
                <w:highlight w:val="none"/>
                <w:lang w:eastAsia="zh-CN"/>
              </w:rPr>
              <w:t>）生态环境准入清单</w:t>
            </w:r>
          </w:p>
          <w:p w14:paraId="21EB5468">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根据《福州市生态环境局关于发布福州市2024年生态环境分区管控动态更新成果的通知》（榕环保综〔2025〕1号），以及“福建省生态环境分区管控数据应用平台”查询结果（附件</w:t>
            </w:r>
            <w:r>
              <w:rPr>
                <w:rFonts w:hint="eastAsia" w:cs="Times New Roman"/>
                <w:color w:val="000000"/>
                <w:highlight w:val="none"/>
                <w:lang w:val="en-US" w:eastAsia="zh-CN"/>
              </w:rPr>
              <w:t>24</w:t>
            </w:r>
            <w:r>
              <w:rPr>
                <w:rFonts w:hint="default" w:ascii="Times New Roman" w:hAnsi="Times New Roman" w:cs="Times New Roman"/>
                <w:color w:val="000000"/>
                <w:highlight w:val="none"/>
                <w:lang w:val="en-US" w:eastAsia="zh-CN"/>
              </w:rPr>
              <w:t>），本项目位于“ZH35018120008福清市重点管控单元1”“HY35010020008福清湾及海坛岛周边海域渔业用海区”。</w:t>
            </w:r>
          </w:p>
          <w:p w14:paraId="24CE54A0">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rPr>
              <w:t>项目与</w:t>
            </w:r>
            <w:r>
              <w:rPr>
                <w:rFonts w:hint="default" w:ascii="Times New Roman" w:hAnsi="Times New Roman" w:cs="Times New Roman"/>
                <w:color w:val="000000"/>
                <w:highlight w:val="none"/>
                <w:lang w:val="en-US" w:eastAsia="zh-CN"/>
              </w:rPr>
              <w:t>福州市</w:t>
            </w:r>
            <w:r>
              <w:rPr>
                <w:rFonts w:hint="default" w:ascii="Times New Roman" w:hAnsi="Times New Roman" w:cs="Times New Roman"/>
                <w:color w:val="000000"/>
                <w:highlight w:val="none"/>
              </w:rPr>
              <w:t>生态环境总体准入要求符合性分析见</w:t>
            </w:r>
            <w:r>
              <w:rPr>
                <w:rFonts w:hint="default" w:ascii="Times New Roman" w:hAnsi="Times New Roman" w:cs="Times New Roman"/>
                <w:color w:val="000000"/>
                <w:highlight w:val="none"/>
                <w:lang w:eastAsia="zh-CN"/>
              </w:rPr>
              <w:fldChar w:fldCharType="begin"/>
            </w:r>
            <w:r>
              <w:rPr>
                <w:rFonts w:hint="default" w:ascii="Times New Roman" w:hAnsi="Times New Roman" w:cs="Times New Roman"/>
                <w:color w:val="000000"/>
                <w:highlight w:val="none"/>
                <w:lang w:eastAsia="zh-CN"/>
              </w:rPr>
              <w:instrText xml:space="preserve"> REF _Ref23554 \h </w:instrText>
            </w:r>
            <w:r>
              <w:rPr>
                <w:rFonts w:hint="default" w:ascii="Times New Roman" w:hAnsi="Times New Roman" w:cs="Times New Roman"/>
                <w:color w:val="000000"/>
                <w:highlight w:val="none"/>
                <w:lang w:eastAsia="zh-CN"/>
              </w:rPr>
              <w:fldChar w:fldCharType="separate"/>
            </w:r>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1.2</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5</w:t>
            </w:r>
            <w:r>
              <w:rPr>
                <w:rFonts w:hint="default" w:ascii="Times New Roman" w:hAnsi="Times New Roman" w:cs="Times New Roman"/>
                <w:color w:val="000000"/>
                <w:highlight w:val="none"/>
                <w:lang w:eastAsia="zh-CN"/>
              </w:rPr>
              <w:fldChar w:fldCharType="end"/>
            </w:r>
            <w:r>
              <w:rPr>
                <w:rFonts w:hint="default" w:ascii="Times New Roman" w:hAnsi="Times New Roman" w:cs="Times New Roman"/>
                <w:color w:val="000000"/>
                <w:highlight w:val="none"/>
                <w:lang w:eastAsia="zh-CN"/>
              </w:rPr>
              <w:t>，项目与近岸海域生态环境准入清单、福清市生态环境准入清单符合性分析见</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REF _Ref10320 \h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1.2</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6</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eastAsia="zh-CN"/>
              </w:rPr>
              <w:fldChar w:fldCharType="begin"/>
            </w:r>
            <w:r>
              <w:rPr>
                <w:rFonts w:hint="default" w:ascii="Times New Roman" w:hAnsi="Times New Roman" w:cs="Times New Roman"/>
                <w:color w:val="000000"/>
                <w:highlight w:val="none"/>
                <w:lang w:eastAsia="zh-CN"/>
              </w:rPr>
              <w:fldChar w:fldCharType="separate"/>
            </w:r>
            <w:r>
              <w:rPr>
                <w:rFonts w:hint="default" w:ascii="Times New Roman" w:hAnsi="Times New Roman" w:cs="Times New Roman"/>
                <w:color w:val="000000"/>
                <w:highlight w:val="none"/>
                <w:lang w:eastAsia="zh-CN"/>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本项目在</w:t>
            </w:r>
            <w:r>
              <w:rPr>
                <w:rFonts w:hint="default" w:ascii="Times New Roman" w:hAnsi="Times New Roman" w:cs="Times New Roman"/>
                <w:color w:val="000000"/>
                <w:highlight w:val="none"/>
              </w:rPr>
              <w:t>福州市生态环境管控单元图</w:t>
            </w:r>
            <w:r>
              <w:rPr>
                <w:rFonts w:hint="default" w:ascii="Times New Roman" w:hAnsi="Times New Roman" w:cs="Times New Roman"/>
                <w:color w:val="000000"/>
                <w:highlight w:val="none"/>
                <w:lang w:val="en-US" w:eastAsia="zh-CN"/>
              </w:rPr>
              <w:t>的位置见</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REF _Ref16631 \h </w:instrText>
            </w:r>
            <w:r>
              <w:rPr>
                <w:rFonts w:hint="default" w:ascii="Times New Roman" w:hAnsi="Times New Roman" w:cs="Times New Roman"/>
                <w:color w:val="000000"/>
                <w:highlight w:val="none"/>
                <w:lang w:val="en-US" w:eastAsia="zh-CN"/>
              </w:rPr>
              <w:fldChar w:fldCharType="separate"/>
            </w:r>
            <w:r>
              <w:rPr>
                <w:rFonts w:hint="default"/>
              </w:rPr>
              <w:t>图</w:t>
            </w:r>
            <w:r>
              <w:rPr>
                <w:rFonts w:hint="default"/>
              </w:rPr>
              <w:fldChar w:fldCharType="begin"/>
            </w:r>
            <w:r>
              <w:rPr>
                <w:rFonts w:hint="default"/>
              </w:rPr>
              <w:instrText xml:space="preserve"> STYLEREF 2 \s </w:instrText>
            </w:r>
            <w:r>
              <w:rPr>
                <w:rFonts w:hint="default"/>
              </w:rPr>
              <w:fldChar w:fldCharType="separate"/>
            </w:r>
            <w:r>
              <w:rPr>
                <w:rFonts w:hint="default"/>
              </w:rPr>
              <w:t>1.2</w:t>
            </w:r>
            <w:r>
              <w:rPr>
                <w:rFonts w:hint="default"/>
              </w:rPr>
              <w:fldChar w:fldCharType="end"/>
            </w:r>
            <w:r>
              <w:rPr>
                <w:rFonts w:hint="default"/>
                <w:lang w:eastAsia="zh-CN"/>
              </w:rPr>
              <w:t>-</w:t>
            </w:r>
            <w:r>
              <w:rPr>
                <w:rFonts w:hint="default"/>
              </w:rPr>
              <w:t>9</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val="en-US" w:eastAsia="zh-CN"/>
              </w:rPr>
              <w:t>、</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REF _Ref30877 \h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rPr>
              <w:t>图</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1.2</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10</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eastAsia="zh-CN"/>
              </w:rPr>
              <w:t>。</w:t>
            </w:r>
          </w:p>
          <w:p w14:paraId="0165A5EE">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本项目建设符合</w:t>
            </w:r>
            <w:r>
              <w:rPr>
                <w:rFonts w:hint="default" w:ascii="Times New Roman" w:hAnsi="Times New Roman" w:cs="Times New Roman"/>
                <w:color w:val="000000"/>
                <w:highlight w:val="none"/>
                <w:lang w:val="en-US" w:eastAsia="zh-CN"/>
              </w:rPr>
              <w:t>《福州市2024年生态环境分区管控动态更新成果》</w:t>
            </w:r>
            <w:r>
              <w:rPr>
                <w:rFonts w:hint="default" w:ascii="Times New Roman" w:hAnsi="Times New Roman" w:cs="Times New Roman"/>
                <w:color w:val="000000"/>
                <w:highlight w:val="none"/>
              </w:rPr>
              <w:t>的准入要求。</w:t>
            </w:r>
            <w:r>
              <w:rPr>
                <w:rFonts w:hint="default" w:ascii="Times New Roman" w:hAnsi="Times New Roman" w:cs="Times New Roman"/>
                <w:b w:val="0"/>
                <w:bCs w:val="0"/>
                <w:color w:val="000000"/>
                <w:highlight w:val="none"/>
                <w:lang w:val="en-US" w:eastAsia="zh-CN"/>
              </w:rPr>
              <w:t>本项目为福清市海亮沃口一级渔港</w:t>
            </w:r>
            <w:r>
              <w:rPr>
                <w:rFonts w:hint="eastAsia" w:cs="Times New Roman"/>
                <w:color w:val="000000"/>
                <w:highlight w:val="none"/>
                <w:lang w:val="en-US" w:eastAsia="zh-CN"/>
              </w:rPr>
              <w:t>工程</w:t>
            </w:r>
            <w:r>
              <w:rPr>
                <w:rFonts w:hint="default" w:ascii="Times New Roman" w:hAnsi="Times New Roman" w:cs="Times New Roman"/>
                <w:b w:val="0"/>
                <w:bCs w:val="0"/>
                <w:color w:val="000000"/>
                <w:highlight w:val="none"/>
                <w:lang w:val="en-US" w:eastAsia="zh-CN"/>
              </w:rPr>
              <w:t>，属于渔业基础设施建设</w:t>
            </w:r>
            <w:r>
              <w:rPr>
                <w:rFonts w:hint="default" w:ascii="Times New Roman" w:hAnsi="Times New Roman" w:cs="Times New Roman"/>
                <w:color w:val="000000"/>
                <w:highlight w:val="none"/>
              </w:rPr>
              <w:t>，</w:t>
            </w:r>
            <w:r>
              <w:rPr>
                <w:rFonts w:hint="default" w:ascii="Times New Roman" w:hAnsi="Times New Roman" w:cs="Times New Roman"/>
                <w:color w:val="000000"/>
                <w:highlight w:val="none"/>
                <w:lang w:val="en-US" w:eastAsia="zh-CN"/>
              </w:rPr>
              <w:t>为</w:t>
            </w:r>
            <w:r>
              <w:rPr>
                <w:rFonts w:hint="default" w:ascii="Times New Roman" w:hAnsi="Times New Roman" w:cs="Times New Roman"/>
                <w:color w:val="000000"/>
                <w:highlight w:val="none"/>
              </w:rPr>
              <w:t>公益性项目</w:t>
            </w:r>
            <w:r>
              <w:rPr>
                <w:rFonts w:hint="default" w:ascii="Times New Roman" w:hAnsi="Times New Roman" w:cs="Times New Roman"/>
                <w:b w:val="0"/>
                <w:bCs w:val="0"/>
                <w:color w:val="000000"/>
                <w:highlight w:val="none"/>
                <w:lang w:val="en-US" w:eastAsia="zh-CN"/>
              </w:rPr>
              <w:t>。本项目的建设能够进一步提升当地</w:t>
            </w:r>
            <w:r>
              <w:rPr>
                <w:rFonts w:hint="default" w:ascii="Times New Roman" w:hAnsi="Times New Roman" w:cs="Times New Roman"/>
                <w:color w:val="000000"/>
                <w:highlight w:val="none"/>
                <w:lang w:val="en-US" w:eastAsia="zh-CN"/>
              </w:rPr>
              <w:t>渔业防灾减灾能力，促进海洋渔业持续健康发展，加快形成渔港经济区。</w:t>
            </w:r>
          </w:p>
          <w:p w14:paraId="5781B28D">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lang w:val="en-US" w:eastAsia="zh-CN"/>
              </w:rPr>
            </w:pPr>
            <w:r>
              <w:rPr>
                <w:rFonts w:hint="default" w:ascii="Times New Roman" w:hAnsi="Times New Roman" w:cs="Times New Roman"/>
                <w:color w:val="000000"/>
                <w:highlight w:val="none"/>
              </w:rPr>
              <w:t>综上所述，本项目的建设可满足生态保护红线、环境质量底线、资源利用上线和环境准入清单的要求。因此，工程建设符合</w:t>
            </w:r>
            <w:r>
              <w:rPr>
                <w:rFonts w:hint="default" w:ascii="Times New Roman" w:hAnsi="Times New Roman" w:cs="Times New Roman"/>
                <w:color w:val="000000"/>
                <w:highlight w:val="none"/>
                <w:lang w:val="en-US" w:eastAsia="zh-CN"/>
              </w:rPr>
              <w:t>福州市2024年生态环境分区管控动态更新成果的</w:t>
            </w:r>
            <w:r>
              <w:rPr>
                <w:rFonts w:hint="default" w:ascii="Times New Roman" w:hAnsi="Times New Roman" w:cs="Times New Roman"/>
                <w:color w:val="000000"/>
                <w:highlight w:val="none"/>
              </w:rPr>
              <w:t>要求</w:t>
            </w:r>
            <w:r>
              <w:rPr>
                <w:rFonts w:hint="default" w:ascii="Times New Roman" w:hAnsi="Times New Roman" w:cs="Times New Roman"/>
                <w:color w:val="000000"/>
                <w:highlight w:val="none"/>
                <w:lang w:eastAsia="zh-CN"/>
              </w:rPr>
              <w:t>。</w:t>
            </w:r>
          </w:p>
        </w:tc>
      </w:tr>
    </w:tbl>
    <w:p w14:paraId="16C1E694">
      <w:pPr>
        <w:bidi w:val="0"/>
        <w:rPr>
          <w:rFonts w:hint="default" w:ascii="Times New Roman" w:hAnsi="Times New Roman" w:cs="Times New Roman"/>
          <w:color w:val="000000"/>
          <w:u w:val="none"/>
        </w:rPr>
        <w:sectPr>
          <w:pgSz w:w="11906" w:h="16838"/>
          <w:pgMar w:top="1701" w:right="1531" w:bottom="1701" w:left="1531" w:header="851" w:footer="1077" w:gutter="0"/>
          <w:pgNumType w:fmt="decimal"/>
          <w:cols w:space="720" w:num="1"/>
          <w:docGrid w:linePitch="312" w:charSpace="0"/>
        </w:sectPr>
      </w:pPr>
    </w:p>
    <w:tbl>
      <w:tblPr>
        <w:tblStyle w:val="22"/>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08" w:type="dxa"/>
          <w:left w:w="108" w:type="dxa"/>
          <w:bottom w:w="108" w:type="dxa"/>
          <w:right w:w="108" w:type="dxa"/>
        </w:tblCellMar>
      </w:tblPr>
      <w:tblGrid>
        <w:gridCol w:w="699"/>
        <w:gridCol w:w="12948"/>
      </w:tblGrid>
      <w:tr w14:paraId="27DAFE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8" w:type="dxa"/>
            <w:left w:w="108" w:type="dxa"/>
            <w:bottom w:w="108" w:type="dxa"/>
            <w:right w:w="108" w:type="dxa"/>
          </w:tblCellMar>
        </w:tblPrEx>
        <w:tc>
          <w:tcPr>
            <w:tcW w:w="256" w:type="pct"/>
            <w:noWrap w:val="0"/>
            <w:vAlign w:val="center"/>
          </w:tcPr>
          <w:p w14:paraId="7F3EF37D">
            <w:pPr>
              <w:spacing w:line="360" w:lineRule="auto"/>
              <w:jc w:val="center"/>
              <w:outlineLvl w:val="0"/>
              <w:rPr>
                <w:rFonts w:hint="default" w:ascii="Times New Roman" w:hAnsi="Times New Roman" w:eastAsia="黑体" w:cs="Times New Roman"/>
                <w:color w:val="000000"/>
                <w:sz w:val="30"/>
                <w:u w:val="none"/>
                <w:vertAlign w:val="baseline"/>
              </w:rPr>
            </w:pPr>
            <w:bookmarkStart w:id="112" w:name="_Toc7848"/>
            <w:bookmarkStart w:id="113" w:name="_Toc858"/>
            <w:bookmarkStart w:id="114" w:name="_Toc6586"/>
            <w:bookmarkStart w:id="115" w:name="_Toc3575"/>
            <w:bookmarkStart w:id="116" w:name="_Toc19589"/>
            <w:bookmarkStart w:id="117" w:name="_Toc14293"/>
            <w:bookmarkStart w:id="118" w:name="_Toc10205"/>
            <w:bookmarkStart w:id="119" w:name="_Toc20083"/>
            <w:bookmarkStart w:id="120" w:name="_Toc11754"/>
            <w:r>
              <w:rPr>
                <w:rFonts w:hint="default" w:ascii="Times New Roman" w:hAnsi="Times New Roman" w:cs="Times New Roman"/>
                <w:color w:val="000000"/>
                <w:kern w:val="0"/>
                <w:szCs w:val="21"/>
                <w:u w:val="none"/>
              </w:rPr>
              <w:t>其他符合性分析</w:t>
            </w:r>
            <w:bookmarkEnd w:id="112"/>
            <w:bookmarkEnd w:id="113"/>
            <w:bookmarkEnd w:id="114"/>
            <w:bookmarkEnd w:id="115"/>
            <w:bookmarkEnd w:id="116"/>
            <w:bookmarkEnd w:id="117"/>
            <w:bookmarkEnd w:id="118"/>
            <w:bookmarkEnd w:id="119"/>
            <w:bookmarkEnd w:id="120"/>
          </w:p>
        </w:tc>
        <w:tc>
          <w:tcPr>
            <w:tcW w:w="4743" w:type="pct"/>
            <w:noWrap w:val="0"/>
            <w:vAlign w:val="top"/>
          </w:tcPr>
          <w:p w14:paraId="377B468D">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drawing>
                <wp:inline distT="0" distB="0" distL="114300" distR="114300">
                  <wp:extent cx="7563485" cy="5219700"/>
                  <wp:effectExtent l="0" t="0" r="18415" b="0"/>
                  <wp:docPr id="171" name="图片 631" descr="图3.4-9 福州市生态环境管控分布示意图（2024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631" descr="图3.4-9 福州市生态环境管控分布示意图（2024版）"/>
                          <pic:cNvPicPr>
                            <a:picLocks noChangeAspect="1"/>
                          </pic:cNvPicPr>
                        </pic:nvPicPr>
                        <pic:blipFill>
                          <a:blip r:embed="rId14"/>
                          <a:stretch>
                            <a:fillRect/>
                          </a:stretch>
                        </pic:blipFill>
                        <pic:spPr>
                          <a:xfrm>
                            <a:off x="0" y="0"/>
                            <a:ext cx="7563485" cy="5219700"/>
                          </a:xfrm>
                          <a:prstGeom prst="rect">
                            <a:avLst/>
                          </a:prstGeom>
                          <a:noFill/>
                          <a:ln>
                            <a:noFill/>
                          </a:ln>
                        </pic:spPr>
                      </pic:pic>
                    </a:graphicData>
                  </a:graphic>
                </wp:inline>
              </w:drawing>
            </w:r>
          </w:p>
          <w:p w14:paraId="3C93DB47">
            <w:pPr>
              <w:pStyle w:val="30"/>
              <w:bidi w:val="0"/>
              <w:rPr>
                <w:rFonts w:hint="default"/>
                <w:lang w:val="en-US" w:eastAsia="zh-CN"/>
              </w:rPr>
            </w:pPr>
            <w:bookmarkStart w:id="121" w:name="_Ref16631"/>
            <w:r>
              <w:rPr>
                <w:rFonts w:hint="default"/>
              </w:rPr>
              <w:t>图</w:t>
            </w:r>
            <w:r>
              <w:rPr>
                <w:rFonts w:hint="default"/>
              </w:rPr>
              <w:fldChar w:fldCharType="begin"/>
            </w:r>
            <w:r>
              <w:rPr>
                <w:rFonts w:hint="default"/>
              </w:rPr>
              <w:instrText xml:space="preserve"> STYLEREF 2 \s </w:instrText>
            </w:r>
            <w:r>
              <w:rPr>
                <w:rFonts w:hint="default"/>
              </w:rPr>
              <w:fldChar w:fldCharType="separate"/>
            </w:r>
            <w:r>
              <w:rPr>
                <w:rFonts w:hint="default"/>
              </w:rPr>
              <w:t>1.2</w:t>
            </w:r>
            <w:r>
              <w:rPr>
                <w:rFonts w:hint="default"/>
              </w:rPr>
              <w:fldChar w:fldCharType="end"/>
            </w:r>
            <w:r>
              <w:rPr>
                <w:rFonts w:hint="default"/>
                <w:lang w:eastAsia="zh-CN"/>
              </w:rPr>
              <w:t>-</w:t>
            </w:r>
            <w:r>
              <w:rPr>
                <w:rFonts w:hint="default"/>
              </w:rPr>
              <w:fldChar w:fldCharType="begin"/>
            </w:r>
            <w:r>
              <w:rPr>
                <w:rFonts w:hint="default"/>
              </w:rPr>
              <w:instrText xml:space="preserve"> SEQ 图 \* ARABIC \s 2 </w:instrText>
            </w:r>
            <w:r>
              <w:rPr>
                <w:rFonts w:hint="default"/>
              </w:rPr>
              <w:fldChar w:fldCharType="separate"/>
            </w:r>
            <w:r>
              <w:rPr>
                <w:rFonts w:hint="default"/>
              </w:rPr>
              <w:t>9</w:t>
            </w:r>
            <w:r>
              <w:rPr>
                <w:rFonts w:hint="default"/>
              </w:rPr>
              <w:fldChar w:fldCharType="end"/>
            </w:r>
            <w:bookmarkEnd w:id="121"/>
            <w:r>
              <w:rPr>
                <w:rFonts w:hint="default"/>
                <w:lang w:val="en-US" w:eastAsia="zh-CN"/>
              </w:rPr>
              <w:t xml:space="preserve"> 福州市生态环境管控分布示意图（2024版）</w:t>
            </w:r>
          </w:p>
          <w:p w14:paraId="3F7D37EB">
            <w:pPr>
              <w:pStyle w:val="31"/>
              <w:bidi w:val="0"/>
              <w:rPr>
                <w:rFonts w:hint="default"/>
                <w:lang w:val="en-US" w:eastAsia="zh-CN"/>
              </w:rPr>
            </w:pPr>
            <w:r>
              <w:rPr>
                <w:rFonts w:hint="eastAsia"/>
                <w:lang w:val="en-US" w:eastAsia="zh-CN"/>
              </w:rPr>
              <w:t>（涉密删除）</w:t>
            </w:r>
          </w:p>
          <w:p w14:paraId="5D9FA89C">
            <w:pPr>
              <w:pStyle w:val="30"/>
              <w:bidi w:val="0"/>
              <w:rPr>
                <w:rFonts w:hint="default"/>
                <w:lang w:val="en-US" w:eastAsia="zh-CN"/>
              </w:rPr>
            </w:pPr>
            <w:bookmarkStart w:id="122" w:name="_Ref30877"/>
            <w:r>
              <w:rPr>
                <w:rFonts w:hint="default" w:ascii="Times New Roman" w:hAnsi="Times New Roman" w:cs="Times New Roman"/>
                <w:color w:val="000000"/>
                <w:highlight w:val="none"/>
              </w:rPr>
              <w:t>图</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1.2</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图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10</w:t>
            </w:r>
            <w:r>
              <w:rPr>
                <w:rFonts w:hint="default" w:ascii="Times New Roman" w:hAnsi="Times New Roman" w:cs="Times New Roman"/>
                <w:color w:val="000000"/>
                <w:highlight w:val="none"/>
              </w:rPr>
              <w:fldChar w:fldCharType="end"/>
            </w:r>
            <w:bookmarkEnd w:id="122"/>
            <w:r>
              <w:rPr>
                <w:rFonts w:hint="default" w:ascii="Times New Roman" w:hAnsi="Times New Roman" w:cs="Times New Roman"/>
                <w:color w:val="000000"/>
                <w:highlight w:val="none"/>
                <w:lang w:val="en-US" w:eastAsia="zh-CN"/>
              </w:rPr>
              <w:t xml:space="preserve"> 福州市生态环境分区管控动态更新成果叠图</w:t>
            </w:r>
          </w:p>
          <w:p w14:paraId="2CBCBF87">
            <w:pPr>
              <w:pStyle w:val="30"/>
              <w:bidi w:val="0"/>
              <w:rPr>
                <w:rFonts w:hint="default" w:ascii="Times New Roman" w:hAnsi="Times New Roman" w:cs="Times New Roman"/>
                <w:color w:val="000000"/>
                <w:highlight w:val="none"/>
                <w:lang w:val="en-US" w:eastAsia="zh-CN"/>
              </w:rPr>
            </w:pPr>
            <w:bookmarkStart w:id="123" w:name="_Ref23554"/>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1.2</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表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5</w:t>
            </w:r>
            <w:r>
              <w:rPr>
                <w:rFonts w:hint="default" w:ascii="Times New Roman" w:hAnsi="Times New Roman" w:cs="Times New Roman"/>
                <w:color w:val="000000"/>
                <w:highlight w:val="none"/>
              </w:rPr>
              <w:fldChar w:fldCharType="end"/>
            </w:r>
            <w:bookmarkEnd w:id="123"/>
            <w:r>
              <w:rPr>
                <w:rFonts w:hint="default" w:ascii="Times New Roman" w:hAnsi="Times New Roman" w:cs="Times New Roman"/>
                <w:color w:val="000000"/>
                <w:highlight w:val="none"/>
                <w:lang w:val="en-US" w:eastAsia="zh-CN"/>
              </w:rPr>
              <w:t xml:space="preserve"> 与福州市生态环境总体准入要求符合性分析</w:t>
            </w:r>
          </w:p>
          <w:tbl>
            <w:tblPr>
              <w:tblStyle w:val="22"/>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1"/>
              <w:gridCol w:w="585"/>
              <w:gridCol w:w="7448"/>
              <w:gridCol w:w="3346"/>
              <w:gridCol w:w="684"/>
            </w:tblGrid>
            <w:tr w14:paraId="0BABA6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256" w:type="pct"/>
                  <w:noWrap w:val="0"/>
                  <w:vAlign w:val="center"/>
                </w:tcPr>
                <w:p w14:paraId="39206E91">
                  <w:pPr>
                    <w:pStyle w:val="31"/>
                    <w:bidi w:val="0"/>
                    <w:jc w:val="center"/>
                    <w:rPr>
                      <w:rFonts w:hint="default" w:ascii="Times New Roman" w:hAnsi="Times New Roman" w:eastAsia="宋体" w:cs="Times New Roman"/>
                      <w:b/>
                      <w:bCs/>
                      <w:color w:val="000000"/>
                      <w:highlight w:val="none"/>
                      <w:lang w:val="en-US" w:eastAsia="zh-CN"/>
                    </w:rPr>
                  </w:pPr>
                  <w:bookmarkStart w:id="124" w:name="_Ref23557"/>
                  <w:r>
                    <w:rPr>
                      <w:rFonts w:hint="default" w:ascii="Times New Roman" w:hAnsi="Times New Roman" w:cs="Times New Roman"/>
                      <w:b/>
                      <w:bCs/>
                      <w:color w:val="000000"/>
                      <w:highlight w:val="none"/>
                      <w:lang w:val="en-US" w:eastAsia="zh-CN"/>
                    </w:rPr>
                    <w:t>适用范围</w:t>
                  </w:r>
                </w:p>
              </w:tc>
              <w:tc>
                <w:tcPr>
                  <w:tcW w:w="3159" w:type="pct"/>
                  <w:gridSpan w:val="2"/>
                  <w:noWrap w:val="0"/>
                  <w:vAlign w:val="center"/>
                </w:tcPr>
                <w:p w14:paraId="4FD789BF">
                  <w:pPr>
                    <w:pStyle w:val="31"/>
                    <w:bidi w:val="0"/>
                    <w:jc w:val="center"/>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lang w:val="en-US" w:eastAsia="zh-CN"/>
                    </w:rPr>
                    <w:t>准入要求</w:t>
                  </w:r>
                </w:p>
              </w:tc>
              <w:tc>
                <w:tcPr>
                  <w:tcW w:w="1316" w:type="pct"/>
                  <w:noWrap w:val="0"/>
                  <w:vAlign w:val="center"/>
                </w:tcPr>
                <w:p w14:paraId="67E5250F">
                  <w:pPr>
                    <w:pStyle w:val="31"/>
                    <w:bidi w:val="0"/>
                    <w:jc w:val="center"/>
                    <w:rPr>
                      <w:rFonts w:hint="default" w:ascii="Times New Roman" w:hAnsi="Times New Roman" w:eastAsia="宋体" w:cs="Times New Roman"/>
                      <w:b/>
                      <w:bCs/>
                      <w:color w:val="000000"/>
                      <w:highlight w:val="none"/>
                      <w:lang w:val="en-US" w:eastAsia="zh-CN"/>
                    </w:rPr>
                  </w:pPr>
                  <w:r>
                    <w:rPr>
                      <w:rFonts w:hint="default" w:ascii="Times New Roman" w:hAnsi="Times New Roman" w:cs="Times New Roman"/>
                      <w:b/>
                      <w:bCs/>
                      <w:color w:val="000000"/>
                      <w:highlight w:val="none"/>
                      <w:lang w:val="en-US" w:eastAsia="zh-CN"/>
                    </w:rPr>
                    <w:t>符合性分析</w:t>
                  </w:r>
                </w:p>
              </w:tc>
              <w:tc>
                <w:tcPr>
                  <w:tcW w:w="267" w:type="pct"/>
                  <w:noWrap w:val="0"/>
                  <w:vAlign w:val="center"/>
                </w:tcPr>
                <w:p w14:paraId="1267DD0B">
                  <w:pPr>
                    <w:pStyle w:val="31"/>
                    <w:bidi w:val="0"/>
                    <w:jc w:val="center"/>
                    <w:rPr>
                      <w:rFonts w:hint="default" w:ascii="Times New Roman" w:hAnsi="Times New Roman" w:eastAsia="宋体" w:cs="Times New Roman"/>
                      <w:b/>
                      <w:bCs/>
                      <w:color w:val="000000"/>
                      <w:highlight w:val="none"/>
                      <w:lang w:val="en-US" w:eastAsia="zh-CN"/>
                    </w:rPr>
                  </w:pPr>
                  <w:r>
                    <w:rPr>
                      <w:rFonts w:hint="default" w:ascii="Times New Roman" w:hAnsi="Times New Roman" w:cs="Times New Roman"/>
                      <w:b/>
                      <w:bCs/>
                      <w:color w:val="000000"/>
                      <w:highlight w:val="none"/>
                      <w:lang w:val="en-US" w:eastAsia="zh-CN"/>
                    </w:rPr>
                    <w:t>是否符合</w:t>
                  </w:r>
                </w:p>
              </w:tc>
            </w:tr>
            <w:tr w14:paraId="6AF454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6" w:type="pct"/>
                  <w:vMerge w:val="restart"/>
                  <w:noWrap w:val="0"/>
                  <w:vAlign w:val="center"/>
                </w:tcPr>
                <w:p w14:paraId="7EB4E06D">
                  <w:pPr>
                    <w:pStyle w:val="31"/>
                    <w:bidi w:val="0"/>
                    <w:jc w:val="center"/>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陆域</w:t>
                  </w:r>
                </w:p>
              </w:tc>
              <w:tc>
                <w:tcPr>
                  <w:tcW w:w="230" w:type="pct"/>
                  <w:vMerge w:val="restart"/>
                  <w:noWrap w:val="0"/>
                  <w:vAlign w:val="center"/>
                </w:tcPr>
                <w:p w14:paraId="62FE5EE3">
                  <w:pPr>
                    <w:pStyle w:val="31"/>
                    <w:bidi w:val="0"/>
                    <w:jc w:val="center"/>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空间布局约束</w:t>
                  </w:r>
                </w:p>
              </w:tc>
              <w:tc>
                <w:tcPr>
                  <w:tcW w:w="2929" w:type="pct"/>
                  <w:noWrap w:val="0"/>
                  <w:vAlign w:val="center"/>
                </w:tcPr>
                <w:p w14:paraId="68125E46">
                  <w:pPr>
                    <w:pStyle w:val="31"/>
                    <w:keepNext w:val="0"/>
                    <w:keepLines w:val="0"/>
                    <w:pageBreakBefore w:val="0"/>
                    <w:widowControl w:val="0"/>
                    <w:kinsoku/>
                    <w:wordWrap/>
                    <w:overflowPunct/>
                    <w:topLinePunct w:val="0"/>
                    <w:autoSpaceDE/>
                    <w:autoSpaceDN/>
                    <w:bidi w:val="0"/>
                    <w:adjustRightInd/>
                    <w:snapToGrid/>
                    <w:ind w:firstLine="422" w:firstLineChars="200"/>
                    <w:jc w:val="left"/>
                    <w:textAlignment w:val="auto"/>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一、优先保护单元中的生态保护红线</w:t>
                  </w:r>
                </w:p>
                <w:p w14:paraId="4CED7FEE">
                  <w:pPr>
                    <w:pStyle w:val="31"/>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default" w:ascii="Times New Roman" w:hAnsi="Times New Roman" w:cs="Times New Roman"/>
                      <w:b w:val="0"/>
                      <w:bCs w:val="0"/>
                      <w:color w:val="000000"/>
                      <w:highlight w:val="none"/>
                      <w:lang w:val="en-US" w:eastAsia="zh-CN"/>
                    </w:rPr>
                  </w:pPr>
                  <w:r>
                    <w:rPr>
                      <w:rFonts w:hint="default" w:ascii="Times New Roman" w:hAnsi="Times New Roman" w:cs="Times New Roman"/>
                      <w:b w:val="0"/>
                      <w:bCs w:val="0"/>
                      <w:color w:val="000000"/>
                      <w:highlight w:val="none"/>
                      <w:lang w:val="en-US" w:eastAsia="zh-CN"/>
                    </w:rPr>
                    <w:t>1.根据《关于在国土空间规划中统筹划定落实三条控制线的指导意见》《自然资源部 生态环境部 国家林业和草原局关于加强生态保护红线管理的通知（试行）》，加强生态保护红线管理，严守自然生态安全边界。生态保护红线内，自然保护地核心保护区原则上禁止人为活动，其它区域禁止开发性、生产性建设活动，在符合法律法规的前提下，仅允许以下对生态功能不造成破坏的有限人为活动。生态保护红线内自然保护区、风景名胜区、饮用水水源保护区等区域，依照法律法规执行。</w:t>
                  </w:r>
                </w:p>
                <w:p w14:paraId="0A4CB644">
                  <w:pPr>
                    <w:pStyle w:val="31"/>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default" w:ascii="Times New Roman" w:hAnsi="Times New Roman" w:cs="Times New Roman"/>
                      <w:b w:val="0"/>
                      <w:bCs w:val="0"/>
                      <w:color w:val="000000"/>
                      <w:highlight w:val="none"/>
                      <w:lang w:val="en-US" w:eastAsia="zh-CN"/>
                    </w:rPr>
                  </w:pPr>
                  <w:r>
                    <w:rPr>
                      <w:rFonts w:hint="default" w:ascii="Times New Roman" w:hAnsi="Times New Roman" w:cs="Times New Roman"/>
                      <w:b w:val="0"/>
                      <w:bCs w:val="0"/>
                      <w:color w:val="000000"/>
                      <w:highlight w:val="none"/>
                      <w:lang w:val="en-US" w:eastAsia="zh-CN"/>
                    </w:rPr>
                    <w:t>（1）管护巡护、保护执法、科学研究、调查监测、测绘导航、防灾减灾救灾、军事国防、疫情防控等活动及相关的必要设施修筑。</w:t>
                  </w:r>
                </w:p>
                <w:p w14:paraId="2CB65791">
                  <w:pPr>
                    <w:pStyle w:val="31"/>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default" w:ascii="Times New Roman" w:hAnsi="Times New Roman" w:cs="Times New Roman"/>
                      <w:b w:val="0"/>
                      <w:bCs w:val="0"/>
                      <w:color w:val="000000"/>
                      <w:highlight w:val="none"/>
                      <w:lang w:val="en-US" w:eastAsia="zh-CN"/>
                    </w:rPr>
                  </w:pPr>
                  <w:r>
                    <w:rPr>
                      <w:rFonts w:hint="default" w:ascii="Times New Roman" w:hAnsi="Times New Roman" w:cs="Times New Roman"/>
                      <w:b w:val="0"/>
                      <w:bCs w:val="0"/>
                      <w:color w:val="000000"/>
                      <w:highlight w:val="none"/>
                      <w:lang w:val="en-US" w:eastAsia="zh-CN"/>
                    </w:rPr>
                    <w:t>（2）原住居民和其他合法权益主体，允许在不扩大现有建设用地、用海用岛、耕地、水产养殖规模和放牧强度（符合草畜平衡管理规定）的前提下，开展种植、放牧、捕捞、养殖（不包括投礁型海洋牧场、围海养殖）等活动，修筑生产生活设施。</w:t>
                  </w:r>
                </w:p>
                <w:p w14:paraId="07A691A0">
                  <w:pPr>
                    <w:pStyle w:val="31"/>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default" w:ascii="Times New Roman" w:hAnsi="Times New Roman" w:cs="Times New Roman"/>
                      <w:b w:val="0"/>
                      <w:bCs w:val="0"/>
                      <w:color w:val="000000"/>
                      <w:highlight w:val="none"/>
                      <w:lang w:val="en-US" w:eastAsia="zh-CN"/>
                    </w:rPr>
                  </w:pPr>
                  <w:r>
                    <w:rPr>
                      <w:rFonts w:hint="default" w:ascii="Times New Roman" w:hAnsi="Times New Roman" w:cs="Times New Roman"/>
                      <w:b w:val="0"/>
                      <w:bCs w:val="0"/>
                      <w:color w:val="000000"/>
                      <w:highlight w:val="none"/>
                      <w:lang w:val="en-US" w:eastAsia="zh-CN"/>
                    </w:rPr>
                    <w:t>（3）经依法批准的考古调查发掘、古生物化石调查发掘、标本采集和文物保护活动。</w:t>
                  </w:r>
                </w:p>
                <w:p w14:paraId="04630E1E">
                  <w:pPr>
                    <w:pStyle w:val="31"/>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default" w:ascii="Times New Roman" w:hAnsi="Times New Roman" w:cs="Times New Roman"/>
                      <w:b w:val="0"/>
                      <w:bCs w:val="0"/>
                      <w:color w:val="000000"/>
                      <w:highlight w:val="none"/>
                      <w:lang w:val="en-US" w:eastAsia="zh-CN"/>
                    </w:rPr>
                  </w:pPr>
                  <w:r>
                    <w:rPr>
                      <w:rFonts w:hint="default" w:ascii="Times New Roman" w:hAnsi="Times New Roman" w:cs="Times New Roman"/>
                      <w:b w:val="0"/>
                      <w:bCs w:val="0"/>
                      <w:color w:val="000000"/>
                      <w:highlight w:val="none"/>
                      <w:lang w:val="en-US" w:eastAsia="zh-CN"/>
                    </w:rPr>
                    <w:t>（4）按规定对人工商品林进行抚育采伐，或以提升森林质量、优化栖息地、建设生物防火隔离带等为目的的树种更新，依法开展的竹林采伐经营。</w:t>
                  </w:r>
                </w:p>
                <w:p w14:paraId="26026B8F">
                  <w:pPr>
                    <w:pStyle w:val="31"/>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default" w:ascii="Times New Roman" w:hAnsi="Times New Roman" w:cs="Times New Roman"/>
                      <w:b w:val="0"/>
                      <w:bCs w:val="0"/>
                      <w:color w:val="000000"/>
                      <w:highlight w:val="none"/>
                      <w:lang w:val="en-US" w:eastAsia="zh-CN"/>
                    </w:rPr>
                  </w:pPr>
                  <w:r>
                    <w:rPr>
                      <w:rFonts w:hint="default" w:ascii="Times New Roman" w:hAnsi="Times New Roman" w:cs="Times New Roman"/>
                      <w:b w:val="0"/>
                      <w:bCs w:val="0"/>
                      <w:color w:val="000000"/>
                      <w:highlight w:val="none"/>
                      <w:lang w:val="en-US" w:eastAsia="zh-CN"/>
                    </w:rPr>
                    <w:t>（5）不破坏生态功能的适度参观旅游、科普宣教及符合相关规划的配套性服务设施和相关的必要公共设施建设及维护。</w:t>
                  </w:r>
                </w:p>
                <w:p w14:paraId="75496E49">
                  <w:pPr>
                    <w:pStyle w:val="31"/>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default" w:ascii="Times New Roman" w:hAnsi="Times New Roman" w:cs="Times New Roman"/>
                      <w:b w:val="0"/>
                      <w:bCs w:val="0"/>
                      <w:color w:val="000000"/>
                      <w:highlight w:val="none"/>
                      <w:lang w:val="en-US" w:eastAsia="zh-CN"/>
                    </w:rPr>
                  </w:pPr>
                  <w:r>
                    <w:rPr>
                      <w:rFonts w:hint="default" w:ascii="Times New Roman" w:hAnsi="Times New Roman" w:cs="Times New Roman"/>
                      <w:b w:val="0"/>
                      <w:bCs w:val="0"/>
                      <w:color w:val="000000"/>
                      <w:highlight w:val="none"/>
                      <w:lang w:val="en-US" w:eastAsia="zh-CN"/>
                    </w:rPr>
                    <w:t>（6）必须且无法避让、符合县级以上国土空间规划的线性基础设施、通讯和防洪、供水设施建设和船舶航行、航道疏浚清淤等活动；已有的合法水利、交通运输等设施运行维护改造。</w:t>
                  </w:r>
                </w:p>
                <w:p w14:paraId="3B62CD27">
                  <w:pPr>
                    <w:pStyle w:val="31"/>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default" w:ascii="Times New Roman" w:hAnsi="Times New Roman" w:cs="Times New Roman"/>
                      <w:b w:val="0"/>
                      <w:bCs w:val="0"/>
                      <w:color w:val="000000"/>
                      <w:highlight w:val="none"/>
                      <w:lang w:val="en-US" w:eastAsia="zh-CN"/>
                    </w:rPr>
                  </w:pPr>
                  <w:r>
                    <w:rPr>
                      <w:rFonts w:hint="default" w:ascii="Times New Roman" w:hAnsi="Times New Roman" w:cs="Times New Roman"/>
                      <w:b w:val="0"/>
                      <w:bCs w:val="0"/>
                      <w:color w:val="000000"/>
                      <w:highlight w:val="none"/>
                      <w:lang w:val="en-US" w:eastAsia="zh-CN"/>
                    </w:rPr>
                    <w:t>（7）地质调查与矿产资源勘查开采。包括：基础地质调查和战略性矿产资源远景调查等公益性工作；铀矿勘查开采活动，可办理矿业权登记；已依法设立的油气探矿权继续勘查活动，可办理探矿权延续、变更（不含扩大勘查区块范围）、保留、注销，当发现可供开采油气资源并探明储量时，可将开采拟占用的地表或海域范围依照国家相关规定调出生态保护红线；已依法设立的油气采矿权不扩大用地用海范围，继续开采，可办理采矿权延续、变更（不含扩大矿区范围）、注销；已依法设立的矿泉水和地热采矿权，在不超出已经核定的生产规模、不新增生产设施的前提下继续开采，可办理采矿权延续、变更（不含扩大矿区范围）、注销；已依法设立和新立铬、铜、镍、锂、钴、锆、钾盐、（中）重稀土矿等战略性矿产探矿权开展勘查活动，可办理探矿权登记，因国家战略需要开展开采活动的，可办理采矿权登记。上述勘查开采活动，应落实减缓生态环境影响措施，严格执行绿色勘查、开采及矿山环境生态修复相关要求。</w:t>
                  </w:r>
                </w:p>
                <w:p w14:paraId="47DA2EC7">
                  <w:pPr>
                    <w:pStyle w:val="31"/>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default" w:ascii="Times New Roman" w:hAnsi="Times New Roman" w:cs="Times New Roman"/>
                      <w:b w:val="0"/>
                      <w:bCs w:val="0"/>
                      <w:color w:val="000000"/>
                      <w:highlight w:val="none"/>
                      <w:lang w:val="en-US" w:eastAsia="zh-CN"/>
                    </w:rPr>
                  </w:pPr>
                  <w:r>
                    <w:rPr>
                      <w:rFonts w:hint="default" w:ascii="Times New Roman" w:hAnsi="Times New Roman" w:cs="Times New Roman"/>
                      <w:b w:val="0"/>
                      <w:bCs w:val="0"/>
                      <w:color w:val="000000"/>
                      <w:highlight w:val="none"/>
                      <w:lang w:val="en-US" w:eastAsia="zh-CN"/>
                    </w:rPr>
                    <w:t>（8）依据县级以上国土空间规划和生态保护修复专项规划开展的生态修复。</w:t>
                  </w:r>
                </w:p>
                <w:p w14:paraId="4D0BDAB2">
                  <w:pPr>
                    <w:pStyle w:val="31"/>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default" w:ascii="Times New Roman" w:hAnsi="Times New Roman" w:cs="Times New Roman"/>
                      <w:b w:val="0"/>
                      <w:bCs w:val="0"/>
                      <w:color w:val="000000"/>
                      <w:highlight w:val="none"/>
                      <w:lang w:val="en-US" w:eastAsia="zh-CN"/>
                    </w:rPr>
                  </w:pPr>
                  <w:r>
                    <w:rPr>
                      <w:rFonts w:hint="default" w:ascii="Times New Roman" w:hAnsi="Times New Roman" w:cs="Times New Roman"/>
                      <w:b w:val="0"/>
                      <w:bCs w:val="0"/>
                      <w:color w:val="000000"/>
                      <w:highlight w:val="none"/>
                      <w:lang w:val="en-US" w:eastAsia="zh-CN"/>
                    </w:rPr>
                    <w:t>（9）法律法规规定允许的其他人为活动。</w:t>
                  </w:r>
                </w:p>
                <w:p w14:paraId="75086B74">
                  <w:pPr>
                    <w:pStyle w:val="31"/>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default" w:ascii="Times New Roman" w:hAnsi="Times New Roman" w:cs="Times New Roman"/>
                      <w:b w:val="0"/>
                      <w:bCs w:val="0"/>
                      <w:color w:val="000000"/>
                      <w:highlight w:val="none"/>
                      <w:lang w:val="en-US" w:eastAsia="zh-CN"/>
                    </w:rPr>
                  </w:pPr>
                  <w:r>
                    <w:rPr>
                      <w:rFonts w:hint="default" w:ascii="Times New Roman" w:hAnsi="Times New Roman" w:cs="Times New Roman"/>
                      <w:b w:val="0"/>
                      <w:bCs w:val="0"/>
                      <w:color w:val="000000"/>
                      <w:highlight w:val="none"/>
                      <w:lang w:val="en-US" w:eastAsia="zh-CN"/>
                    </w:rPr>
                    <w:t>2.依据《福建省自然资源厅 福建省生态环境厅 福建省林业局关于进一步加强生态保护红线监管的通知（试行）》（闽自然资发〔2023〕56号），允许占用生态保护红线的重大项目范围：</w:t>
                  </w:r>
                </w:p>
                <w:p w14:paraId="6D13CEDB">
                  <w:pPr>
                    <w:pStyle w:val="31"/>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default" w:ascii="Times New Roman" w:hAnsi="Times New Roman" w:cs="Times New Roman"/>
                      <w:b w:val="0"/>
                      <w:bCs w:val="0"/>
                      <w:color w:val="000000"/>
                      <w:highlight w:val="none"/>
                      <w:lang w:val="en-US" w:eastAsia="zh-CN"/>
                    </w:rPr>
                  </w:pPr>
                  <w:r>
                    <w:rPr>
                      <w:rFonts w:hint="default" w:ascii="Times New Roman" w:hAnsi="Times New Roman" w:cs="Times New Roman"/>
                      <w:b w:val="0"/>
                      <w:bCs w:val="0"/>
                      <w:color w:val="000000"/>
                      <w:highlight w:val="none"/>
                      <w:lang w:val="en-US" w:eastAsia="zh-CN"/>
                    </w:rPr>
                    <w:t>（1）党中央、国务院发布文件或批准规划中明确具体名称的项目和国务院批准的项目。</w:t>
                  </w:r>
                </w:p>
                <w:p w14:paraId="4E92EA0E">
                  <w:pPr>
                    <w:pStyle w:val="31"/>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default" w:ascii="Times New Roman" w:hAnsi="Times New Roman" w:cs="Times New Roman"/>
                      <w:b w:val="0"/>
                      <w:bCs w:val="0"/>
                      <w:color w:val="000000"/>
                      <w:highlight w:val="none"/>
                      <w:lang w:val="en-US" w:eastAsia="zh-CN"/>
                    </w:rPr>
                  </w:pPr>
                  <w:r>
                    <w:rPr>
                      <w:rFonts w:hint="default" w:ascii="Times New Roman" w:hAnsi="Times New Roman" w:cs="Times New Roman"/>
                      <w:b w:val="0"/>
                      <w:bCs w:val="0"/>
                      <w:color w:val="000000"/>
                      <w:highlight w:val="none"/>
                      <w:lang w:val="en-US" w:eastAsia="zh-CN"/>
                    </w:rPr>
                    <w:t>（2）中央军委及其有关部门批准的军事国防项目。</w:t>
                  </w:r>
                </w:p>
                <w:p w14:paraId="5EECD4C3">
                  <w:pPr>
                    <w:pStyle w:val="31"/>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default" w:ascii="Times New Roman" w:hAnsi="Times New Roman" w:cs="Times New Roman"/>
                      <w:b w:val="0"/>
                      <w:bCs w:val="0"/>
                      <w:color w:val="000000"/>
                      <w:highlight w:val="none"/>
                      <w:lang w:val="en-US" w:eastAsia="zh-CN"/>
                    </w:rPr>
                  </w:pPr>
                  <w:r>
                    <w:rPr>
                      <w:rFonts w:hint="default" w:ascii="Times New Roman" w:hAnsi="Times New Roman" w:cs="Times New Roman"/>
                      <w:b w:val="0"/>
                      <w:bCs w:val="0"/>
                      <w:color w:val="000000"/>
                      <w:highlight w:val="none"/>
                      <w:lang w:val="en-US" w:eastAsia="zh-CN"/>
                    </w:rPr>
                    <w:t>（3）国家级规划（指国务院及其有关部门正式颁布）明确的交通、水利项目。</w:t>
                  </w:r>
                </w:p>
                <w:p w14:paraId="20C8011D">
                  <w:pPr>
                    <w:pStyle w:val="31"/>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default" w:ascii="Times New Roman" w:hAnsi="Times New Roman" w:cs="Times New Roman"/>
                      <w:b w:val="0"/>
                      <w:bCs w:val="0"/>
                      <w:color w:val="000000"/>
                      <w:highlight w:val="none"/>
                      <w:lang w:val="en-US" w:eastAsia="zh-CN"/>
                    </w:rPr>
                  </w:pPr>
                  <w:r>
                    <w:rPr>
                      <w:rFonts w:hint="default" w:ascii="Times New Roman" w:hAnsi="Times New Roman" w:cs="Times New Roman"/>
                      <w:b w:val="0"/>
                      <w:bCs w:val="0"/>
                      <w:color w:val="000000"/>
                      <w:highlight w:val="none"/>
                      <w:lang w:val="en-US" w:eastAsia="zh-CN"/>
                    </w:rPr>
                    <w:t>（4）国家级规划明确的电网项目，国家级规划明确的且符合国家产业政策的能源矿产勘查开采、油气管线、水电、核电项目。</w:t>
                  </w:r>
                </w:p>
                <w:p w14:paraId="6F234201">
                  <w:pPr>
                    <w:pStyle w:val="31"/>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default" w:ascii="Times New Roman" w:hAnsi="Times New Roman" w:cs="Times New Roman"/>
                      <w:b w:val="0"/>
                      <w:bCs w:val="0"/>
                      <w:color w:val="000000"/>
                      <w:highlight w:val="none"/>
                      <w:lang w:val="en-US" w:eastAsia="zh-CN"/>
                    </w:rPr>
                  </w:pPr>
                  <w:r>
                    <w:rPr>
                      <w:rFonts w:hint="default" w:ascii="Times New Roman" w:hAnsi="Times New Roman" w:cs="Times New Roman"/>
                      <w:b w:val="0"/>
                      <w:bCs w:val="0"/>
                      <w:color w:val="000000"/>
                      <w:highlight w:val="none"/>
                      <w:lang w:val="en-US" w:eastAsia="zh-CN"/>
                    </w:rPr>
                    <w:t>（5）为贯彻落实党中央、国务院重大决策部署，国务院投资主管部门或国务院投资主管部门会同有关部门确认的交通、能源、水利等基础设施项目。</w:t>
                  </w:r>
                </w:p>
                <w:p w14:paraId="25E4D0AD">
                  <w:pPr>
                    <w:pStyle w:val="31"/>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b w:val="0"/>
                      <w:bCs w:val="0"/>
                      <w:color w:val="000000"/>
                      <w:highlight w:val="none"/>
                      <w:lang w:val="en-US" w:eastAsia="zh-CN"/>
                    </w:rPr>
                    <w:t>（6）按照国家重大项目用地保障工作机制要求，国家发展改革委会同有关部门确认的需中央加大建设用地保障力度，确实难以避让的国家重大项目。</w:t>
                  </w:r>
                </w:p>
              </w:tc>
              <w:tc>
                <w:tcPr>
                  <w:tcW w:w="1316" w:type="pct"/>
                  <w:noWrap w:val="0"/>
                  <w:vAlign w:val="center"/>
                </w:tcPr>
                <w:p w14:paraId="232F405D">
                  <w:pPr>
                    <w:pStyle w:val="31"/>
                    <w:bidi w:val="0"/>
                    <w:jc w:val="left"/>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根据福州市生态环境管控单元图（</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REF _Ref16631 \h </w:instrText>
                  </w:r>
                  <w:r>
                    <w:rPr>
                      <w:rFonts w:hint="default" w:ascii="Times New Roman" w:hAnsi="Times New Roman" w:cs="Times New Roman"/>
                      <w:color w:val="000000"/>
                      <w:highlight w:val="none"/>
                      <w:lang w:val="en-US" w:eastAsia="zh-CN"/>
                    </w:rPr>
                    <w:fldChar w:fldCharType="separate"/>
                  </w:r>
                  <w:r>
                    <w:rPr>
                      <w:rFonts w:hint="default"/>
                    </w:rPr>
                    <w:t>图</w:t>
                  </w:r>
                  <w:r>
                    <w:rPr>
                      <w:rFonts w:hint="default"/>
                    </w:rPr>
                    <w:fldChar w:fldCharType="begin"/>
                  </w:r>
                  <w:r>
                    <w:rPr>
                      <w:rFonts w:hint="default"/>
                    </w:rPr>
                    <w:instrText xml:space="preserve"> STYLEREF 2 \s </w:instrText>
                  </w:r>
                  <w:r>
                    <w:rPr>
                      <w:rFonts w:hint="default"/>
                    </w:rPr>
                    <w:fldChar w:fldCharType="separate"/>
                  </w:r>
                  <w:r>
                    <w:rPr>
                      <w:rFonts w:hint="default"/>
                    </w:rPr>
                    <w:t>1.2</w:t>
                  </w:r>
                  <w:r>
                    <w:rPr>
                      <w:rFonts w:hint="default"/>
                    </w:rPr>
                    <w:fldChar w:fldCharType="end"/>
                  </w:r>
                  <w:r>
                    <w:rPr>
                      <w:rFonts w:hint="default"/>
                      <w:lang w:eastAsia="zh-CN"/>
                    </w:rPr>
                    <w:t>-</w:t>
                  </w:r>
                  <w:r>
                    <w:rPr>
                      <w:rFonts w:hint="default"/>
                    </w:rPr>
                    <w:t>9</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val="en-US" w:eastAsia="zh-CN"/>
                    </w:rPr>
                    <w:t>），本项目位于重点管控单元，不涉及优先保护单元。本项目为福清市海亮沃口一级渔港</w:t>
                  </w:r>
                  <w:r>
                    <w:rPr>
                      <w:rFonts w:hint="eastAsia" w:cs="Times New Roman"/>
                      <w:color w:val="000000"/>
                      <w:highlight w:val="none"/>
                      <w:lang w:val="en-US" w:eastAsia="zh-CN"/>
                    </w:rPr>
                    <w:t>工程</w:t>
                  </w:r>
                  <w:r>
                    <w:rPr>
                      <w:rFonts w:hint="default" w:ascii="Times New Roman" w:hAnsi="Times New Roman" w:cs="Times New Roman"/>
                      <w:color w:val="000000"/>
                      <w:highlight w:val="none"/>
                      <w:lang w:val="en-US" w:eastAsia="zh-CN"/>
                    </w:rPr>
                    <w:t>，项目陆域形成25.32万m</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lang w:val="en-US" w:eastAsia="zh-CN"/>
                    </w:rPr>
                    <w:t>（新建陆域面积为23.49万m</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lang w:val="en-US" w:eastAsia="zh-CN"/>
                    </w:rPr>
                    <w:t>，现有二级渔港陆域1.83万m</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lang w:val="en-US" w:eastAsia="zh-CN"/>
                    </w:rPr>
                    <w:t>），主要建设渔港综合管理大楼、网具堆场、室外晒网场、室外卸渔场地、卸渔棚等。</w:t>
                  </w:r>
                  <w:r>
                    <w:rPr>
                      <w:rFonts w:hint="default" w:ascii="Times New Roman" w:hAnsi="Times New Roman" w:cs="Times New Roman"/>
                      <w:color w:val="000000"/>
                      <w:highlight w:val="none"/>
                    </w:rPr>
                    <w:t>根据福建省“三区三线”划定成果，</w:t>
                  </w:r>
                  <w:r>
                    <w:rPr>
                      <w:rFonts w:hint="default" w:ascii="Times New Roman" w:hAnsi="Times New Roman" w:cs="Times New Roman"/>
                      <w:color w:val="000000"/>
                      <w:highlight w:val="none"/>
                      <w:lang w:val="en-US" w:eastAsia="zh-CN"/>
                    </w:rPr>
                    <w:t>项目不占用</w:t>
                  </w:r>
                  <w:r>
                    <w:rPr>
                      <w:rFonts w:hint="default" w:ascii="Times New Roman" w:hAnsi="Times New Roman" w:cs="Times New Roman"/>
                      <w:color w:val="000000"/>
                      <w:highlight w:val="none"/>
                    </w:rPr>
                    <w:t>生态保护红线、城镇开发边界线和永久基本农田保护红线。</w:t>
                  </w:r>
                </w:p>
              </w:tc>
              <w:tc>
                <w:tcPr>
                  <w:tcW w:w="267" w:type="pct"/>
                  <w:noWrap w:val="0"/>
                  <w:vAlign w:val="center"/>
                </w:tcPr>
                <w:p w14:paraId="52B4068F">
                  <w:pPr>
                    <w:pStyle w:val="31"/>
                    <w:bidi w:val="0"/>
                    <w:jc w:val="center"/>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符合</w:t>
                  </w:r>
                </w:p>
              </w:tc>
            </w:tr>
            <w:tr w14:paraId="5CCF56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6" w:type="pct"/>
                  <w:vMerge w:val="continue"/>
                  <w:noWrap w:val="0"/>
                  <w:vAlign w:val="center"/>
                </w:tcPr>
                <w:p w14:paraId="5D3F0089">
                  <w:pPr>
                    <w:pStyle w:val="31"/>
                    <w:bidi w:val="0"/>
                    <w:jc w:val="center"/>
                    <w:rPr>
                      <w:rFonts w:hint="default" w:ascii="Times New Roman" w:hAnsi="Times New Roman" w:cs="Times New Roman"/>
                      <w:color w:val="000000"/>
                      <w:highlight w:val="none"/>
                    </w:rPr>
                  </w:pPr>
                </w:p>
              </w:tc>
              <w:tc>
                <w:tcPr>
                  <w:tcW w:w="230" w:type="pct"/>
                  <w:vMerge w:val="continue"/>
                  <w:noWrap w:val="0"/>
                  <w:vAlign w:val="center"/>
                </w:tcPr>
                <w:p w14:paraId="1AB19B0C">
                  <w:pPr>
                    <w:pStyle w:val="31"/>
                    <w:bidi w:val="0"/>
                    <w:jc w:val="center"/>
                    <w:rPr>
                      <w:rFonts w:hint="default" w:ascii="Times New Roman" w:hAnsi="Times New Roman" w:cs="Times New Roman"/>
                      <w:color w:val="000000"/>
                      <w:highlight w:val="none"/>
                    </w:rPr>
                  </w:pPr>
                </w:p>
              </w:tc>
              <w:tc>
                <w:tcPr>
                  <w:tcW w:w="2929" w:type="pct"/>
                  <w:noWrap w:val="0"/>
                  <w:vAlign w:val="center"/>
                </w:tcPr>
                <w:p w14:paraId="31908282">
                  <w:pPr>
                    <w:pStyle w:val="31"/>
                    <w:keepNext w:val="0"/>
                    <w:keepLines w:val="0"/>
                    <w:pageBreakBefore w:val="0"/>
                    <w:widowControl w:val="0"/>
                    <w:kinsoku/>
                    <w:wordWrap/>
                    <w:overflowPunct/>
                    <w:topLinePunct w:val="0"/>
                    <w:autoSpaceDE/>
                    <w:autoSpaceDN/>
                    <w:bidi w:val="0"/>
                    <w:adjustRightInd/>
                    <w:snapToGrid/>
                    <w:ind w:firstLine="422" w:firstLineChars="200"/>
                    <w:jc w:val="left"/>
                    <w:textAlignment w:val="auto"/>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rPr>
                    <w:t>二、优先保护单元中的一般生态空间</w:t>
                  </w:r>
                </w:p>
                <w:p w14:paraId="05063373">
                  <w:pPr>
                    <w:pStyle w:val="31"/>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1.一般生态空间以保护和修复生态环境、提供生态产品和服务为首要任务，因地制宜地发展不影响主体功能定位的适宜产业。</w:t>
                  </w:r>
                </w:p>
                <w:p w14:paraId="75C7CCE3">
                  <w:pPr>
                    <w:pStyle w:val="31"/>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2.一般生态空间内未纳入生态保护红线的饮用水水源保护区等各类法定保护地，其管控要求依照相关法律法规执行。</w:t>
                  </w:r>
                </w:p>
                <w:p w14:paraId="60F0C26D">
                  <w:pPr>
                    <w:pStyle w:val="31"/>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3.一般生态空间内现有合法的水泥厂、矿山开发等生产性设施及生活垃圾处置等民生工程予以保留，应按照法律法规要求落实污染防治和生态保护措施，避免对生态功能造成破坏。</w:t>
                  </w:r>
                </w:p>
              </w:tc>
              <w:tc>
                <w:tcPr>
                  <w:tcW w:w="1316" w:type="pct"/>
                  <w:noWrap w:val="0"/>
                  <w:vAlign w:val="center"/>
                </w:tcPr>
                <w:p w14:paraId="29642A3F">
                  <w:pPr>
                    <w:pStyle w:val="31"/>
                    <w:bidi w:val="0"/>
                    <w:jc w:val="left"/>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根据福州市生态环境管控单元图（</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REF _Ref16631 \h </w:instrText>
                  </w:r>
                  <w:r>
                    <w:rPr>
                      <w:rFonts w:hint="default" w:ascii="Times New Roman" w:hAnsi="Times New Roman" w:cs="Times New Roman"/>
                      <w:color w:val="000000"/>
                      <w:highlight w:val="none"/>
                      <w:lang w:val="en-US" w:eastAsia="zh-CN"/>
                    </w:rPr>
                    <w:fldChar w:fldCharType="separate"/>
                  </w:r>
                  <w:r>
                    <w:rPr>
                      <w:rFonts w:hint="default"/>
                    </w:rPr>
                    <w:t>图</w:t>
                  </w:r>
                  <w:r>
                    <w:rPr>
                      <w:rFonts w:hint="default"/>
                    </w:rPr>
                    <w:fldChar w:fldCharType="begin"/>
                  </w:r>
                  <w:r>
                    <w:rPr>
                      <w:rFonts w:hint="default"/>
                    </w:rPr>
                    <w:instrText xml:space="preserve"> STYLEREF 2 \s </w:instrText>
                  </w:r>
                  <w:r>
                    <w:rPr>
                      <w:rFonts w:hint="default"/>
                    </w:rPr>
                    <w:fldChar w:fldCharType="separate"/>
                  </w:r>
                  <w:r>
                    <w:rPr>
                      <w:rFonts w:hint="default"/>
                    </w:rPr>
                    <w:t>1.2</w:t>
                  </w:r>
                  <w:r>
                    <w:rPr>
                      <w:rFonts w:hint="default"/>
                    </w:rPr>
                    <w:fldChar w:fldCharType="end"/>
                  </w:r>
                  <w:r>
                    <w:rPr>
                      <w:rFonts w:hint="default"/>
                      <w:lang w:eastAsia="zh-CN"/>
                    </w:rPr>
                    <w:t>-</w:t>
                  </w:r>
                  <w:r>
                    <w:rPr>
                      <w:rFonts w:hint="default"/>
                    </w:rPr>
                    <w:t>9</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val="en-US" w:eastAsia="zh-CN"/>
                    </w:rPr>
                    <w:t>），本项目位于重点管控单元，不涉及优先保护单元。</w:t>
                  </w:r>
                </w:p>
              </w:tc>
              <w:tc>
                <w:tcPr>
                  <w:tcW w:w="267" w:type="pct"/>
                  <w:noWrap w:val="0"/>
                  <w:vAlign w:val="center"/>
                </w:tcPr>
                <w:p w14:paraId="3B968069">
                  <w:pPr>
                    <w:pStyle w:val="31"/>
                    <w:bidi w:val="0"/>
                    <w:jc w:val="center"/>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符合</w:t>
                  </w:r>
                </w:p>
              </w:tc>
            </w:tr>
            <w:tr w14:paraId="3647A6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6" w:type="pct"/>
                  <w:vMerge w:val="continue"/>
                  <w:noWrap w:val="0"/>
                  <w:vAlign w:val="center"/>
                </w:tcPr>
                <w:p w14:paraId="22C9F89C">
                  <w:pPr>
                    <w:pStyle w:val="31"/>
                    <w:bidi w:val="0"/>
                    <w:jc w:val="center"/>
                    <w:rPr>
                      <w:rFonts w:hint="default" w:ascii="Times New Roman" w:hAnsi="Times New Roman" w:cs="Times New Roman"/>
                      <w:color w:val="000000"/>
                      <w:highlight w:val="none"/>
                    </w:rPr>
                  </w:pPr>
                </w:p>
              </w:tc>
              <w:tc>
                <w:tcPr>
                  <w:tcW w:w="230" w:type="pct"/>
                  <w:vMerge w:val="continue"/>
                  <w:noWrap w:val="0"/>
                  <w:vAlign w:val="center"/>
                </w:tcPr>
                <w:p w14:paraId="7C99E1AC">
                  <w:pPr>
                    <w:pStyle w:val="31"/>
                    <w:bidi w:val="0"/>
                    <w:jc w:val="center"/>
                    <w:rPr>
                      <w:rFonts w:hint="default" w:ascii="Times New Roman" w:hAnsi="Times New Roman" w:cs="Times New Roman"/>
                      <w:color w:val="000000"/>
                      <w:highlight w:val="none"/>
                    </w:rPr>
                  </w:pPr>
                </w:p>
              </w:tc>
              <w:tc>
                <w:tcPr>
                  <w:tcW w:w="2929" w:type="pct"/>
                  <w:noWrap w:val="0"/>
                  <w:vAlign w:val="center"/>
                </w:tcPr>
                <w:p w14:paraId="1C69E1B4">
                  <w:pPr>
                    <w:pStyle w:val="31"/>
                    <w:keepNext w:val="0"/>
                    <w:keepLines w:val="0"/>
                    <w:pageBreakBefore w:val="0"/>
                    <w:widowControl w:val="0"/>
                    <w:kinsoku/>
                    <w:wordWrap/>
                    <w:overflowPunct/>
                    <w:topLinePunct w:val="0"/>
                    <w:autoSpaceDE/>
                    <w:autoSpaceDN/>
                    <w:bidi w:val="0"/>
                    <w:adjustRightInd/>
                    <w:snapToGrid/>
                    <w:ind w:firstLine="422" w:firstLineChars="200"/>
                    <w:jc w:val="left"/>
                    <w:textAlignment w:val="auto"/>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rPr>
                    <w:t>三、其它要求</w:t>
                  </w:r>
                </w:p>
                <w:p w14:paraId="5F39581B">
                  <w:pPr>
                    <w:pStyle w:val="31"/>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1.福州市石化中上游项目重点在福州江阴港城经济区、可门港经济区化工新材料产业园布局。</w:t>
                  </w:r>
                </w:p>
                <w:p w14:paraId="2E6F6C0E">
                  <w:pPr>
                    <w:pStyle w:val="31"/>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2.禁止在闽江马尾罗星塔以上流域范围新、扩建制革项目，严控新（扩）建植物制浆、印染、合成革及人造革、电镀项目。</w:t>
                  </w:r>
                </w:p>
                <w:p w14:paraId="3DE22CC4">
                  <w:pPr>
                    <w:pStyle w:val="31"/>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3.禁止在通风廊道和主导风向的上风向布局大气重污染企业，推进建成区大气重污染企业搬迁或升级改造、环境风险企业搬迁或关闭退出。</w:t>
                  </w:r>
                </w:p>
                <w:p w14:paraId="45CF674E">
                  <w:pPr>
                    <w:pStyle w:val="31"/>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4.禁止新、改、扩建生产高VOCs含量有机溶剂型涂料、油墨和胶黏剂的项目。</w:t>
                  </w:r>
                </w:p>
                <w:p w14:paraId="531672E1">
                  <w:pPr>
                    <w:pStyle w:val="31"/>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5.持续加强闽清等地建陶产业的环境综合治理，充分衔接国土空间规划和生态环境分区管控，并对照产业政策、城市总体发展规划等要求，进一步明确发展定位，优化产业布局和规模。</w:t>
                  </w:r>
                </w:p>
                <w:p w14:paraId="5953C773">
                  <w:pPr>
                    <w:pStyle w:val="31"/>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6.新建、扩建的涉及重点重金属污染物［1］的有色金属冶炼、电镀、制革、铅蓄电池制造企业应优先选择布设在依法合规设立并经规划环评、环境基础设施和环境风险防范措施齐全的产业园区。禁止低端落后产能向闽江中上游地区转移。禁止新建用汞的电石法（聚）氯乙烯生产工艺。加快推进专业电镀企业入园，到2025年底专业电镀企业入园率达到90%以上。</w:t>
                  </w:r>
                </w:p>
                <w:p w14:paraId="5C73C030">
                  <w:pPr>
                    <w:pStyle w:val="31"/>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7.禁止在流域上游新建、扩建重污染企业和项目。</w:t>
                  </w:r>
                </w:p>
                <w:p w14:paraId="41A0C64B">
                  <w:pPr>
                    <w:pStyle w:val="31"/>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8.重要敏感水体及富营养化湖库生态缓冲带除相关政府部门批准的科学研究活动外，禁止其它可能对保护区构成危害或不良影响的大规模生产、建设活动。</w:t>
                  </w:r>
                </w:p>
                <w:p w14:paraId="6680E33F">
                  <w:pPr>
                    <w:pStyle w:val="31"/>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9.新、改、扩建煤电、钢铁、建材、石化、化工等“两高”项目，严格落实国家、省、市产业规划、产业政策、“三线一单”、规划环评，以及产能置换、煤炭消费减量替代、区域污染削减等相关要求。</w:t>
                  </w:r>
                </w:p>
                <w:p w14:paraId="0470B7FB">
                  <w:pPr>
                    <w:pStyle w:val="31"/>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10.单元内涉及永久基本农田的，应按照《福建省基本农田保护条例》（2010年修正本）、《国土资源部关于全面实行永久</w:t>
                  </w:r>
                  <w:r>
                    <w:rPr>
                      <w:rFonts w:hint="default" w:ascii="Times New Roman" w:hAnsi="Times New Roman" w:cs="Times New Roman"/>
                      <w:color w:val="000000"/>
                      <w:highlight w:val="none"/>
                      <w:lang w:val="en-US" w:eastAsia="zh-CN"/>
                    </w:rPr>
                    <w:t>基本</w:t>
                  </w:r>
                  <w:r>
                    <w:rPr>
                      <w:rFonts w:hint="default" w:ascii="Times New Roman" w:hAnsi="Times New Roman" w:cs="Times New Roman"/>
                      <w:color w:val="000000"/>
                      <w:highlight w:val="none"/>
                    </w:rPr>
                    <w:t>农田特殊保护的通知》（国土资规〔2018〕1号）、《中共中央国务院关于加强耕地保护和改进占补平衡的意见》（2017年1月9日）等相关文件要求进</w:t>
                  </w:r>
                  <w:r>
                    <w:rPr>
                      <w:rFonts w:hint="default" w:ascii="Times New Roman" w:hAnsi="Times New Roman" w:cs="Times New Roman"/>
                      <w:color w:val="000000"/>
                      <w:highlight w:val="none"/>
                      <w:lang w:eastAsia="zh-CN"/>
                    </w:rPr>
                    <w:t>行严</w:t>
                  </w:r>
                  <w:r>
                    <w:rPr>
                      <w:rFonts w:hint="default" w:ascii="Times New Roman" w:hAnsi="Times New Roman" w:cs="Times New Roman"/>
                      <w:color w:val="000000"/>
                      <w:highlight w:val="none"/>
                    </w:rPr>
                    <w:t>格管理，一般建设项目不得占用永久基本农田，重大建设项目选址确实难以避让永久基本农田的，必须依法依规办理。严禁通过擅自调整县乡国土空间规划，规避占用永久基本农田的审批。禁止随意砍伐防风固沙林和农田保护林。严格按照自然资源部、农业农村部、国家林业和草原局《关于严格耕地用途管制有关问题的通知》（自然资发〔2021〕166号）要求全面落实耕地用途管制。</w:t>
                  </w:r>
                </w:p>
              </w:tc>
              <w:tc>
                <w:tcPr>
                  <w:tcW w:w="1316" w:type="pct"/>
                  <w:noWrap w:val="0"/>
                  <w:vAlign w:val="center"/>
                </w:tcPr>
                <w:p w14:paraId="360DF65F">
                  <w:pPr>
                    <w:pStyle w:val="31"/>
                    <w:bidi w:val="0"/>
                    <w:jc w:val="left"/>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本项目为福清市海亮沃口一级渔港</w:t>
                  </w:r>
                  <w:r>
                    <w:rPr>
                      <w:rFonts w:hint="eastAsia" w:cs="Times New Roman"/>
                      <w:color w:val="000000"/>
                      <w:highlight w:val="none"/>
                      <w:lang w:val="en-US" w:eastAsia="zh-CN"/>
                    </w:rPr>
                    <w:t>工程</w:t>
                  </w:r>
                  <w:r>
                    <w:rPr>
                      <w:rFonts w:hint="default" w:ascii="Times New Roman" w:hAnsi="Times New Roman" w:cs="Times New Roman"/>
                      <w:color w:val="000000"/>
                      <w:highlight w:val="none"/>
                      <w:lang w:val="en-US" w:eastAsia="zh-CN"/>
                    </w:rPr>
                    <w:t>，属于渔业基础设施建设，不涉及所列的行业类别。本项目运营期废气主要为燃油废气、卸渔区、污水处理站恶臭气体及食堂油烟。本项目运营期船舶、运输车辆燃油废气主要污染物为SO</w:t>
                  </w:r>
                  <w:r>
                    <w:rPr>
                      <w:rFonts w:hint="default" w:ascii="Times New Roman" w:hAnsi="Times New Roman" w:cs="Times New Roman"/>
                      <w:color w:val="000000"/>
                      <w:highlight w:val="none"/>
                      <w:vertAlign w:val="subscript"/>
                      <w:lang w:val="en-US" w:eastAsia="zh-CN"/>
                    </w:rPr>
                    <w:t>2</w:t>
                  </w:r>
                  <w:r>
                    <w:rPr>
                      <w:rFonts w:hint="default" w:ascii="Times New Roman" w:hAnsi="Times New Roman" w:cs="Times New Roman"/>
                      <w:color w:val="000000"/>
                      <w:highlight w:val="none"/>
                      <w:lang w:val="en-US" w:eastAsia="zh-CN"/>
                    </w:rPr>
                    <w:t>、NO</w:t>
                  </w:r>
                  <w:r>
                    <w:rPr>
                      <w:rFonts w:hint="default" w:ascii="Times New Roman" w:hAnsi="Times New Roman" w:cs="Times New Roman"/>
                      <w:color w:val="000000"/>
                      <w:highlight w:val="none"/>
                      <w:vertAlign w:val="subscript"/>
                      <w:lang w:val="en-US" w:eastAsia="zh-CN"/>
                    </w:rPr>
                    <w:t>X</w:t>
                  </w:r>
                  <w:r>
                    <w:rPr>
                      <w:rFonts w:hint="default" w:ascii="Times New Roman" w:hAnsi="Times New Roman" w:cs="Times New Roman"/>
                      <w:color w:val="000000"/>
                      <w:highlight w:val="none"/>
                      <w:lang w:val="en-US" w:eastAsia="zh-CN"/>
                    </w:rPr>
                    <w:t>、CO、颗粒物等，排放废气时间短暂，废气污染物的产生源强较小；卸渔区每天均进行冲洗，渔货废弃物每日清运，恶臭气体产生量较少；污水处理站恶臭气体产生量较小，并且污水处理设施为埋地式结构，加盖密闭处理，恶臭气体不易外漏，恶臭对环境影响较小；食堂油烟经油烟净化装置处理后至屋顶天面排放。项目区大气流动性较好，排放的废气易被海面的风迅速扩散、稀释，对环境影</w:t>
                  </w:r>
                  <w:r>
                    <w:rPr>
                      <w:rFonts w:hint="default" w:ascii="Times New Roman" w:hAnsi="Times New Roman" w:cs="Times New Roman"/>
                      <w:color w:val="000000"/>
                      <w:highlight w:val="none"/>
                      <w:vertAlign w:val="baseline"/>
                      <w:lang w:val="en-US" w:eastAsia="zh-CN"/>
                    </w:rPr>
                    <w:t>响较小。本项目不涉及VOC</w:t>
                  </w:r>
                  <w:r>
                    <w:rPr>
                      <w:rFonts w:hint="default" w:ascii="Times New Roman" w:hAnsi="Times New Roman" w:cs="Times New Roman"/>
                      <w:color w:val="000000"/>
                      <w:highlight w:val="none"/>
                      <w:vertAlign w:val="subscript"/>
                      <w:lang w:val="en-US" w:eastAsia="zh-CN"/>
                    </w:rPr>
                    <w:t>S</w:t>
                  </w:r>
                  <w:r>
                    <w:rPr>
                      <w:rFonts w:hint="default" w:ascii="Times New Roman" w:hAnsi="Times New Roman" w:cs="Times New Roman"/>
                      <w:color w:val="000000"/>
                      <w:highlight w:val="none"/>
                      <w:vertAlign w:val="baseline"/>
                      <w:lang w:val="en-US" w:eastAsia="zh-CN"/>
                    </w:rPr>
                    <w:t>排放，不属于重污染企业，不占用永久基本农田。</w:t>
                  </w:r>
                </w:p>
              </w:tc>
              <w:tc>
                <w:tcPr>
                  <w:tcW w:w="267" w:type="pct"/>
                  <w:noWrap w:val="0"/>
                  <w:vAlign w:val="center"/>
                </w:tcPr>
                <w:p w14:paraId="7140397D">
                  <w:pPr>
                    <w:pStyle w:val="31"/>
                    <w:bidi w:val="0"/>
                    <w:jc w:val="center"/>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符合</w:t>
                  </w:r>
                </w:p>
              </w:tc>
            </w:tr>
            <w:tr w14:paraId="1B202C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5" w:hRule="atLeast"/>
              </w:trPr>
              <w:tc>
                <w:tcPr>
                  <w:tcW w:w="256" w:type="pct"/>
                  <w:vMerge w:val="continue"/>
                  <w:noWrap w:val="0"/>
                  <w:vAlign w:val="center"/>
                </w:tcPr>
                <w:p w14:paraId="51A47BE1">
                  <w:pPr>
                    <w:pStyle w:val="31"/>
                    <w:bidi w:val="0"/>
                    <w:jc w:val="center"/>
                    <w:rPr>
                      <w:rFonts w:hint="default" w:ascii="Times New Roman" w:hAnsi="Times New Roman" w:cs="Times New Roman"/>
                      <w:color w:val="000000"/>
                      <w:highlight w:val="none"/>
                    </w:rPr>
                  </w:pPr>
                </w:p>
              </w:tc>
              <w:tc>
                <w:tcPr>
                  <w:tcW w:w="230" w:type="pct"/>
                  <w:noWrap w:val="0"/>
                  <w:vAlign w:val="center"/>
                </w:tcPr>
                <w:p w14:paraId="7B36AA16">
                  <w:pPr>
                    <w:pStyle w:val="31"/>
                    <w:bidi w:val="0"/>
                    <w:jc w:val="center"/>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污染物排放管控</w:t>
                  </w:r>
                </w:p>
              </w:tc>
              <w:tc>
                <w:tcPr>
                  <w:tcW w:w="2929" w:type="pct"/>
                  <w:noWrap w:val="0"/>
                  <w:vAlign w:val="center"/>
                </w:tcPr>
                <w:p w14:paraId="2854602B">
                  <w:pPr>
                    <w:pStyle w:val="31"/>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1.工业类新（改、扩）建项目新增主要污染物（水污染物化学需氧量、氨氮和大气污染物二氧化硫、氮氧化物）排放总量指标应符合区域环境质量和总量控制要求，立足于通过“以新带老”、削减存量，努力实现区域、企业自身总量平衡。总量指标来源、审核和监督管理按照“榕环保综〔2017〕90号”等相关文件执行。</w:t>
                  </w:r>
                </w:p>
                <w:p w14:paraId="5E05EF1C">
                  <w:pPr>
                    <w:pStyle w:val="31"/>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 xml:space="preserve">2.新、改、扩建涉VOCs排放项目污染物排放量应满足《福州市“十四五”空气质量持续改善计划》（榕环保综〔2023〕40号），应从源头加强控制，使用低（无）VOCs含量的原辅材料。 </w:t>
                  </w:r>
                </w:p>
                <w:p w14:paraId="0DB228BD">
                  <w:pPr>
                    <w:pStyle w:val="31"/>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3.严格控制新建、改建、扩建钢铁、水泥、平板玻璃、有色金属冶炼、化工等工业项目。新改扩建钢铁、火电项目应执行超低排放限值，有色项目应当执行大气污染物特别排放限值。重点控制区新建化工、石化应当执行大气污染物特别排放限值。</w:t>
                  </w:r>
                </w:p>
                <w:p w14:paraId="5D5D4E7A">
                  <w:pPr>
                    <w:pStyle w:val="31"/>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4.氟化工、印染、电镀等行业企业实行水污染物特别排放限值。</w:t>
                  </w:r>
                </w:p>
                <w:p w14:paraId="1205AF91">
                  <w:pPr>
                    <w:pStyle w:val="31"/>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5.新、改、扩建重点行业</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rPr>
                    <w:t>建设项目要遵循重点重金属污染物排放“等量替代”原则，总量来源原则上应是同一重点行业内的削减量，当同一重点行业无法满足时可从其他重点行业调剂。</w:t>
                  </w:r>
                </w:p>
                <w:p w14:paraId="0CC57D18">
                  <w:pPr>
                    <w:pStyle w:val="31"/>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6.每小时35（含）—65蒸吨燃煤锅炉和位于县级及以上城市建成区内保留的燃煤、燃油、燃生物质锅炉，原则上2024年底前必须全面实现超低排放。</w:t>
                  </w:r>
                </w:p>
                <w:p w14:paraId="7BF8FF6D">
                  <w:pPr>
                    <w:pStyle w:val="31"/>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7.水泥行业新改扩建项目严格对照超低排放、能效标杆水平建设实施；现有项目超低排放改造应按文件（闽环规〔2023〕2号）的时限要求分步推进，2025年底前全面完成</w:t>
                  </w:r>
                  <w:r>
                    <w:rPr>
                      <w:rFonts w:hint="default" w:ascii="Times New Roman" w:hAnsi="Times New Roman" w:cs="Times New Roman"/>
                      <w:color w:val="000000"/>
                      <w:highlight w:val="none"/>
                      <w:vertAlign w:val="superscript"/>
                      <w:lang w:val="en-US" w:eastAsia="zh-CN"/>
                    </w:rPr>
                    <w:t>[3][4]</w:t>
                  </w:r>
                  <w:r>
                    <w:rPr>
                      <w:rFonts w:hint="default" w:ascii="Times New Roman" w:hAnsi="Times New Roman" w:cs="Times New Roman"/>
                      <w:color w:val="000000"/>
                      <w:highlight w:val="none"/>
                    </w:rPr>
                    <w:t>。</w:t>
                  </w:r>
                </w:p>
                <w:p w14:paraId="1C7B95C3">
                  <w:pPr>
                    <w:pStyle w:val="31"/>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8.化工园区新建项目实施“禁限控”化学物质管控措施，项目在开展环境影响评价时应严格落实相关要求，严格涉新污染物建设项目源头防控和准入管理。以印染、皮革、农药、医药、涂料等行业为重点，推进有毒有害化学物质替代。严格落实废药品、废农药以及抗生素生产过程中产生的废母液、废反应基和废培养基等废物的收集利用处置要求。</w:t>
                  </w:r>
                </w:p>
              </w:tc>
              <w:tc>
                <w:tcPr>
                  <w:tcW w:w="1316" w:type="pct"/>
                  <w:noWrap w:val="0"/>
                  <w:vAlign w:val="center"/>
                </w:tcPr>
                <w:p w14:paraId="2415E9D8">
                  <w:pPr>
                    <w:pStyle w:val="31"/>
                    <w:bidi w:val="0"/>
                    <w:jc w:val="left"/>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eastAsia="zh-CN"/>
                    </w:rPr>
                    <w:t>本项目为福清市海亮沃口一级渔港</w:t>
                  </w:r>
                  <w:r>
                    <w:rPr>
                      <w:rFonts w:hint="eastAsia" w:cs="Times New Roman"/>
                      <w:color w:val="000000"/>
                      <w:highlight w:val="none"/>
                      <w:lang w:val="en-US" w:eastAsia="zh-CN"/>
                    </w:rPr>
                    <w:t>工程</w:t>
                  </w:r>
                  <w:r>
                    <w:rPr>
                      <w:rFonts w:hint="default" w:ascii="Times New Roman" w:hAnsi="Times New Roman" w:cs="Times New Roman"/>
                      <w:color w:val="000000"/>
                      <w:highlight w:val="none"/>
                      <w:lang w:val="en-US" w:eastAsia="zh-CN"/>
                    </w:rPr>
                    <w:t>，属于渔业基础设施建设，不涉及所列的行业类别。本项目运营期港区生产废水、生活污水收集经污水处理站处理后，回用于港区绿化灌溉、洒水及冲洗用水</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港区燃油废气、卸渔区、污水处理站恶臭气体及食堂油烟，不涉及VOC</w:t>
                  </w:r>
                  <w:r>
                    <w:rPr>
                      <w:rFonts w:hint="default" w:ascii="Times New Roman" w:hAnsi="Times New Roman" w:cs="Times New Roman"/>
                      <w:color w:val="000000"/>
                      <w:highlight w:val="none"/>
                      <w:vertAlign w:val="subscript"/>
                      <w:lang w:val="en-US" w:eastAsia="zh-CN"/>
                    </w:rPr>
                    <w:t>S</w:t>
                  </w:r>
                  <w:r>
                    <w:rPr>
                      <w:rFonts w:hint="default" w:ascii="Times New Roman" w:hAnsi="Times New Roman" w:cs="Times New Roman"/>
                      <w:color w:val="000000"/>
                      <w:highlight w:val="none"/>
                      <w:lang w:val="en-US" w:eastAsia="zh-CN"/>
                    </w:rPr>
                    <w:t>排放。因此，本项目无需进行总量控制。</w:t>
                  </w:r>
                </w:p>
              </w:tc>
              <w:tc>
                <w:tcPr>
                  <w:tcW w:w="267" w:type="pct"/>
                  <w:noWrap w:val="0"/>
                  <w:vAlign w:val="center"/>
                </w:tcPr>
                <w:p w14:paraId="58DD2730">
                  <w:pPr>
                    <w:pStyle w:val="31"/>
                    <w:bidi w:val="0"/>
                    <w:jc w:val="center"/>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符合</w:t>
                  </w:r>
                </w:p>
              </w:tc>
            </w:tr>
            <w:tr w14:paraId="0995F6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61" w:hRule="atLeast"/>
              </w:trPr>
              <w:tc>
                <w:tcPr>
                  <w:tcW w:w="256" w:type="pct"/>
                  <w:vMerge w:val="continue"/>
                  <w:noWrap w:val="0"/>
                  <w:vAlign w:val="center"/>
                </w:tcPr>
                <w:p w14:paraId="335AD685">
                  <w:pPr>
                    <w:pStyle w:val="31"/>
                    <w:bidi w:val="0"/>
                    <w:jc w:val="center"/>
                    <w:rPr>
                      <w:rFonts w:hint="default" w:ascii="Times New Roman" w:hAnsi="Times New Roman" w:cs="Times New Roman"/>
                      <w:color w:val="000000"/>
                      <w:highlight w:val="none"/>
                    </w:rPr>
                  </w:pPr>
                </w:p>
              </w:tc>
              <w:tc>
                <w:tcPr>
                  <w:tcW w:w="230" w:type="pct"/>
                  <w:noWrap w:val="0"/>
                  <w:vAlign w:val="center"/>
                </w:tcPr>
                <w:p w14:paraId="0E954A44">
                  <w:pPr>
                    <w:pStyle w:val="31"/>
                    <w:bidi w:val="0"/>
                    <w:jc w:val="center"/>
                    <w:rPr>
                      <w:rFonts w:hint="default" w:ascii="Times New Roman" w:hAnsi="Times New Roman" w:cs="Times New Roman"/>
                      <w:color w:val="000000"/>
                      <w:highlight w:val="none"/>
                    </w:rPr>
                  </w:pPr>
                  <w:r>
                    <w:rPr>
                      <w:rFonts w:hint="default" w:ascii="Times New Roman" w:hAnsi="Times New Roman" w:cs="Times New Roman"/>
                      <w:color w:val="000000"/>
                      <w:highlight w:val="none"/>
                    </w:rPr>
                    <w:t>资源开发效率要求</w:t>
                  </w:r>
                </w:p>
              </w:tc>
              <w:tc>
                <w:tcPr>
                  <w:tcW w:w="2929" w:type="pct"/>
                  <w:noWrap w:val="0"/>
                  <w:vAlign w:val="center"/>
                </w:tcPr>
                <w:p w14:paraId="00F1BB10">
                  <w:pPr>
                    <w:pStyle w:val="31"/>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1.到2024年底，全市范围内每小时10蒸吨及以下燃煤锅炉全面淘汰；到2025年底，全市范围内每小时35蒸吨以下燃煤锅炉通过集中供热、清洁能源替代、深度治理等方式全面实现转型、升级、退出，县级及以上城市建成区在用锅炉（燃煤、燃油、燃生物质）全面改用电能等清洁能源或治理达到超低排放水平；禁止新建每小时35蒸吨以下燃煤锅炉，以及每小时10蒸吨及以下燃生物质和其他使用高污染燃料的锅炉。集中供热管网覆盖范围内禁止新建、扩建分散燃煤、燃油等供热锅炉。</w:t>
                  </w:r>
                </w:p>
                <w:p w14:paraId="1B1C9D2E">
                  <w:pPr>
                    <w:pStyle w:val="31"/>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2.按照“提气、转电、控煤”的发展思路，推动陶瓷行业进一步优化用能结构，实现能源消费清洁低碳化。</w:t>
                  </w:r>
                </w:p>
              </w:tc>
              <w:tc>
                <w:tcPr>
                  <w:tcW w:w="1316" w:type="pct"/>
                  <w:noWrap w:val="0"/>
                  <w:vAlign w:val="center"/>
                </w:tcPr>
                <w:p w14:paraId="0C98BD44">
                  <w:pPr>
                    <w:pStyle w:val="31"/>
                    <w:bidi w:val="0"/>
                    <w:jc w:val="left"/>
                    <w:rPr>
                      <w:rFonts w:hint="default" w:ascii="Times New Roman" w:hAnsi="Times New Roman" w:cs="Times New Roman"/>
                      <w:color w:val="000000"/>
                      <w:highlight w:val="none"/>
                    </w:rPr>
                  </w:pPr>
                  <w:r>
                    <w:rPr>
                      <w:rFonts w:hint="default" w:ascii="Times New Roman" w:hAnsi="Times New Roman" w:cs="Times New Roman"/>
                      <w:color w:val="000000"/>
                      <w:highlight w:val="none"/>
                    </w:rPr>
                    <w:t>本工程为渔业基础设施建设工程，施工期及运营期用水、用电</w:t>
                  </w:r>
                  <w:r>
                    <w:rPr>
                      <w:rFonts w:hint="default" w:ascii="Times New Roman" w:hAnsi="Times New Roman" w:cs="Times New Roman"/>
                      <w:color w:val="000000"/>
                      <w:highlight w:val="none"/>
                      <w:lang w:val="en-US" w:eastAsia="zh-CN"/>
                    </w:rPr>
                    <w:t>等依靠陆域且用量较少，不涉及使用锅炉。</w:t>
                  </w:r>
                </w:p>
              </w:tc>
              <w:tc>
                <w:tcPr>
                  <w:tcW w:w="267" w:type="pct"/>
                  <w:noWrap w:val="0"/>
                  <w:vAlign w:val="center"/>
                </w:tcPr>
                <w:p w14:paraId="0C9105CF">
                  <w:pPr>
                    <w:pStyle w:val="31"/>
                    <w:bidi w:val="0"/>
                    <w:jc w:val="center"/>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符合</w:t>
                  </w:r>
                </w:p>
              </w:tc>
            </w:tr>
            <w:tr w14:paraId="491ABC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4" w:hRule="atLeast"/>
              </w:trPr>
              <w:tc>
                <w:tcPr>
                  <w:tcW w:w="256" w:type="pct"/>
                  <w:noWrap w:val="0"/>
                  <w:vAlign w:val="center"/>
                </w:tcPr>
                <w:p w14:paraId="0F0520AF">
                  <w:pPr>
                    <w:pStyle w:val="31"/>
                    <w:bidi w:val="0"/>
                    <w:jc w:val="center"/>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海岸线</w:t>
                  </w:r>
                </w:p>
              </w:tc>
              <w:tc>
                <w:tcPr>
                  <w:tcW w:w="230" w:type="pct"/>
                  <w:noWrap w:val="0"/>
                  <w:vAlign w:val="center"/>
                </w:tcPr>
                <w:p w14:paraId="061CB068">
                  <w:pPr>
                    <w:pStyle w:val="31"/>
                    <w:bidi w:val="0"/>
                    <w:jc w:val="center"/>
                    <w:rPr>
                      <w:rFonts w:hint="default" w:ascii="Times New Roman" w:hAnsi="Times New Roman" w:cs="Times New Roman"/>
                      <w:color w:val="000000"/>
                      <w:highlight w:val="none"/>
                    </w:rPr>
                  </w:pPr>
                  <w:r>
                    <w:rPr>
                      <w:rFonts w:hint="default" w:ascii="Times New Roman" w:hAnsi="Times New Roman" w:cs="Times New Roman"/>
                      <w:color w:val="000000"/>
                      <w:highlight w:val="none"/>
                    </w:rPr>
                    <w:t>空间布局约束</w:t>
                  </w:r>
                </w:p>
              </w:tc>
              <w:tc>
                <w:tcPr>
                  <w:tcW w:w="2929" w:type="pct"/>
                  <w:noWrap w:val="0"/>
                  <w:vAlign w:val="center"/>
                </w:tcPr>
                <w:p w14:paraId="36BFA636">
                  <w:pPr>
                    <w:pStyle w:val="31"/>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1.严格限制建设项目占用自然岸线，项目选址和平面设计应当避让自然岸线。国家重大项目需要新增围填海等改变海域自然属性，以及线性工程等基础设施，渔港、陆岛交通码头、防灾减灾等民生工程，海洋生态修复等公益项目，需要建设非透水构筑物且无法避让的，可以占用自然岸线。确需占用自然岸线的建设项目，要落实集约节约利用等要求，严格进行论证，按照规定允许建设项目占用自然岸线的，应当通过整治修复等措施补充生态恢复岸线，补充长度不少于占用长度。</w:t>
                  </w:r>
                </w:p>
                <w:p w14:paraId="0F09D13A">
                  <w:pPr>
                    <w:pStyle w:val="31"/>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2.适时搬迁或取消松门、长安、小长门等闽江口内港作业区的油品、液体化工品码头功能，适度控制新建企业专用码头，推行码头共用。</w:t>
                  </w:r>
                </w:p>
                <w:p w14:paraId="22F72D1F">
                  <w:pPr>
                    <w:pStyle w:val="31"/>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3.实施港口建设分类引导和约束，严控港口重复建设。闽江口内港区重点准入对台“三通”客运项目，兼顾能源、集装箱等货运项目；福州（连江）国家远洋渔业基地核心区远洋渔业母港重点准入远洋渔业装卸码头、渔港、锚地、航道建设项目；江阴港区重点准入集装箱运输项目，兼顾散杂货、化工品和商品汽车运输项目；松下港区重点准入粮食、散杂货运输项目；罗源湾港区重点准入煤炭、矿石等散货运输项目。</w:t>
                  </w:r>
                </w:p>
              </w:tc>
              <w:tc>
                <w:tcPr>
                  <w:tcW w:w="1316" w:type="pct"/>
                  <w:noWrap w:val="0"/>
                  <w:vAlign w:val="center"/>
                </w:tcPr>
                <w:p w14:paraId="3952BFEB">
                  <w:pPr>
                    <w:pStyle w:val="31"/>
                    <w:bidi w:val="0"/>
                    <w:jc w:val="left"/>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本项目</w:t>
                  </w:r>
                  <w:r>
                    <w:rPr>
                      <w:rFonts w:hint="default" w:ascii="Times New Roman" w:hAnsi="Times New Roman" w:cs="Times New Roman"/>
                      <w:color w:val="000000"/>
                      <w:highlight w:val="none"/>
                    </w:rPr>
                    <w:t>为渔业基础设施建设工程</w:t>
                  </w:r>
                  <w:r>
                    <w:rPr>
                      <w:rFonts w:hint="default" w:ascii="Times New Roman" w:hAnsi="Times New Roman" w:cs="Times New Roman"/>
                      <w:color w:val="000000"/>
                      <w:highlight w:val="none"/>
                      <w:lang w:val="en-US" w:eastAsia="zh-CN"/>
                    </w:rPr>
                    <w:t>，项目建设占用人工岸线26.6m，不占用自然岸线，不形成新的岸线。2023年4月21日，本项目已取得海域使用权证（附件7），项目海域使用类型为“渔业用海”中的“渔业基础设施用海”，主体工程用海方式包括非透水构筑物和港池，用海总面积89.8406公顷。</w:t>
                  </w:r>
                </w:p>
              </w:tc>
              <w:tc>
                <w:tcPr>
                  <w:tcW w:w="267" w:type="pct"/>
                  <w:noWrap w:val="0"/>
                  <w:vAlign w:val="center"/>
                </w:tcPr>
                <w:p w14:paraId="5767428A">
                  <w:pPr>
                    <w:pStyle w:val="31"/>
                    <w:bidi w:val="0"/>
                    <w:jc w:val="center"/>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符合</w:t>
                  </w:r>
                </w:p>
              </w:tc>
            </w:tr>
            <w:tr w14:paraId="330030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6" w:type="pct"/>
                  <w:vMerge w:val="restart"/>
                  <w:noWrap w:val="0"/>
                  <w:vAlign w:val="center"/>
                </w:tcPr>
                <w:p w14:paraId="247E3057">
                  <w:pPr>
                    <w:pStyle w:val="31"/>
                    <w:bidi w:val="0"/>
                    <w:jc w:val="center"/>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近岸海域</w:t>
                  </w:r>
                </w:p>
              </w:tc>
              <w:tc>
                <w:tcPr>
                  <w:tcW w:w="230" w:type="pct"/>
                  <w:noWrap w:val="0"/>
                  <w:vAlign w:val="center"/>
                </w:tcPr>
                <w:p w14:paraId="6852BB50">
                  <w:pPr>
                    <w:pStyle w:val="31"/>
                    <w:bidi w:val="0"/>
                    <w:jc w:val="center"/>
                    <w:rPr>
                      <w:rFonts w:hint="default" w:ascii="Times New Roman" w:hAnsi="Times New Roman" w:cs="Times New Roman"/>
                      <w:color w:val="000000"/>
                      <w:highlight w:val="none"/>
                    </w:rPr>
                  </w:pPr>
                  <w:r>
                    <w:rPr>
                      <w:rFonts w:hint="default" w:ascii="Times New Roman" w:hAnsi="Times New Roman" w:cs="Times New Roman"/>
                      <w:color w:val="000000"/>
                      <w:highlight w:val="none"/>
                    </w:rPr>
                    <w:t>空间布局约束</w:t>
                  </w:r>
                </w:p>
              </w:tc>
              <w:tc>
                <w:tcPr>
                  <w:tcW w:w="2929" w:type="pct"/>
                  <w:noWrap w:val="0"/>
                  <w:vAlign w:val="center"/>
                </w:tcPr>
                <w:p w14:paraId="5ABAA777">
                  <w:pPr>
                    <w:pStyle w:val="31"/>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1.严格落实国家围填海管控规定，除国家重大项目外，全面禁止围填海。</w:t>
                  </w:r>
                </w:p>
                <w:p w14:paraId="60D568EF">
                  <w:pPr>
                    <w:pStyle w:val="31"/>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2.强化生态保护红线区的管控，确保邻近的交通运输用海、工矿通信用海等功能区开发活动不得影响生态保护红线区的功能。强化闽江口、福清湾及兴化湾重要滨海湿地保护，禁止破坏芦苇荡等植被群落，生产设施与水禽筑巢区、觅食及栖息地等集中分布区须保留安全距离；禁止高噪音等惊扰鸟类的作业，禁止大面积使用栖息水鸟害怕的颜色。</w:t>
                  </w:r>
                </w:p>
                <w:p w14:paraId="00A1F78C">
                  <w:pPr>
                    <w:pStyle w:val="31"/>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3.江阴特殊利用区内设置排污口，需严格论证并执行污水达标排放和设置深水排放口，不得影响临近的兴化湾水鸟省级自然保护区。</w:t>
                  </w:r>
                </w:p>
                <w:p w14:paraId="4AAAC89E">
                  <w:pPr>
                    <w:pStyle w:val="31"/>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4.优化调整环罗源湾区域发展定位和产业布局。大官坂组团发展污染相对较低的石化中下游产业和精细化工产品，并适当控制其发展规模，不再扩大聚酰胺一体化及配套项目规模。松山片区禁止引进、建设集中电镀、制浆、医药、农药、酿造等重污染项目。</w:t>
                  </w:r>
                </w:p>
                <w:p w14:paraId="2C708C0C">
                  <w:pPr>
                    <w:pStyle w:val="31"/>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5.严格落实养殖水域滩涂规划，防止超规划养殖反弹回潮，进一步优化海水养殖空间布局。禁养区内和规划范围外的海水养殖予以退出；罗源湾禁养区禁止开展水产养殖，限养区不得开展网箱养殖。</w:t>
                  </w:r>
                </w:p>
                <w:p w14:paraId="4475F5E2">
                  <w:pPr>
                    <w:pStyle w:val="31"/>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6.涉及利用无居民海岛的，原则上仅允许按照相关规定对海岛自然岸线、表面积、岛体、植被改变轻微的低影响利用方式。</w:t>
                  </w:r>
                </w:p>
              </w:tc>
              <w:tc>
                <w:tcPr>
                  <w:tcW w:w="1316" w:type="pct"/>
                  <w:noWrap w:val="0"/>
                  <w:vAlign w:val="center"/>
                </w:tcPr>
                <w:p w14:paraId="101CEDBE">
                  <w:pPr>
                    <w:pStyle w:val="31"/>
                    <w:bidi w:val="0"/>
                    <w:jc w:val="left"/>
                    <w:rPr>
                      <w:rFonts w:hint="default" w:ascii="Times New Roman" w:hAnsi="Times New Roman" w:eastAsia="宋体" w:cs="Times New Roman"/>
                      <w:b w:val="0"/>
                      <w:bCs w:val="0"/>
                      <w:color w:val="000000"/>
                      <w:highlight w:val="none"/>
                      <w:lang w:val="en-US" w:eastAsia="zh-CN"/>
                    </w:rPr>
                  </w:pPr>
                  <w:r>
                    <w:rPr>
                      <w:rFonts w:hint="default" w:ascii="Times New Roman" w:hAnsi="Times New Roman" w:cs="Times New Roman"/>
                      <w:color w:val="000000"/>
                      <w:highlight w:val="none"/>
                      <w:lang w:val="en-US" w:eastAsia="zh-CN"/>
                    </w:rPr>
                    <w:t>本项目用海方式包括非透水构筑物和港池，不涉及围填海。项目不占用生态保护红线、城镇开发边界线和永久基本农田保护红线。根据《福州市养殖水域滩涂规划（2018-2030年）》，本项目位于海坛海峡西部养殖区和兴化湾限养区，项目用海与周边海水养殖户的相关利益关系可以协调，在严格执行环保要求的前提下，项目运营对周边海水养殖影响不大。项目建设没有占用海岛，没有对周边岛礁进行连岛、爆破等破坏岛礁属性的作业，对岛礁资源没有损耗。</w:t>
                  </w:r>
                </w:p>
              </w:tc>
              <w:tc>
                <w:tcPr>
                  <w:tcW w:w="267" w:type="pct"/>
                  <w:noWrap w:val="0"/>
                  <w:vAlign w:val="center"/>
                </w:tcPr>
                <w:p w14:paraId="73DB822F">
                  <w:pPr>
                    <w:pStyle w:val="31"/>
                    <w:bidi w:val="0"/>
                    <w:jc w:val="center"/>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符合</w:t>
                  </w:r>
                </w:p>
              </w:tc>
            </w:tr>
            <w:tr w14:paraId="1C9458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6" w:type="pct"/>
                  <w:vMerge w:val="continue"/>
                  <w:noWrap w:val="0"/>
                  <w:vAlign w:val="center"/>
                </w:tcPr>
                <w:p w14:paraId="2879BA3A">
                  <w:pPr>
                    <w:pStyle w:val="31"/>
                    <w:bidi w:val="0"/>
                    <w:jc w:val="center"/>
                    <w:rPr>
                      <w:rFonts w:hint="default" w:ascii="Times New Roman" w:hAnsi="Times New Roman" w:cs="Times New Roman"/>
                      <w:color w:val="000000"/>
                      <w:highlight w:val="none"/>
                    </w:rPr>
                  </w:pPr>
                </w:p>
              </w:tc>
              <w:tc>
                <w:tcPr>
                  <w:tcW w:w="230" w:type="pct"/>
                  <w:noWrap w:val="0"/>
                  <w:vAlign w:val="center"/>
                </w:tcPr>
                <w:p w14:paraId="262A391C">
                  <w:pPr>
                    <w:pStyle w:val="31"/>
                    <w:bidi w:val="0"/>
                    <w:jc w:val="center"/>
                    <w:rPr>
                      <w:rFonts w:hint="default" w:ascii="Times New Roman" w:hAnsi="Times New Roman" w:cs="Times New Roman"/>
                      <w:color w:val="000000"/>
                      <w:highlight w:val="none"/>
                    </w:rPr>
                  </w:pPr>
                  <w:r>
                    <w:rPr>
                      <w:rFonts w:hint="default" w:ascii="Times New Roman" w:hAnsi="Times New Roman" w:cs="Times New Roman"/>
                      <w:color w:val="000000"/>
                      <w:highlight w:val="none"/>
                    </w:rPr>
                    <w:t>污染物排放管控</w:t>
                  </w:r>
                </w:p>
              </w:tc>
              <w:tc>
                <w:tcPr>
                  <w:tcW w:w="2929" w:type="pct"/>
                  <w:noWrap w:val="0"/>
                  <w:vAlign w:val="center"/>
                </w:tcPr>
                <w:p w14:paraId="2380CAB8">
                  <w:pPr>
                    <w:pStyle w:val="31"/>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1.罗源湾实行主要污染物入海总量控制。合理设置湾内排污口，化工废水应全部引至湾外排放，可门经济区污水排放落实湾外深海排放。全面推进罗源湾入海排污口排查溯源、分类整治和起步溪等入海溪流综合整治。提升罗源湾港区污染物接收处理能力。</w:t>
                  </w:r>
                </w:p>
                <w:p w14:paraId="63979BF8">
                  <w:pPr>
                    <w:pStyle w:val="31"/>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2.实行闽江口主要污染物入海总量控制，控制闽江入海断面水质，削减氮磷入海总量。巩固深化闽江口综合整治成效，持续开展闽江口周边入海溪流水质提升行动，全面推进闽江口入海排污口排查溯源和分类整治。优化闽江口以北连江东部海域养殖结构和布局，控制养殖密度和规模。</w:t>
                  </w:r>
                </w:p>
                <w:p w14:paraId="72D8ABF3">
                  <w:pPr>
                    <w:pStyle w:val="31"/>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3.全面开展福清湾入海排污口排查溯源和分类整治，加强福清湾及龙江沿岸农村生活污水、生活垃圾的收集处理处置。严格控制湾内投饵型网箱养殖规模和密度，实行生态养殖，强化养殖污染防治和养殖尾水治理监管。</w:t>
                  </w:r>
                </w:p>
                <w:p w14:paraId="78875613">
                  <w:pPr>
                    <w:pStyle w:val="31"/>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4.兴化湾实行主要污染物入海总量控制，全面开展兴化湾福州段入海排污口排查溯源和分类整治，加快推动沿岸乡镇配套污水管网建设及江阴工业区污水处理厂提标改造，湾内严格控制投饵型网箱养殖规模和密度，实行生态养殖，强化养殖污染防治和养殖尾水治理监管。</w:t>
                  </w:r>
                </w:p>
                <w:p w14:paraId="37CC2A8D">
                  <w:pPr>
                    <w:pStyle w:val="31"/>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5.近岸海域汇水区域内城镇污水处理设施执行不低于一级A排放标准，推进沿海农村生活污水收集处理。</w:t>
                  </w:r>
                </w:p>
                <w:p w14:paraId="1CAEADB3">
                  <w:pPr>
                    <w:pStyle w:val="31"/>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6.出台福州市养殖尾水排放标准，强化养殖尾水治理和排放监测监管。控制养殖规模和密度，发展生态养殖，推进传统养殖设施的升级改造，推广环保型全塑胶鱼排和深水抗风浪网箱。实施海水养殖排污口排查整治，推进分类治理及规范化设置，实施规模化养殖池塘标准化改造。</w:t>
                  </w:r>
                </w:p>
                <w:p w14:paraId="6EBDCE94">
                  <w:pPr>
                    <w:pStyle w:val="31"/>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7.强化陆海污染联防联控，推动“蓝色海湾”整治项目、海岸带生态保护修复工程等重大工程建设，推进沿海岸线自然化和生态保护修复。</w:t>
                  </w:r>
                </w:p>
                <w:p w14:paraId="65960F49">
                  <w:pPr>
                    <w:pStyle w:val="31"/>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8.闽江口内港区现有油品和危险品（液化石油气）码头搬迁前应切实保障现有油污水处理设施的有效性，搬迁后由江阴港区、罗源湾港区在对应码头设立油污水接收处理系统。其他港区的生产性油污水由码头自建油污水处理设施处理达标后排入依托城市污水处理厂，杜绝港区油污水散排。</w:t>
                  </w:r>
                </w:p>
                <w:p w14:paraId="64C1D5FA">
                  <w:pPr>
                    <w:pStyle w:val="31"/>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9.提升海上环卫队伍专业化水平，强化海陆环卫无缝衔接，完善海漂垃圾收集处置设施建设，实现海滩海面常态化清理保洁，强化渔业垃圾等管控，强化重点旅游岸段及罗源湾、兴化湾等重点岸段的监视监控，定期开展专项整治行动。</w:t>
                  </w:r>
                </w:p>
                <w:p w14:paraId="2D5674D2">
                  <w:pPr>
                    <w:pStyle w:val="31"/>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10.巩固深化罗源湾、闽江口、福清湾、兴化湾等重点海湾综合治理，持续改善近岸海域环境质量。</w:t>
                  </w:r>
                </w:p>
                <w:p w14:paraId="589DDB80">
                  <w:pPr>
                    <w:pStyle w:val="31"/>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11.加强陆海统筹和区域协同，深化闽江、敖江、龙江主要入海河流及占泽溪等入海小流域综合治理；因地制宜加强总氮排放控制，实施入海河流总氮削减工程。</w:t>
                  </w:r>
                </w:p>
                <w:p w14:paraId="4B5A2AA3">
                  <w:pPr>
                    <w:pStyle w:val="31"/>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12.推进省级及以上工业园区完成污水零直排建设，建设福清江阴港城经济区等一批“污水零直排”示范园区。</w:t>
                  </w:r>
                </w:p>
                <w:p w14:paraId="08FC15D0">
                  <w:pPr>
                    <w:pStyle w:val="31"/>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13.持续推进福州市美丽海湾保护与建设，到2025年，鉴江半岛-黄岐半岛东部海域湾区、长乐东部海域湾区建成国家级美丽海湾。</w:t>
                  </w:r>
                </w:p>
              </w:tc>
              <w:tc>
                <w:tcPr>
                  <w:tcW w:w="1316" w:type="pct"/>
                  <w:noWrap w:val="0"/>
                  <w:vAlign w:val="center"/>
                </w:tcPr>
                <w:p w14:paraId="607A0955">
                  <w:pPr>
                    <w:pStyle w:val="31"/>
                    <w:bidi w:val="0"/>
                    <w:jc w:val="left"/>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本项目运营期港区生产废水、生活污水收集经污水处理站处理后，回用于港区绿化灌溉、洒水及冲洗用水，不外排。废气主要为燃油废气、卸渔区、污水处理站恶臭气体及食堂油烟，不涉及VOC</w:t>
                  </w:r>
                  <w:r>
                    <w:rPr>
                      <w:rFonts w:hint="default" w:ascii="Times New Roman" w:hAnsi="Times New Roman" w:cs="Times New Roman"/>
                      <w:color w:val="000000"/>
                      <w:highlight w:val="none"/>
                      <w:vertAlign w:val="subscript"/>
                      <w:lang w:val="en-US" w:eastAsia="zh-CN"/>
                    </w:rPr>
                    <w:t>S</w:t>
                  </w:r>
                  <w:r>
                    <w:rPr>
                      <w:rFonts w:hint="default" w:ascii="Times New Roman" w:hAnsi="Times New Roman" w:cs="Times New Roman"/>
                      <w:color w:val="000000"/>
                      <w:highlight w:val="none"/>
                      <w:lang w:val="en-US" w:eastAsia="zh-CN"/>
                    </w:rPr>
                    <w:t>排放。本项目无需进行总量控制，不设置入海排污口。</w:t>
                  </w:r>
                </w:p>
              </w:tc>
              <w:tc>
                <w:tcPr>
                  <w:tcW w:w="267" w:type="pct"/>
                  <w:noWrap w:val="0"/>
                  <w:vAlign w:val="center"/>
                </w:tcPr>
                <w:p w14:paraId="5B65BF7C">
                  <w:pPr>
                    <w:pStyle w:val="31"/>
                    <w:bidi w:val="0"/>
                    <w:jc w:val="center"/>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符合</w:t>
                  </w:r>
                </w:p>
              </w:tc>
            </w:tr>
            <w:tr w14:paraId="4C5B93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5"/>
                  <w:noWrap w:val="0"/>
                  <w:vAlign w:val="center"/>
                </w:tcPr>
                <w:p w14:paraId="77A4AE5E">
                  <w:pPr>
                    <w:pStyle w:val="31"/>
                    <w:bidi w:val="0"/>
                    <w:jc w:val="both"/>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名词解释：[1]重点重金属污染物：包括铅、汞、镉、铬、砷、铊和锑，对其中铅、汞、镉、铬和砷五种重点重金属污染物排放量实施总量控制。</w:t>
                  </w:r>
                </w:p>
                <w:p w14:paraId="616A4EFE">
                  <w:pPr>
                    <w:pStyle w:val="31"/>
                    <w:bidi w:val="0"/>
                    <w:ind w:firstLine="1050" w:firstLineChars="500"/>
                    <w:jc w:val="both"/>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重点行业：包括涉重有色金属矿采选业（铜、铅锌、镍钴、锡、锑和汞矿采选），涉重有色金属冶炼业（铜、铅锌、镍钴、锡、锑和汞冶炼），铅蓄电池制造业，电镀行业，化学原料及化学制品制造业（电石法（聚）氯乙烯制造、铬盐制造、以工业固体废物为原料的锌无机化合物工业），皮革鞣制加工业等6个行业。</w:t>
                  </w:r>
                </w:p>
                <w:p w14:paraId="5B7C55B8">
                  <w:pPr>
                    <w:pStyle w:val="31"/>
                    <w:bidi w:val="0"/>
                    <w:ind w:firstLine="1050" w:firstLineChars="500"/>
                    <w:jc w:val="both"/>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[3]水泥行业超低排放实施范围：包括水泥熟料生产企业和独立水泥粉磨站（含生产特种水泥、协同处置固废的水泥企业）。</w:t>
                  </w:r>
                </w:p>
                <w:p w14:paraId="18CCE1D1">
                  <w:pPr>
                    <w:pStyle w:val="31"/>
                    <w:bidi w:val="0"/>
                    <w:ind w:firstLine="1050" w:firstLineChars="500"/>
                    <w:jc w:val="both"/>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[4]水泥企业超低排放：是指所有生产环节（破碎、粉磨、配料、熟料煅烧、烘干、协同处置等，以及原料、燃料和产品储存运输）的大气污染物有组织、无组织排放及运输过程达到超低排放要求。</w:t>
                  </w:r>
                </w:p>
              </w:tc>
            </w:tr>
          </w:tbl>
          <w:p w14:paraId="7E94921B">
            <w:pPr>
              <w:pStyle w:val="30"/>
              <w:bidi w:val="0"/>
              <w:rPr>
                <w:rFonts w:hint="default" w:ascii="Times New Roman" w:hAnsi="Times New Roman" w:cs="Times New Roman"/>
                <w:color w:val="000000"/>
                <w:highlight w:val="none"/>
                <w:lang w:val="en-US" w:eastAsia="zh-CN"/>
              </w:rPr>
            </w:pPr>
            <w:bookmarkStart w:id="125" w:name="_Ref10320"/>
            <w:bookmarkStart w:id="126" w:name="_Ref13178"/>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1.2</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表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6</w:t>
            </w:r>
            <w:r>
              <w:rPr>
                <w:rFonts w:hint="default" w:ascii="Times New Roman" w:hAnsi="Times New Roman" w:cs="Times New Roman"/>
                <w:color w:val="000000"/>
                <w:highlight w:val="none"/>
              </w:rPr>
              <w:fldChar w:fldCharType="end"/>
            </w:r>
            <w:bookmarkEnd w:id="124"/>
            <w:bookmarkEnd w:id="125"/>
            <w:bookmarkEnd w:id="126"/>
            <w:r>
              <w:rPr>
                <w:rFonts w:hint="default" w:ascii="Times New Roman" w:hAnsi="Times New Roman" w:cs="Times New Roman"/>
                <w:color w:val="000000"/>
                <w:highlight w:val="none"/>
                <w:lang w:val="en-US" w:eastAsia="zh-CN"/>
              </w:rPr>
              <w:t xml:space="preserve"> 与福州市近岸海域、福州市福清市生态环境准入清单符合性分析</w:t>
            </w:r>
          </w:p>
          <w:tbl>
            <w:tblPr>
              <w:tblStyle w:val="2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75"/>
              <w:gridCol w:w="798"/>
              <w:gridCol w:w="631"/>
              <w:gridCol w:w="974"/>
              <w:gridCol w:w="4939"/>
              <w:gridCol w:w="2992"/>
              <w:gridCol w:w="713"/>
            </w:tblGrid>
            <w:tr w14:paraId="18181D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1098" w:type="dxa"/>
                  <w:noWrap w:val="0"/>
                  <w:vAlign w:val="center"/>
                </w:tcPr>
                <w:p w14:paraId="69D244ED">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环境管控单元编码</w:t>
                  </w:r>
                </w:p>
              </w:tc>
              <w:tc>
                <w:tcPr>
                  <w:tcW w:w="914" w:type="dxa"/>
                  <w:noWrap w:val="0"/>
                  <w:vAlign w:val="center"/>
                </w:tcPr>
                <w:p w14:paraId="75886565">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环境管控单元名称</w:t>
                  </w:r>
                </w:p>
              </w:tc>
              <w:tc>
                <w:tcPr>
                  <w:tcW w:w="695" w:type="dxa"/>
                  <w:noWrap w:val="0"/>
                  <w:vAlign w:val="center"/>
                </w:tcPr>
                <w:p w14:paraId="3EDD670C">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管控单元类别</w:t>
                  </w:r>
                </w:p>
              </w:tc>
              <w:tc>
                <w:tcPr>
                  <w:tcW w:w="7350" w:type="dxa"/>
                  <w:gridSpan w:val="2"/>
                  <w:noWrap w:val="0"/>
                  <w:vAlign w:val="center"/>
                </w:tcPr>
                <w:p w14:paraId="5E440962">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管控要求</w:t>
                  </w:r>
                </w:p>
              </w:tc>
              <w:tc>
                <w:tcPr>
                  <w:tcW w:w="3314" w:type="dxa"/>
                  <w:noWrap w:val="0"/>
                  <w:vAlign w:val="center"/>
                </w:tcPr>
                <w:p w14:paraId="3799FE9E">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符合性分析</w:t>
                  </w:r>
                </w:p>
              </w:tc>
              <w:tc>
                <w:tcPr>
                  <w:tcW w:w="803" w:type="dxa"/>
                  <w:noWrap w:val="0"/>
                  <w:vAlign w:val="center"/>
                </w:tcPr>
                <w:p w14:paraId="5771F4F5">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是否符合</w:t>
                  </w:r>
                </w:p>
              </w:tc>
            </w:tr>
            <w:tr w14:paraId="3E51E7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98" w:type="dxa"/>
                  <w:vMerge w:val="restart"/>
                  <w:noWrap w:val="0"/>
                  <w:vAlign w:val="center"/>
                </w:tcPr>
                <w:p w14:paraId="1AE92404">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ZH35018120008</w:t>
                  </w:r>
                </w:p>
              </w:tc>
              <w:tc>
                <w:tcPr>
                  <w:tcW w:w="914" w:type="dxa"/>
                  <w:vMerge w:val="restart"/>
                  <w:noWrap w:val="0"/>
                  <w:vAlign w:val="center"/>
                </w:tcPr>
                <w:p w14:paraId="6388509E">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福清市重点管控单元1</w:t>
                  </w:r>
                </w:p>
              </w:tc>
              <w:tc>
                <w:tcPr>
                  <w:tcW w:w="695" w:type="dxa"/>
                  <w:vMerge w:val="restart"/>
                  <w:noWrap w:val="0"/>
                  <w:vAlign w:val="center"/>
                </w:tcPr>
                <w:p w14:paraId="6B27C931">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重点管控单元</w:t>
                  </w:r>
                </w:p>
              </w:tc>
              <w:tc>
                <w:tcPr>
                  <w:tcW w:w="1146" w:type="dxa"/>
                  <w:noWrap w:val="0"/>
                  <w:vAlign w:val="center"/>
                </w:tcPr>
                <w:p w14:paraId="5C2638A5">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空间布局约束</w:t>
                  </w:r>
                </w:p>
              </w:tc>
              <w:tc>
                <w:tcPr>
                  <w:tcW w:w="6204" w:type="dxa"/>
                  <w:noWrap w:val="0"/>
                  <w:vAlign w:val="center"/>
                </w:tcPr>
                <w:p w14:paraId="65A61B80">
                  <w:pPr>
                    <w:pStyle w:val="31"/>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严禁在城镇人口密集区新建危险化学品生产企业；现有不符合安全和卫生防护距离要求的危险化学品生产企业2025年底前完成就地改造达标、搬迁进入规范化工园区或关闭退出。城市建成区内现有有色金属、印染、原料药制造、化工等污染较重的企业应有序搬迁改造或依法关闭。</w:t>
                  </w:r>
                </w:p>
                <w:p w14:paraId="19F52653">
                  <w:pPr>
                    <w:pStyle w:val="31"/>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2.严格控制包装印刷、工业涂装、制鞋等高VOCs排放的项目建设，相关新建项目必须进入工业园区。</w:t>
                  </w:r>
                </w:p>
                <w:p w14:paraId="2E9FF623">
                  <w:pPr>
                    <w:pStyle w:val="31"/>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3.禁止开发利用未经评估和无害化处理的列入建设用地污染地块名录及开发利用负面清单的土地。</w:t>
                  </w:r>
                </w:p>
              </w:tc>
              <w:tc>
                <w:tcPr>
                  <w:tcW w:w="3314" w:type="dxa"/>
                  <w:noWrap w:val="0"/>
                  <w:vAlign w:val="center"/>
                </w:tcPr>
                <w:p w14:paraId="46791A56">
                  <w:pPr>
                    <w:pStyle w:val="31"/>
                    <w:bidi w:val="0"/>
                    <w:jc w:val="left"/>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本项目为福清市海亮沃口一级渔港</w:t>
                  </w:r>
                  <w:r>
                    <w:rPr>
                      <w:rFonts w:hint="eastAsia" w:cs="Times New Roman"/>
                      <w:color w:val="000000"/>
                      <w:highlight w:val="none"/>
                      <w:lang w:val="en-US" w:eastAsia="zh-CN"/>
                    </w:rPr>
                    <w:t>工程</w:t>
                  </w:r>
                  <w:r>
                    <w:rPr>
                      <w:rFonts w:hint="default" w:ascii="Times New Roman" w:hAnsi="Times New Roman" w:cs="Times New Roman"/>
                      <w:color w:val="000000"/>
                      <w:highlight w:val="none"/>
                      <w:lang w:val="en-US" w:eastAsia="zh-CN"/>
                    </w:rPr>
                    <w:t>，属于渔业基础设施建设，不涉及所列的行业类别。</w:t>
                  </w:r>
                </w:p>
              </w:tc>
              <w:tc>
                <w:tcPr>
                  <w:tcW w:w="803" w:type="dxa"/>
                  <w:noWrap w:val="0"/>
                  <w:vAlign w:val="center"/>
                </w:tcPr>
                <w:p w14:paraId="6F626202">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符合</w:t>
                  </w:r>
                </w:p>
              </w:tc>
            </w:tr>
            <w:tr w14:paraId="529E6B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98" w:type="dxa"/>
                  <w:vMerge w:val="continue"/>
                  <w:noWrap w:val="0"/>
                  <w:vAlign w:val="center"/>
                </w:tcPr>
                <w:p w14:paraId="64B5B5C8">
                  <w:pPr>
                    <w:pStyle w:val="31"/>
                    <w:bidi w:val="0"/>
                    <w:jc w:val="center"/>
                    <w:rPr>
                      <w:rFonts w:hint="default" w:ascii="Times New Roman" w:hAnsi="Times New Roman" w:cs="Times New Roman"/>
                      <w:color w:val="000000"/>
                      <w:highlight w:val="none"/>
                      <w:lang w:val="en-US" w:eastAsia="zh-CN"/>
                    </w:rPr>
                  </w:pPr>
                </w:p>
              </w:tc>
              <w:tc>
                <w:tcPr>
                  <w:tcW w:w="914" w:type="dxa"/>
                  <w:vMerge w:val="continue"/>
                  <w:noWrap w:val="0"/>
                  <w:vAlign w:val="center"/>
                </w:tcPr>
                <w:p w14:paraId="32D685DC">
                  <w:pPr>
                    <w:pStyle w:val="31"/>
                    <w:bidi w:val="0"/>
                    <w:jc w:val="center"/>
                    <w:rPr>
                      <w:rFonts w:hint="default" w:ascii="Times New Roman" w:hAnsi="Times New Roman" w:cs="Times New Roman"/>
                      <w:color w:val="000000"/>
                      <w:highlight w:val="none"/>
                      <w:lang w:val="en-US" w:eastAsia="zh-CN"/>
                    </w:rPr>
                  </w:pPr>
                </w:p>
              </w:tc>
              <w:tc>
                <w:tcPr>
                  <w:tcW w:w="695" w:type="dxa"/>
                  <w:vMerge w:val="continue"/>
                  <w:noWrap w:val="0"/>
                  <w:vAlign w:val="center"/>
                </w:tcPr>
                <w:p w14:paraId="027DA271">
                  <w:pPr>
                    <w:pStyle w:val="31"/>
                    <w:bidi w:val="0"/>
                    <w:jc w:val="center"/>
                    <w:rPr>
                      <w:rFonts w:hint="default" w:ascii="Times New Roman" w:hAnsi="Times New Roman" w:cs="Times New Roman"/>
                      <w:color w:val="000000"/>
                      <w:highlight w:val="none"/>
                      <w:lang w:val="en-US" w:eastAsia="zh-CN"/>
                    </w:rPr>
                  </w:pPr>
                </w:p>
              </w:tc>
              <w:tc>
                <w:tcPr>
                  <w:tcW w:w="1146" w:type="dxa"/>
                  <w:noWrap w:val="0"/>
                  <w:vAlign w:val="center"/>
                </w:tcPr>
                <w:p w14:paraId="6A219817">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污染物排放管控</w:t>
                  </w:r>
                </w:p>
              </w:tc>
              <w:tc>
                <w:tcPr>
                  <w:tcW w:w="6204" w:type="dxa"/>
                  <w:noWrap w:val="0"/>
                  <w:vAlign w:val="center"/>
                </w:tcPr>
                <w:p w14:paraId="67D6C76A">
                  <w:pPr>
                    <w:pStyle w:val="31"/>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落实新增二氧化硫、氮氧化物和VOC</w:t>
                  </w:r>
                  <w:r>
                    <w:rPr>
                      <w:rFonts w:hint="default" w:ascii="Times New Roman" w:hAnsi="Times New Roman" w:cs="Times New Roman"/>
                      <w:color w:val="000000"/>
                      <w:highlight w:val="none"/>
                      <w:vertAlign w:val="subscript"/>
                      <w:lang w:val="en-US" w:eastAsia="zh-CN"/>
                    </w:rPr>
                    <w:t>S</w:t>
                  </w:r>
                  <w:r>
                    <w:rPr>
                      <w:rFonts w:hint="default" w:ascii="Times New Roman" w:hAnsi="Times New Roman" w:cs="Times New Roman"/>
                      <w:color w:val="000000"/>
                      <w:highlight w:val="none"/>
                      <w:lang w:val="en-US" w:eastAsia="zh-CN"/>
                    </w:rPr>
                    <w:t>排放总量控制要求。</w:t>
                  </w:r>
                </w:p>
              </w:tc>
              <w:tc>
                <w:tcPr>
                  <w:tcW w:w="3314" w:type="dxa"/>
                  <w:noWrap w:val="0"/>
                  <w:vAlign w:val="center"/>
                </w:tcPr>
                <w:p w14:paraId="3343E6F1">
                  <w:pPr>
                    <w:pStyle w:val="31"/>
                    <w:bidi w:val="0"/>
                    <w:jc w:val="left"/>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本项目运营期废气主要为燃油废气、卸渔区、污水处理站恶臭气体及食堂油烟，无需进行总量控制。</w:t>
                  </w:r>
                </w:p>
              </w:tc>
              <w:tc>
                <w:tcPr>
                  <w:tcW w:w="803" w:type="dxa"/>
                  <w:noWrap w:val="0"/>
                  <w:vAlign w:val="center"/>
                </w:tcPr>
                <w:p w14:paraId="1CDA3BFD">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符合</w:t>
                  </w:r>
                </w:p>
              </w:tc>
            </w:tr>
            <w:tr w14:paraId="1EE5D3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98" w:type="dxa"/>
                  <w:vMerge w:val="continue"/>
                  <w:noWrap w:val="0"/>
                  <w:vAlign w:val="center"/>
                </w:tcPr>
                <w:p w14:paraId="699DAE61">
                  <w:pPr>
                    <w:pStyle w:val="31"/>
                    <w:bidi w:val="0"/>
                    <w:jc w:val="center"/>
                    <w:rPr>
                      <w:rFonts w:hint="default" w:ascii="Times New Roman" w:hAnsi="Times New Roman" w:cs="Times New Roman"/>
                      <w:color w:val="000000"/>
                      <w:highlight w:val="none"/>
                      <w:lang w:val="en-US" w:eastAsia="zh-CN"/>
                    </w:rPr>
                  </w:pPr>
                </w:p>
              </w:tc>
              <w:tc>
                <w:tcPr>
                  <w:tcW w:w="914" w:type="dxa"/>
                  <w:vMerge w:val="continue"/>
                  <w:noWrap w:val="0"/>
                  <w:vAlign w:val="center"/>
                </w:tcPr>
                <w:p w14:paraId="328672FA">
                  <w:pPr>
                    <w:pStyle w:val="31"/>
                    <w:bidi w:val="0"/>
                    <w:jc w:val="center"/>
                    <w:rPr>
                      <w:rFonts w:hint="default" w:ascii="Times New Roman" w:hAnsi="Times New Roman" w:cs="Times New Roman"/>
                      <w:color w:val="000000"/>
                      <w:highlight w:val="none"/>
                      <w:lang w:val="en-US" w:eastAsia="zh-CN"/>
                    </w:rPr>
                  </w:pPr>
                </w:p>
              </w:tc>
              <w:tc>
                <w:tcPr>
                  <w:tcW w:w="695" w:type="dxa"/>
                  <w:vMerge w:val="continue"/>
                  <w:noWrap w:val="0"/>
                  <w:vAlign w:val="center"/>
                </w:tcPr>
                <w:p w14:paraId="2A00B050">
                  <w:pPr>
                    <w:pStyle w:val="31"/>
                    <w:bidi w:val="0"/>
                    <w:jc w:val="center"/>
                    <w:rPr>
                      <w:rFonts w:hint="default" w:ascii="Times New Roman" w:hAnsi="Times New Roman" w:cs="Times New Roman"/>
                      <w:color w:val="000000"/>
                      <w:highlight w:val="none"/>
                      <w:lang w:val="en-US" w:eastAsia="zh-CN"/>
                    </w:rPr>
                  </w:pPr>
                </w:p>
              </w:tc>
              <w:tc>
                <w:tcPr>
                  <w:tcW w:w="1146" w:type="dxa"/>
                  <w:noWrap w:val="0"/>
                  <w:vAlign w:val="center"/>
                </w:tcPr>
                <w:p w14:paraId="312C17C1">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环境风险防控</w:t>
                  </w:r>
                </w:p>
              </w:tc>
              <w:tc>
                <w:tcPr>
                  <w:tcW w:w="6204" w:type="dxa"/>
                  <w:noWrap w:val="0"/>
                  <w:vAlign w:val="center"/>
                </w:tcPr>
                <w:p w14:paraId="50DC5CBA">
                  <w:pPr>
                    <w:pStyle w:val="31"/>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单元内现有化学原料和化学制品制造业、有色金属冶炼和压延加工业等具有潜在土壤污染环境风险的企业退役后，应开展土壤环境状况评估，经评估认为污染地块可能损害人体健康和环境，应当进行修复的，由造成污染的单位和个人负责被污染土壤的修复。</w:t>
                  </w:r>
                </w:p>
              </w:tc>
              <w:tc>
                <w:tcPr>
                  <w:tcW w:w="3314" w:type="dxa"/>
                  <w:noWrap w:val="0"/>
                  <w:vAlign w:val="center"/>
                </w:tcPr>
                <w:p w14:paraId="1AD1AC7D">
                  <w:pPr>
                    <w:pStyle w:val="31"/>
                    <w:bidi w:val="0"/>
                    <w:jc w:val="left"/>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本项目为福清市海亮沃口一级渔港</w:t>
                  </w:r>
                  <w:r>
                    <w:rPr>
                      <w:rFonts w:hint="eastAsia" w:cs="Times New Roman"/>
                      <w:color w:val="000000"/>
                      <w:highlight w:val="none"/>
                      <w:lang w:val="en-US" w:eastAsia="zh-CN"/>
                    </w:rPr>
                    <w:t>工程</w:t>
                  </w:r>
                  <w:r>
                    <w:rPr>
                      <w:rFonts w:hint="default" w:ascii="Times New Roman" w:hAnsi="Times New Roman" w:cs="Times New Roman"/>
                      <w:color w:val="000000"/>
                      <w:highlight w:val="none"/>
                      <w:lang w:val="en-US" w:eastAsia="zh-CN"/>
                    </w:rPr>
                    <w:t>，属于渔业基础设施建设，不涉及所列的行业类别。项目用地为渔港后方陆域，为渔港规划用地。</w:t>
                  </w:r>
                </w:p>
              </w:tc>
              <w:tc>
                <w:tcPr>
                  <w:tcW w:w="803" w:type="dxa"/>
                  <w:noWrap w:val="0"/>
                  <w:vAlign w:val="center"/>
                </w:tcPr>
                <w:p w14:paraId="4F600AC9">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符合</w:t>
                  </w:r>
                </w:p>
              </w:tc>
            </w:tr>
            <w:tr w14:paraId="30FB31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98" w:type="dxa"/>
                  <w:vMerge w:val="continue"/>
                  <w:noWrap w:val="0"/>
                  <w:vAlign w:val="center"/>
                </w:tcPr>
                <w:p w14:paraId="451401D4">
                  <w:pPr>
                    <w:pStyle w:val="31"/>
                    <w:bidi w:val="0"/>
                    <w:jc w:val="center"/>
                    <w:rPr>
                      <w:rFonts w:hint="default" w:ascii="Times New Roman" w:hAnsi="Times New Roman" w:cs="Times New Roman"/>
                      <w:color w:val="000000"/>
                      <w:highlight w:val="none"/>
                      <w:lang w:val="en-US" w:eastAsia="zh-CN"/>
                    </w:rPr>
                  </w:pPr>
                </w:p>
              </w:tc>
              <w:tc>
                <w:tcPr>
                  <w:tcW w:w="914" w:type="dxa"/>
                  <w:vMerge w:val="continue"/>
                  <w:noWrap w:val="0"/>
                  <w:vAlign w:val="center"/>
                </w:tcPr>
                <w:p w14:paraId="2D297202">
                  <w:pPr>
                    <w:pStyle w:val="31"/>
                    <w:bidi w:val="0"/>
                    <w:jc w:val="center"/>
                    <w:rPr>
                      <w:rFonts w:hint="default" w:ascii="Times New Roman" w:hAnsi="Times New Roman" w:cs="Times New Roman"/>
                      <w:color w:val="000000"/>
                      <w:highlight w:val="none"/>
                      <w:lang w:val="en-US" w:eastAsia="zh-CN"/>
                    </w:rPr>
                  </w:pPr>
                </w:p>
              </w:tc>
              <w:tc>
                <w:tcPr>
                  <w:tcW w:w="695" w:type="dxa"/>
                  <w:vMerge w:val="continue"/>
                  <w:noWrap w:val="0"/>
                  <w:vAlign w:val="center"/>
                </w:tcPr>
                <w:p w14:paraId="04B34C24">
                  <w:pPr>
                    <w:pStyle w:val="31"/>
                    <w:bidi w:val="0"/>
                    <w:jc w:val="center"/>
                    <w:rPr>
                      <w:rFonts w:hint="default" w:ascii="Times New Roman" w:hAnsi="Times New Roman" w:cs="Times New Roman"/>
                      <w:color w:val="000000"/>
                      <w:highlight w:val="none"/>
                      <w:lang w:val="en-US" w:eastAsia="zh-CN"/>
                    </w:rPr>
                  </w:pPr>
                </w:p>
              </w:tc>
              <w:tc>
                <w:tcPr>
                  <w:tcW w:w="1146" w:type="dxa"/>
                  <w:noWrap w:val="0"/>
                  <w:vAlign w:val="center"/>
                </w:tcPr>
                <w:p w14:paraId="37830C9C">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资源开发效率要求</w:t>
                  </w:r>
                </w:p>
              </w:tc>
              <w:tc>
                <w:tcPr>
                  <w:tcW w:w="6204" w:type="dxa"/>
                  <w:noWrap w:val="0"/>
                  <w:vAlign w:val="center"/>
                </w:tcPr>
                <w:p w14:paraId="198A8677">
                  <w:pPr>
                    <w:pStyle w:val="31"/>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高污染燃料禁燃区内禁止燃用高污染燃料，禁止新建、扩建燃用高污染燃料的设施。已建的燃用高污染燃料设施，限期改用电、天然气、液化石油气等清洁能源。</w:t>
                  </w:r>
                </w:p>
              </w:tc>
              <w:tc>
                <w:tcPr>
                  <w:tcW w:w="3314" w:type="dxa"/>
                  <w:noWrap w:val="0"/>
                  <w:vAlign w:val="center"/>
                </w:tcPr>
                <w:p w14:paraId="370F62C8">
                  <w:pPr>
                    <w:pStyle w:val="31"/>
                    <w:bidi w:val="0"/>
                    <w:jc w:val="left"/>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rPr>
                    <w:t>施工期及运营期用水、用电</w:t>
                  </w:r>
                  <w:r>
                    <w:rPr>
                      <w:rFonts w:hint="default" w:ascii="Times New Roman" w:hAnsi="Times New Roman" w:cs="Times New Roman"/>
                      <w:color w:val="000000"/>
                      <w:highlight w:val="none"/>
                      <w:lang w:val="en-US" w:eastAsia="zh-CN"/>
                    </w:rPr>
                    <w:t>等依靠陆域且用量较少，不涉及使用锅炉及高污染燃料。</w:t>
                  </w:r>
                </w:p>
              </w:tc>
              <w:tc>
                <w:tcPr>
                  <w:tcW w:w="803" w:type="dxa"/>
                  <w:noWrap w:val="0"/>
                  <w:vAlign w:val="center"/>
                </w:tcPr>
                <w:p w14:paraId="2810E983">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符合</w:t>
                  </w:r>
                </w:p>
              </w:tc>
            </w:tr>
            <w:tr w14:paraId="236FA1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98" w:type="dxa"/>
                  <w:vMerge w:val="restart"/>
                  <w:noWrap w:val="0"/>
                  <w:vAlign w:val="center"/>
                </w:tcPr>
                <w:p w14:paraId="5788A8E2">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HY35010020008</w:t>
                  </w:r>
                </w:p>
              </w:tc>
              <w:tc>
                <w:tcPr>
                  <w:tcW w:w="914" w:type="dxa"/>
                  <w:vMerge w:val="restart"/>
                  <w:noWrap w:val="0"/>
                  <w:vAlign w:val="center"/>
                </w:tcPr>
                <w:p w14:paraId="09A4315B">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福清湾及海坛岛周边海域渔业用海区</w:t>
                  </w:r>
                </w:p>
              </w:tc>
              <w:tc>
                <w:tcPr>
                  <w:tcW w:w="695" w:type="dxa"/>
                  <w:vMerge w:val="restart"/>
                  <w:noWrap w:val="0"/>
                  <w:vAlign w:val="center"/>
                </w:tcPr>
                <w:p w14:paraId="48DBD52A">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重点管控单元</w:t>
                  </w:r>
                </w:p>
              </w:tc>
              <w:tc>
                <w:tcPr>
                  <w:tcW w:w="1146" w:type="dxa"/>
                  <w:noWrap w:val="0"/>
                  <w:vAlign w:val="center"/>
                </w:tcPr>
                <w:p w14:paraId="50551969">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空间布局约束</w:t>
                  </w:r>
                </w:p>
              </w:tc>
              <w:tc>
                <w:tcPr>
                  <w:tcW w:w="6204" w:type="dxa"/>
                  <w:noWrap w:val="0"/>
                  <w:vAlign w:val="center"/>
                </w:tcPr>
                <w:p w14:paraId="68DBC428">
                  <w:pPr>
                    <w:pStyle w:val="31"/>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 保障养殖和渔业基础设施用海，禁止排污倾废用海（国土空间总体规划确定的特殊用海区除外）。</w:t>
                  </w:r>
                </w:p>
                <w:p w14:paraId="785907D8">
                  <w:pPr>
                    <w:pStyle w:val="31"/>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2.严格落实养殖水域滩涂规划，优化海水养殖布局，禁养区禁止水产养殖生产等相关活动，限养区控制养殖规模。</w:t>
                  </w:r>
                </w:p>
                <w:p w14:paraId="37138298">
                  <w:pPr>
                    <w:pStyle w:val="31"/>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3.落实渔港布局与建设规划，开展美丽渔港建设。</w:t>
                  </w:r>
                </w:p>
                <w:p w14:paraId="597ADA0B">
                  <w:pPr>
                    <w:pStyle w:val="31"/>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4.推进海上传统养殖设施改造升级，推广塑胶筏式吊养浮球、环保型全塑胶渔排和深水抗风浪网箱。</w:t>
                  </w:r>
                </w:p>
                <w:p w14:paraId="5302F440">
                  <w:pPr>
                    <w:pStyle w:val="31"/>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5.严格执行禁渔期、禁渔区制度以及渔具渔法规定；保护产卵场、越冬场、索饵场和洄游通道等重要渔业水域。</w:t>
                  </w:r>
                </w:p>
              </w:tc>
              <w:tc>
                <w:tcPr>
                  <w:tcW w:w="3314" w:type="dxa"/>
                  <w:noWrap w:val="0"/>
                  <w:vAlign w:val="center"/>
                </w:tcPr>
                <w:p w14:paraId="35B0255C">
                  <w:pPr>
                    <w:pStyle w:val="31"/>
                    <w:bidi w:val="0"/>
                    <w:jc w:val="left"/>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本项目为福清市海亮沃口一级渔港</w:t>
                  </w:r>
                  <w:r>
                    <w:rPr>
                      <w:rFonts w:hint="eastAsia" w:cs="Times New Roman"/>
                      <w:color w:val="000000"/>
                      <w:highlight w:val="none"/>
                      <w:lang w:val="en-US" w:eastAsia="zh-CN"/>
                    </w:rPr>
                    <w:t>工程</w:t>
                  </w:r>
                  <w:r>
                    <w:rPr>
                      <w:rFonts w:hint="default" w:ascii="Times New Roman" w:hAnsi="Times New Roman" w:cs="Times New Roman"/>
                      <w:color w:val="000000"/>
                      <w:highlight w:val="none"/>
                      <w:lang w:val="en-US" w:eastAsia="zh-CN"/>
                    </w:rPr>
                    <w:t>，已列入《全国沿海渔港建设规划（2018-2025年）》《福建省渔港布局与建设规划（2020-2025）》。根据《福州市养殖水域滩涂规划（2018-2030年）》，本项目位于海坛海峡西部养殖区和兴化湾限养区，项目用海与周边海水养殖户的相关利益关系可以协调，在严格执行环保要求的前提下，项目运营对周边海水养殖影响不大。</w:t>
                  </w:r>
                </w:p>
              </w:tc>
              <w:tc>
                <w:tcPr>
                  <w:tcW w:w="803" w:type="dxa"/>
                  <w:noWrap w:val="0"/>
                  <w:vAlign w:val="center"/>
                </w:tcPr>
                <w:p w14:paraId="7D730161">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符合</w:t>
                  </w:r>
                </w:p>
              </w:tc>
            </w:tr>
            <w:tr w14:paraId="54E0FF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98" w:type="dxa"/>
                  <w:vMerge w:val="continue"/>
                  <w:noWrap w:val="0"/>
                  <w:vAlign w:val="center"/>
                </w:tcPr>
                <w:p w14:paraId="1C070160">
                  <w:pPr>
                    <w:pStyle w:val="31"/>
                    <w:bidi w:val="0"/>
                    <w:jc w:val="center"/>
                    <w:rPr>
                      <w:rFonts w:hint="default" w:ascii="Times New Roman" w:hAnsi="Times New Roman" w:cs="Times New Roman"/>
                      <w:color w:val="000000"/>
                      <w:highlight w:val="none"/>
                      <w:lang w:val="en-US" w:eastAsia="zh-CN"/>
                    </w:rPr>
                  </w:pPr>
                </w:p>
              </w:tc>
              <w:tc>
                <w:tcPr>
                  <w:tcW w:w="914" w:type="dxa"/>
                  <w:vMerge w:val="continue"/>
                  <w:noWrap w:val="0"/>
                  <w:vAlign w:val="center"/>
                </w:tcPr>
                <w:p w14:paraId="334F4062">
                  <w:pPr>
                    <w:pStyle w:val="31"/>
                    <w:bidi w:val="0"/>
                    <w:jc w:val="center"/>
                    <w:rPr>
                      <w:rFonts w:hint="default" w:ascii="Times New Roman" w:hAnsi="Times New Roman" w:cs="Times New Roman"/>
                      <w:color w:val="000000"/>
                      <w:highlight w:val="none"/>
                      <w:lang w:val="en-US" w:eastAsia="zh-CN"/>
                    </w:rPr>
                  </w:pPr>
                </w:p>
              </w:tc>
              <w:tc>
                <w:tcPr>
                  <w:tcW w:w="695" w:type="dxa"/>
                  <w:vMerge w:val="continue"/>
                  <w:noWrap w:val="0"/>
                  <w:vAlign w:val="center"/>
                </w:tcPr>
                <w:p w14:paraId="3A6A5337">
                  <w:pPr>
                    <w:pStyle w:val="31"/>
                    <w:bidi w:val="0"/>
                    <w:jc w:val="center"/>
                    <w:rPr>
                      <w:rFonts w:hint="default" w:ascii="Times New Roman" w:hAnsi="Times New Roman" w:cs="Times New Roman"/>
                      <w:color w:val="000000"/>
                      <w:highlight w:val="none"/>
                      <w:lang w:val="en-US" w:eastAsia="zh-CN"/>
                    </w:rPr>
                  </w:pPr>
                </w:p>
              </w:tc>
              <w:tc>
                <w:tcPr>
                  <w:tcW w:w="1146" w:type="dxa"/>
                  <w:noWrap w:val="0"/>
                  <w:vAlign w:val="center"/>
                </w:tcPr>
                <w:p w14:paraId="0FDFC85E">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污染物排放管控</w:t>
                  </w:r>
                </w:p>
              </w:tc>
              <w:tc>
                <w:tcPr>
                  <w:tcW w:w="6204" w:type="dxa"/>
                  <w:noWrap w:val="0"/>
                  <w:vAlign w:val="center"/>
                </w:tcPr>
                <w:p w14:paraId="313A4045">
                  <w:pPr>
                    <w:pStyle w:val="31"/>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1.科学确定养殖规模、密度和品种，严格控制投饵型鱼类网箱养殖密度，实行生态养殖。</w:t>
                  </w:r>
                </w:p>
                <w:p w14:paraId="551BE4DC">
                  <w:pPr>
                    <w:pStyle w:val="31"/>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2.水产养殖用药应当符合国家和地方有关农药、渔药安全使用的规定和标准，不得使用国家或者地方明令禁止使用的农药、渔药，防止对海洋环境造成污染。</w:t>
                  </w:r>
                </w:p>
                <w:p w14:paraId="2E7C110B">
                  <w:pPr>
                    <w:pStyle w:val="31"/>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3.强化养殖尾水排放综合治理，实现规模以上养殖主体尾水达标排放或循环利用。</w:t>
                  </w:r>
                </w:p>
                <w:p w14:paraId="24CB0929">
                  <w:pPr>
                    <w:pStyle w:val="31"/>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4.海上养殖生产、生活废弃物应当回收上岸处置，不得弃置海域。</w:t>
                  </w:r>
                </w:p>
                <w:p w14:paraId="4303DB77">
                  <w:pPr>
                    <w:pStyle w:val="31"/>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5.推行渔排渔港“门前三包”和渔业废弃包装袋（桶）回收制度。新建渔船配备防止油污装置，配备两个垃圾贮存器，分别存放可回收垃圾和不可回收垃圾。</w:t>
                  </w:r>
                </w:p>
                <w:p w14:paraId="16C69730">
                  <w:pPr>
                    <w:pStyle w:val="31"/>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6.渔港应建设完善污染防治设施设备，做好渔港环境清理整治和水域日常保洁。</w:t>
                  </w:r>
                </w:p>
              </w:tc>
              <w:tc>
                <w:tcPr>
                  <w:tcW w:w="3314" w:type="dxa"/>
                  <w:noWrap w:val="0"/>
                  <w:vAlign w:val="center"/>
                </w:tcPr>
                <w:p w14:paraId="51658F81">
                  <w:pPr>
                    <w:pStyle w:val="31"/>
                    <w:bidi w:val="0"/>
                    <w:jc w:val="left"/>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rPr>
                    <w:t>本工程为渔业基础设施建设工程，</w:t>
                  </w:r>
                  <w:r>
                    <w:rPr>
                      <w:rFonts w:hint="default" w:ascii="Times New Roman" w:hAnsi="Times New Roman" w:cs="Times New Roman"/>
                      <w:color w:val="000000"/>
                      <w:highlight w:val="none"/>
                      <w:lang w:val="en-US" w:eastAsia="zh-CN"/>
                    </w:rPr>
                    <w:t>运营期港区生产废水、生活污水经污水处理站处理后</w:t>
                  </w:r>
                  <w:r>
                    <w:rPr>
                      <w:rFonts w:hint="default" w:ascii="Times New Roman" w:hAnsi="Times New Roman" w:cs="Times New Roman"/>
                      <w:color w:val="000000"/>
                      <w:highlight w:val="none"/>
                    </w:rPr>
                    <w:t>回用于港区绿化灌溉、洒水及冲洗用水</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不外排；运营期废气污染源强较小，船舶、车辆燃油废气排放时间短暂，卸渔区每天进行冲洗，污水处理设施为埋地式结构，加盖密闭处理，恶臭气体对环境影响较小；各类固体废物均采取了妥善处理措施，不排放入海；到港船舶含油污水、船舶生活污水、船舶生活垃圾由海事部门认可的船舶污染物接收单位接收处理，不在港区排放。</w:t>
                  </w:r>
                </w:p>
              </w:tc>
              <w:tc>
                <w:tcPr>
                  <w:tcW w:w="803" w:type="dxa"/>
                  <w:noWrap w:val="0"/>
                  <w:vAlign w:val="center"/>
                </w:tcPr>
                <w:p w14:paraId="143561CB">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符合</w:t>
                  </w:r>
                </w:p>
              </w:tc>
            </w:tr>
          </w:tbl>
          <w:p w14:paraId="7CAAB097">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u w:val="none"/>
                <w:lang w:val="en-US" w:eastAsia="zh-CN"/>
              </w:rPr>
            </w:pPr>
          </w:p>
        </w:tc>
      </w:tr>
    </w:tbl>
    <w:p w14:paraId="605BD13D">
      <w:pPr>
        <w:bidi w:val="0"/>
        <w:rPr>
          <w:rFonts w:hint="default" w:ascii="Times New Roman" w:hAnsi="Times New Roman" w:cs="Times New Roman"/>
          <w:color w:val="000000"/>
          <w:u w:val="none"/>
        </w:rPr>
        <w:sectPr>
          <w:pgSz w:w="16838" w:h="11906" w:orient="landscape"/>
          <w:pgMar w:top="1531" w:right="1701" w:bottom="1531" w:left="1701" w:header="851" w:footer="1077" w:gutter="0"/>
          <w:pgNumType w:fmt="decimal"/>
          <w:cols w:space="720" w:num="1"/>
          <w:docGrid w:linePitch="312" w:charSpace="0"/>
        </w:sectPr>
      </w:pPr>
    </w:p>
    <w:p w14:paraId="1B616C31">
      <w:pPr>
        <w:pStyle w:val="2"/>
        <w:bidi w:val="0"/>
        <w:ind w:left="425" w:leftChars="0" w:hanging="425" w:firstLineChars="0"/>
        <w:rPr>
          <w:rFonts w:hint="default"/>
        </w:rPr>
      </w:pPr>
      <w:bookmarkStart w:id="127" w:name="_Toc3732"/>
      <w:bookmarkStart w:id="128" w:name="_Toc7234"/>
      <w:bookmarkStart w:id="129" w:name="_Toc3734"/>
      <w:bookmarkStart w:id="130" w:name="_Toc29449"/>
      <w:bookmarkStart w:id="131" w:name="_Toc2588"/>
      <w:r>
        <w:rPr>
          <w:rFonts w:hint="default"/>
        </w:rPr>
        <w:t>建设内容</w:t>
      </w:r>
      <w:bookmarkEnd w:id="127"/>
      <w:bookmarkEnd w:id="128"/>
      <w:bookmarkEnd w:id="129"/>
      <w:bookmarkEnd w:id="130"/>
      <w:bookmarkEnd w:id="131"/>
    </w:p>
    <w:tbl>
      <w:tblPr>
        <w:tblStyle w:val="21"/>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8" w:type="dxa"/>
          <w:left w:w="108" w:type="dxa"/>
          <w:bottom w:w="108" w:type="dxa"/>
          <w:right w:w="108" w:type="dxa"/>
        </w:tblCellMar>
      </w:tblPr>
      <w:tblGrid>
        <w:gridCol w:w="701"/>
        <w:gridCol w:w="8389"/>
      </w:tblGrid>
      <w:tr w14:paraId="521C2E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8" w:type="dxa"/>
            <w:left w:w="108" w:type="dxa"/>
            <w:bottom w:w="108" w:type="dxa"/>
            <w:right w:w="108" w:type="dxa"/>
          </w:tblCellMar>
        </w:tblPrEx>
        <w:trPr>
          <w:trHeight w:val="1446" w:hRule="atLeast"/>
          <w:jc w:val="center"/>
        </w:trPr>
        <w:tc>
          <w:tcPr>
            <w:tcW w:w="697" w:type="dxa"/>
            <w:noWrap w:val="0"/>
            <w:vAlign w:val="center"/>
          </w:tcPr>
          <w:p w14:paraId="77639833">
            <w:pPr>
              <w:spacing w:line="360" w:lineRule="auto"/>
              <w:jc w:val="center"/>
              <w:outlineLvl w:val="0"/>
              <w:rPr>
                <w:rFonts w:hint="default" w:ascii="Times New Roman" w:hAnsi="Times New Roman" w:eastAsia="宋体" w:cs="Times New Roman"/>
                <w:color w:val="000000"/>
                <w:kern w:val="0"/>
                <w:szCs w:val="21"/>
                <w:u w:val="none"/>
              </w:rPr>
            </w:pPr>
            <w:bookmarkStart w:id="132" w:name="_Toc12147"/>
            <w:bookmarkStart w:id="133" w:name="_Toc13653"/>
            <w:r>
              <w:rPr>
                <w:rFonts w:hint="default" w:ascii="Times New Roman" w:hAnsi="Times New Roman" w:eastAsia="宋体" w:cs="Times New Roman"/>
                <w:color w:val="000000"/>
                <w:kern w:val="0"/>
                <w:szCs w:val="21"/>
                <w:u w:val="none"/>
              </w:rPr>
              <w:t>地理位置</w:t>
            </w:r>
            <w:bookmarkEnd w:id="132"/>
            <w:bookmarkEnd w:id="133"/>
          </w:p>
        </w:tc>
        <w:tc>
          <w:tcPr>
            <w:tcW w:w="8338" w:type="dxa"/>
            <w:noWrap w:val="0"/>
            <w:vAlign w:val="center"/>
          </w:tcPr>
          <w:p w14:paraId="3102FB55">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u w:val="none"/>
                <w:lang w:val="en-US" w:eastAsia="zh-CN"/>
              </w:rPr>
            </w:pPr>
            <w:r>
              <w:rPr>
                <w:rFonts w:hint="default" w:ascii="Times New Roman" w:hAnsi="Times New Roman" w:cs="Times New Roman"/>
                <w:color w:val="000000"/>
                <w:highlight w:val="none"/>
                <w:lang w:val="en-US" w:eastAsia="zh-CN"/>
              </w:rPr>
              <w:t>本项目位于福清市东瀚镇海亮村东侧海域，中心地理坐标为：119°39′15.409539″E，25°23′12.634690″N。项目地理位置见</w:t>
            </w:r>
            <w:r>
              <w:rPr>
                <w:rFonts w:hint="eastAsia" w:ascii="Times New Roman" w:hAnsi="Times New Roman" w:cs="Times New Roman"/>
                <w:color w:val="000000"/>
                <w:highlight w:val="none"/>
                <w:lang w:val="en-US" w:eastAsia="zh-CN"/>
              </w:rPr>
              <w:t>附图1</w:t>
            </w:r>
            <w:r>
              <w:rPr>
                <w:rFonts w:hint="default" w:ascii="Times New Roman" w:hAnsi="Times New Roman" w:cs="Times New Roman"/>
                <w:color w:val="000000"/>
                <w:highlight w:val="none"/>
                <w:lang w:val="en-US" w:eastAsia="zh-CN"/>
              </w:rPr>
              <w:t>。</w:t>
            </w:r>
          </w:p>
        </w:tc>
      </w:tr>
      <w:tr w14:paraId="1FAC7C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8" w:type="dxa"/>
            <w:left w:w="108" w:type="dxa"/>
            <w:bottom w:w="108" w:type="dxa"/>
            <w:right w:w="108" w:type="dxa"/>
          </w:tblCellMar>
        </w:tblPrEx>
        <w:trPr>
          <w:trHeight w:val="1446" w:hRule="atLeast"/>
          <w:jc w:val="center"/>
        </w:trPr>
        <w:tc>
          <w:tcPr>
            <w:tcW w:w="697" w:type="dxa"/>
            <w:noWrap w:val="0"/>
            <w:vAlign w:val="center"/>
          </w:tcPr>
          <w:p w14:paraId="2BC14B4D">
            <w:pPr>
              <w:spacing w:line="360" w:lineRule="auto"/>
              <w:jc w:val="center"/>
              <w:outlineLvl w:val="0"/>
              <w:rPr>
                <w:rFonts w:hint="default" w:ascii="Times New Roman" w:hAnsi="Times New Roman" w:eastAsia="宋体" w:cs="Times New Roman"/>
                <w:color w:val="000000"/>
                <w:kern w:val="0"/>
                <w:szCs w:val="21"/>
                <w:u w:val="none"/>
              </w:rPr>
            </w:pPr>
            <w:bookmarkStart w:id="134" w:name="_Toc13536"/>
            <w:bookmarkStart w:id="135" w:name="_Toc239"/>
            <w:r>
              <w:rPr>
                <w:rFonts w:hint="default" w:ascii="Times New Roman" w:hAnsi="Times New Roman" w:eastAsia="宋体" w:cs="Times New Roman"/>
                <w:color w:val="000000"/>
                <w:kern w:val="0"/>
                <w:szCs w:val="21"/>
                <w:u w:val="none"/>
              </w:rPr>
              <w:t>项目组成及规模</w:t>
            </w:r>
            <w:bookmarkEnd w:id="134"/>
            <w:bookmarkEnd w:id="135"/>
          </w:p>
        </w:tc>
        <w:tc>
          <w:tcPr>
            <w:tcW w:w="8338" w:type="dxa"/>
            <w:noWrap w:val="0"/>
            <w:vAlign w:val="top"/>
          </w:tcPr>
          <w:p w14:paraId="258B864F">
            <w:pPr>
              <w:pStyle w:val="3"/>
              <w:bidi w:val="0"/>
              <w:ind w:left="567" w:leftChars="0" w:hanging="567" w:firstLineChars="0"/>
              <w:rPr>
                <w:rFonts w:hint="default"/>
                <w:lang w:val="en-US" w:eastAsia="zh-CN"/>
              </w:rPr>
            </w:pPr>
            <w:bookmarkStart w:id="136" w:name="_Toc27862"/>
            <w:bookmarkStart w:id="137" w:name="_Toc20567"/>
            <w:bookmarkStart w:id="138" w:name="_Toc649"/>
            <w:bookmarkStart w:id="139" w:name="_Toc2886"/>
            <w:bookmarkStart w:id="140" w:name="_Toc23571"/>
            <w:r>
              <w:rPr>
                <w:rFonts w:hint="default"/>
                <w:lang w:val="en-US" w:eastAsia="zh-CN"/>
              </w:rPr>
              <w:t>项目由来</w:t>
            </w:r>
            <w:bookmarkEnd w:id="136"/>
            <w:bookmarkEnd w:id="137"/>
            <w:bookmarkEnd w:id="138"/>
            <w:bookmarkEnd w:id="139"/>
            <w:bookmarkEnd w:id="140"/>
          </w:p>
          <w:p w14:paraId="313CC81F">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u w:val="none"/>
                <w:lang w:val="en-US" w:eastAsia="zh-CN"/>
              </w:rPr>
            </w:pPr>
            <w:r>
              <w:rPr>
                <w:rFonts w:hint="default" w:ascii="Times New Roman" w:hAnsi="Times New Roman" w:cs="Times New Roman"/>
                <w:color w:val="000000"/>
                <w:u w:val="none"/>
                <w:lang w:val="en-US" w:eastAsia="zh-CN"/>
              </w:rPr>
              <w:t>东瀚镇位于福清市东南端，西北与高山镇接壤，东与平潭一水之隔，南濒兴化湾。东瀚镇沿岸港湾多、水深好、易停泊，海洋渔业较为发达，尤其近海捕捞、网箱养殖以及垂钓业发展迅速。由于当地渔业基础设施相对薄弱，现有一座海亮沃口二级渔港，无可供大中型渔船避风的港区，严重制约了渔业经济的发展。</w:t>
            </w:r>
          </w:p>
          <w:p w14:paraId="4FBD1D01">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u w:val="none"/>
                <w:lang w:val="en-US" w:eastAsia="zh-CN"/>
              </w:rPr>
            </w:pPr>
            <w:r>
              <w:rPr>
                <w:rFonts w:hint="default" w:ascii="Times New Roman" w:hAnsi="Times New Roman" w:cs="Times New Roman"/>
                <w:color w:val="000000"/>
                <w:u w:val="none"/>
                <w:lang w:val="en-US" w:eastAsia="zh-CN"/>
              </w:rPr>
              <w:t>为进一步提升渔业防灾减灾能力，促进海洋渔业持续健康发展，加快形成渔港经济区，2018年4月国家发展和改革委员会、农业农村部联合发布了《全国沿海渔港建设规划（2018-2025年）》，其中黄岐半岛渔港经济区规划期内新建连江晓澳、长赤、下宫、长乐潭头、福清海亮沃口5座一级渔港（</w:t>
            </w:r>
            <w:r>
              <w:rPr>
                <w:rFonts w:hint="default" w:ascii="Times New Roman" w:hAnsi="Times New Roman" w:cs="Times New Roman"/>
                <w:color w:val="000000"/>
                <w:highlight w:val="none"/>
                <w:u w:val="none"/>
                <w:lang w:val="en-US" w:eastAsia="zh-CN"/>
              </w:rPr>
              <w:t>附件</w:t>
            </w:r>
            <w:r>
              <w:rPr>
                <w:rFonts w:hint="eastAsia" w:cs="Times New Roman"/>
                <w:color w:val="000000"/>
                <w:highlight w:val="none"/>
                <w:u w:val="none"/>
                <w:lang w:val="en-US" w:eastAsia="zh-CN"/>
              </w:rPr>
              <w:t>2</w:t>
            </w:r>
            <w:r>
              <w:rPr>
                <w:rFonts w:hint="default" w:ascii="Times New Roman" w:hAnsi="Times New Roman" w:cs="Times New Roman"/>
                <w:color w:val="000000"/>
                <w:highlight w:val="none"/>
                <w:u w:val="none"/>
                <w:lang w:val="en-US" w:eastAsia="zh-CN"/>
              </w:rPr>
              <w:t>）</w:t>
            </w:r>
            <w:r>
              <w:rPr>
                <w:rFonts w:hint="default" w:ascii="Times New Roman" w:hAnsi="Times New Roman" w:cs="Times New Roman"/>
                <w:color w:val="000000"/>
                <w:u w:val="none"/>
                <w:lang w:val="en-US" w:eastAsia="zh-CN"/>
              </w:rPr>
              <w:t>。2020年2月福建省发展和改革委员会、福建省财政厅、福建省海洋与渔业局联合发布了《福建省渔港布局与建设规划（2020-2025）》，其中“海亮沃口一级渔港”被列为2020-2025年规划新建设的一级渔港之一（</w:t>
            </w:r>
            <w:r>
              <w:rPr>
                <w:rFonts w:hint="default" w:ascii="Times New Roman" w:hAnsi="Times New Roman" w:cs="Times New Roman"/>
                <w:color w:val="000000"/>
                <w:highlight w:val="none"/>
                <w:u w:val="none"/>
                <w:lang w:val="en-US" w:eastAsia="zh-CN"/>
              </w:rPr>
              <w:t>附件</w:t>
            </w:r>
            <w:r>
              <w:rPr>
                <w:rFonts w:hint="eastAsia" w:cs="Times New Roman"/>
                <w:color w:val="000000"/>
                <w:highlight w:val="none"/>
                <w:u w:val="none"/>
                <w:lang w:val="en-US" w:eastAsia="zh-CN"/>
              </w:rPr>
              <w:t>3</w:t>
            </w:r>
            <w:r>
              <w:rPr>
                <w:rFonts w:hint="default" w:ascii="Times New Roman" w:hAnsi="Times New Roman" w:cs="Times New Roman"/>
                <w:color w:val="000000"/>
                <w:u w:val="none"/>
                <w:lang w:val="en-US" w:eastAsia="zh-CN"/>
              </w:rPr>
              <w:t>）。</w:t>
            </w:r>
          </w:p>
          <w:p w14:paraId="7FA8F839">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u w:val="none"/>
                <w:lang w:val="en-US" w:eastAsia="zh-CN"/>
              </w:rPr>
            </w:pPr>
            <w:r>
              <w:rPr>
                <w:rFonts w:hint="default" w:ascii="Times New Roman" w:hAnsi="Times New Roman" w:cs="Times New Roman"/>
                <w:color w:val="000000"/>
                <w:u w:val="none"/>
                <w:lang w:val="en-US" w:eastAsia="zh-CN"/>
              </w:rPr>
              <w:t>目前，项目已完成了工可编制、初步设计和海域使用论证等前期的基础性工作，于2020年7月21日取得了《福建省发展和改革委员会关于福清市海亮沃口一级渔港工程可行性研究报告的批复》（闽发改网审农业〔2020〕104号，附件</w:t>
            </w:r>
            <w:r>
              <w:rPr>
                <w:rFonts w:hint="eastAsia" w:cs="Times New Roman"/>
                <w:color w:val="000000"/>
                <w:u w:val="none"/>
                <w:lang w:val="en-US" w:eastAsia="zh-CN"/>
              </w:rPr>
              <w:t>4</w:t>
            </w:r>
            <w:r>
              <w:rPr>
                <w:rFonts w:hint="default" w:ascii="Times New Roman" w:hAnsi="Times New Roman" w:cs="Times New Roman"/>
                <w:color w:val="000000"/>
                <w:u w:val="none"/>
                <w:lang w:val="en-US" w:eastAsia="zh-CN"/>
              </w:rPr>
              <w:t>），2021年4月29日取得了福建省海洋与渔业局《关于福建省福清市海亮沃口一级渔港工程初步设计及概算的批复》（附件</w:t>
            </w:r>
            <w:r>
              <w:rPr>
                <w:rFonts w:hint="eastAsia" w:cs="Times New Roman"/>
                <w:color w:val="000000"/>
                <w:u w:val="none"/>
                <w:lang w:val="en-US" w:eastAsia="zh-CN"/>
              </w:rPr>
              <w:t>5</w:t>
            </w:r>
            <w:r>
              <w:rPr>
                <w:rFonts w:hint="default" w:ascii="Times New Roman" w:hAnsi="Times New Roman" w:cs="Times New Roman"/>
                <w:color w:val="000000"/>
                <w:u w:val="none"/>
                <w:lang w:val="en-US" w:eastAsia="zh-CN"/>
              </w:rPr>
              <w:t>），并已取得了项目建设用地规划许可证（附件</w:t>
            </w:r>
            <w:r>
              <w:rPr>
                <w:rFonts w:hint="eastAsia" w:cs="Times New Roman"/>
                <w:color w:val="000000"/>
                <w:u w:val="none"/>
                <w:lang w:val="en-US" w:eastAsia="zh-CN"/>
              </w:rPr>
              <w:t>9</w:t>
            </w:r>
            <w:r>
              <w:rPr>
                <w:rFonts w:hint="default" w:ascii="Times New Roman" w:hAnsi="Times New Roman" w:cs="Times New Roman"/>
                <w:color w:val="000000"/>
                <w:u w:val="none"/>
                <w:lang w:val="en-US" w:eastAsia="zh-CN"/>
              </w:rPr>
              <w:t>）及用海的不动产权证书（附件</w:t>
            </w:r>
            <w:r>
              <w:rPr>
                <w:rFonts w:hint="eastAsia" w:cs="Times New Roman"/>
                <w:color w:val="000000"/>
                <w:u w:val="none"/>
                <w:lang w:val="en-US" w:eastAsia="zh-CN"/>
              </w:rPr>
              <w:t>7</w:t>
            </w:r>
            <w:r>
              <w:rPr>
                <w:rFonts w:hint="default" w:ascii="Times New Roman" w:hAnsi="Times New Roman" w:cs="Times New Roman"/>
                <w:color w:val="000000"/>
                <w:u w:val="none"/>
                <w:lang w:val="en-US" w:eastAsia="zh-CN"/>
              </w:rPr>
              <w:t>）。</w:t>
            </w:r>
          </w:p>
          <w:p w14:paraId="414246C2">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u w:val="none"/>
                <w:lang w:val="en-US" w:eastAsia="zh-CN"/>
              </w:rPr>
            </w:pPr>
            <w:r>
              <w:rPr>
                <w:rFonts w:hint="eastAsia" w:cs="Times New Roman"/>
                <w:color w:val="000000"/>
                <w:u w:val="none"/>
                <w:lang w:val="en-US" w:eastAsia="zh-CN"/>
              </w:rPr>
              <w:t>本项目建设防波堤1770米、码头310米、边坡支护8.66万立方米，施工便桥119.5米，港池疏浚4.84万立方米；形成港内水域面积59.2411万平方米，陆域形成25.32万平方米；建设渔港综合执法办证中心1200平方米，配套建设堤头灯、视频监控网、数据资源中心、智慧渔港一体化综合管理平台、硬件资源及水电等附属设施。</w:t>
            </w:r>
          </w:p>
          <w:p w14:paraId="1382BE3C">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u w:val="none"/>
                <w:lang w:val="en-US" w:eastAsia="zh-CN"/>
              </w:rPr>
            </w:pPr>
            <w:r>
              <w:rPr>
                <w:rFonts w:hint="default" w:ascii="Times New Roman" w:hAnsi="Times New Roman" w:cs="Times New Roman"/>
                <w:color w:val="000000"/>
                <w:u w:val="none"/>
                <w:lang w:val="en-US" w:eastAsia="zh-CN"/>
              </w:rPr>
              <w:t>根据《国民经济行业分类》（GB/T 4754-2017），本项目国民经济行业类型属于“</w:t>
            </w:r>
            <w:r>
              <w:rPr>
                <w:rFonts w:hint="eastAsia" w:cs="Times New Roman"/>
                <w:color w:val="000000"/>
                <w:u w:val="none"/>
                <w:lang w:val="en-US" w:eastAsia="zh-CN"/>
              </w:rPr>
              <w:t>G交通运输、仓储和邮政业——55水上运输业——5532货运港口</w:t>
            </w:r>
            <w:r>
              <w:rPr>
                <w:rFonts w:hint="default" w:ascii="Times New Roman" w:hAnsi="Times New Roman" w:cs="Times New Roman"/>
                <w:color w:val="000000"/>
                <w:u w:val="none"/>
                <w:lang w:val="en-US" w:eastAsia="zh-CN"/>
              </w:rPr>
              <w:t>”类别。</w:t>
            </w:r>
            <w:r>
              <w:rPr>
                <w:rFonts w:hint="default" w:ascii="Times New Roman" w:hAnsi="Times New Roman" w:cs="Times New Roman"/>
                <w:color w:val="000000"/>
                <w:highlight w:val="none"/>
              </w:rPr>
              <w:t>根据《建设项目环境影响评价分类管理名录（2021版）》，</w:t>
            </w:r>
            <w:r>
              <w:rPr>
                <w:rFonts w:hint="eastAsia" w:ascii="Times New Roman" w:hAnsi="Times New Roman" w:cs="Times New Roman"/>
                <w:color w:val="000000"/>
                <w:highlight w:val="none"/>
                <w:lang w:val="en-US" w:eastAsia="zh-CN"/>
              </w:rPr>
              <w:t>名录对于一级渔港建设项目未作规定，但本项目建设内容涉及防波堤，项目不位于、不穿越、不跨越环境敏感区，环境影响范围不涵盖环境敏感区，属于名录中的“五十二、交通运输业、管道运输业——143水运辅助工程”中的“其他”，应编制环境影响报告表。</w:t>
            </w:r>
          </w:p>
          <w:p w14:paraId="2246A13A">
            <w:pPr>
              <w:pStyle w:val="30"/>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2.1</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表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1</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val="en-US" w:eastAsia="zh-CN"/>
              </w:rPr>
              <w:t xml:space="preserve"> 建设项目环境影响评价分类管理名录（摘录）</w:t>
            </w:r>
          </w:p>
          <w:tbl>
            <w:tblPr>
              <w:tblStyle w:val="22"/>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2"/>
              <w:gridCol w:w="1165"/>
              <w:gridCol w:w="2386"/>
              <w:gridCol w:w="809"/>
              <w:gridCol w:w="659"/>
              <w:gridCol w:w="2449"/>
            </w:tblGrid>
            <w:tr w14:paraId="5FC1AF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4" w:type="pct"/>
                  <w:noWrap w:val="0"/>
                  <w:vAlign w:val="center"/>
                </w:tcPr>
                <w:p w14:paraId="448378EB">
                  <w:pPr>
                    <w:pStyle w:val="31"/>
                    <w:rPr>
                      <w:rFonts w:hint="default" w:ascii="Times New Roman" w:hAnsi="Times New Roman" w:cs="Times New Roman"/>
                      <w:b/>
                      <w:bCs/>
                      <w:color w:val="000000"/>
                      <w:u w:val="none"/>
                    </w:rPr>
                  </w:pPr>
                  <w:r>
                    <w:rPr>
                      <w:rFonts w:hint="default" w:ascii="Times New Roman" w:hAnsi="Times New Roman" w:cs="Times New Roman"/>
                      <w:b/>
                      <w:bCs/>
                      <w:color w:val="000000"/>
                      <w:u w:val="none"/>
                    </w:rPr>
                    <w:t>序号</w:t>
                  </w:r>
                </w:p>
              </w:tc>
              <w:tc>
                <w:tcPr>
                  <w:tcW w:w="714" w:type="pct"/>
                  <w:noWrap w:val="0"/>
                  <w:vAlign w:val="center"/>
                </w:tcPr>
                <w:p w14:paraId="14DAA12E">
                  <w:pPr>
                    <w:pStyle w:val="31"/>
                    <w:rPr>
                      <w:rFonts w:hint="default" w:ascii="Times New Roman" w:hAnsi="Times New Roman" w:cs="Times New Roman"/>
                      <w:b/>
                      <w:bCs/>
                      <w:color w:val="000000"/>
                      <w:u w:val="none"/>
                    </w:rPr>
                  </w:pPr>
                  <w:r>
                    <w:rPr>
                      <w:rFonts w:hint="default" w:ascii="Times New Roman" w:hAnsi="Times New Roman" w:cs="Times New Roman"/>
                      <w:b/>
                      <w:bCs/>
                      <w:color w:val="000000"/>
                      <w:u w:val="none"/>
                    </w:rPr>
                    <w:t>项目类别</w:t>
                  </w:r>
                </w:p>
              </w:tc>
              <w:tc>
                <w:tcPr>
                  <w:tcW w:w="1462" w:type="pct"/>
                  <w:noWrap w:val="0"/>
                  <w:vAlign w:val="center"/>
                </w:tcPr>
                <w:p w14:paraId="751E663F">
                  <w:pPr>
                    <w:pStyle w:val="31"/>
                    <w:rPr>
                      <w:rFonts w:hint="default" w:ascii="Times New Roman" w:hAnsi="Times New Roman" w:cs="Times New Roman"/>
                      <w:b/>
                      <w:bCs/>
                      <w:color w:val="000000"/>
                      <w:u w:val="none"/>
                    </w:rPr>
                  </w:pPr>
                  <w:r>
                    <w:rPr>
                      <w:rFonts w:hint="default" w:ascii="Times New Roman" w:hAnsi="Times New Roman" w:cs="Times New Roman"/>
                      <w:b/>
                      <w:bCs/>
                      <w:color w:val="000000"/>
                      <w:u w:val="none"/>
                    </w:rPr>
                    <w:t>报告书</w:t>
                  </w:r>
                </w:p>
              </w:tc>
              <w:tc>
                <w:tcPr>
                  <w:tcW w:w="496" w:type="pct"/>
                  <w:noWrap w:val="0"/>
                  <w:vAlign w:val="center"/>
                </w:tcPr>
                <w:p w14:paraId="4855306B">
                  <w:pPr>
                    <w:pStyle w:val="31"/>
                    <w:rPr>
                      <w:rFonts w:hint="default" w:ascii="Times New Roman" w:hAnsi="Times New Roman" w:cs="Times New Roman"/>
                      <w:b/>
                      <w:bCs/>
                      <w:color w:val="000000"/>
                      <w:u w:val="none"/>
                    </w:rPr>
                  </w:pPr>
                  <w:r>
                    <w:rPr>
                      <w:rFonts w:hint="default" w:ascii="Times New Roman" w:hAnsi="Times New Roman" w:cs="Times New Roman"/>
                      <w:b/>
                      <w:bCs/>
                      <w:color w:val="000000"/>
                      <w:u w:val="none"/>
                    </w:rPr>
                    <w:t>报告表</w:t>
                  </w:r>
                </w:p>
              </w:tc>
              <w:tc>
                <w:tcPr>
                  <w:tcW w:w="404" w:type="pct"/>
                  <w:noWrap w:val="0"/>
                  <w:vAlign w:val="center"/>
                </w:tcPr>
                <w:p w14:paraId="63FC18EE">
                  <w:pPr>
                    <w:pStyle w:val="31"/>
                    <w:rPr>
                      <w:rFonts w:hint="default" w:ascii="Times New Roman" w:hAnsi="Times New Roman" w:cs="Times New Roman"/>
                      <w:b/>
                      <w:bCs/>
                      <w:color w:val="000000"/>
                      <w:u w:val="none"/>
                    </w:rPr>
                  </w:pPr>
                  <w:r>
                    <w:rPr>
                      <w:rFonts w:hint="default" w:ascii="Times New Roman" w:hAnsi="Times New Roman" w:cs="Times New Roman"/>
                      <w:b/>
                      <w:bCs/>
                      <w:color w:val="000000"/>
                      <w:u w:val="none"/>
                    </w:rPr>
                    <w:t>登记表</w:t>
                  </w:r>
                </w:p>
              </w:tc>
              <w:tc>
                <w:tcPr>
                  <w:tcW w:w="1496" w:type="pct"/>
                  <w:noWrap w:val="0"/>
                  <w:vAlign w:val="center"/>
                </w:tcPr>
                <w:p w14:paraId="5DB0C4DB">
                  <w:pPr>
                    <w:pStyle w:val="31"/>
                    <w:rPr>
                      <w:rFonts w:hint="default" w:ascii="Times New Roman" w:hAnsi="Times New Roman" w:cs="Times New Roman"/>
                      <w:b/>
                      <w:bCs/>
                      <w:color w:val="000000"/>
                      <w:u w:val="none"/>
                    </w:rPr>
                  </w:pPr>
                  <w:r>
                    <w:rPr>
                      <w:rFonts w:hint="default" w:ascii="Times New Roman" w:hAnsi="Times New Roman" w:cs="Times New Roman"/>
                      <w:b/>
                      <w:bCs/>
                      <w:color w:val="000000"/>
                      <w:u w:val="none"/>
                    </w:rPr>
                    <w:t>本栏目环境敏感区含义</w:t>
                  </w:r>
                </w:p>
              </w:tc>
            </w:tr>
            <w:tr w14:paraId="533C15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00" w:type="pct"/>
                  <w:gridSpan w:val="6"/>
                  <w:noWrap w:val="0"/>
                  <w:vAlign w:val="center"/>
                </w:tcPr>
                <w:p w14:paraId="6A674849">
                  <w:pPr>
                    <w:pStyle w:val="31"/>
                    <w:jc w:val="left"/>
                    <w:rPr>
                      <w:rFonts w:hint="default" w:ascii="Times New Roman" w:hAnsi="Times New Roman" w:cs="Times New Roman"/>
                      <w:color w:val="000000"/>
                      <w:u w:val="none"/>
                      <w:lang w:val="en-US" w:eastAsia="zh-CN"/>
                    </w:rPr>
                  </w:pPr>
                  <w:r>
                    <w:rPr>
                      <w:rFonts w:hint="default" w:ascii="Times New Roman" w:hAnsi="Times New Roman" w:cs="Times New Roman"/>
                      <w:color w:val="000000"/>
                      <w:u w:val="none"/>
                    </w:rPr>
                    <w:t>五十二、交通运输业、管道运输业</w:t>
                  </w:r>
                </w:p>
              </w:tc>
            </w:tr>
            <w:tr w14:paraId="3E3896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4" w:type="pct"/>
                  <w:noWrap w:val="0"/>
                  <w:vAlign w:val="center"/>
                </w:tcPr>
                <w:p w14:paraId="27F51FD8">
                  <w:pPr>
                    <w:pStyle w:val="31"/>
                    <w:rPr>
                      <w:rFonts w:hint="default" w:ascii="Times New Roman" w:hAnsi="Times New Roman" w:cs="Times New Roman"/>
                      <w:color w:val="000000"/>
                      <w:u w:val="none"/>
                      <w:lang w:val="en-US" w:eastAsia="zh-CN"/>
                    </w:rPr>
                  </w:pPr>
                  <w:r>
                    <w:rPr>
                      <w:rFonts w:hint="eastAsia" w:cs="Times New Roman"/>
                      <w:color w:val="000000"/>
                      <w:u w:val="none"/>
                      <w:lang w:val="en-US" w:eastAsia="zh-CN"/>
                    </w:rPr>
                    <w:t>143</w:t>
                  </w:r>
                </w:p>
              </w:tc>
              <w:tc>
                <w:tcPr>
                  <w:tcW w:w="714" w:type="pct"/>
                  <w:noWrap w:val="0"/>
                  <w:vAlign w:val="center"/>
                </w:tcPr>
                <w:p w14:paraId="03CB097A">
                  <w:pPr>
                    <w:pStyle w:val="31"/>
                    <w:rPr>
                      <w:rFonts w:hint="default" w:ascii="Times New Roman" w:hAnsi="Times New Roman" w:cs="Times New Roman"/>
                      <w:color w:val="000000"/>
                      <w:u w:val="none"/>
                    </w:rPr>
                  </w:pPr>
                  <w:r>
                    <w:rPr>
                      <w:rFonts w:hint="default" w:ascii="Times New Roman" w:hAnsi="Times New Roman" w:cs="Times New Roman"/>
                      <w:color w:val="000000"/>
                      <w:u w:val="none"/>
                      <w:shd w:val="clear" w:color="auto"/>
                    </w:rPr>
                    <w:t>航道工程、</w:t>
                  </w:r>
                  <w:r>
                    <w:rPr>
                      <w:rFonts w:hint="default" w:ascii="Times New Roman" w:hAnsi="Times New Roman" w:cs="Times New Roman"/>
                      <w:color w:val="000000"/>
                      <w:u w:val="none"/>
                      <w:shd w:val="clear" w:color="auto" w:fill="BEBEBE" w:themeFill="background1" w:themeFillShade="BF"/>
                    </w:rPr>
                    <w:t>水运辅助工程</w:t>
                  </w:r>
                </w:p>
              </w:tc>
              <w:tc>
                <w:tcPr>
                  <w:tcW w:w="1462" w:type="pct"/>
                  <w:noWrap w:val="0"/>
                  <w:vAlign w:val="center"/>
                </w:tcPr>
                <w:p w14:paraId="287577CE">
                  <w:pPr>
                    <w:pStyle w:val="31"/>
                    <w:rPr>
                      <w:rFonts w:hint="default" w:ascii="Times New Roman" w:hAnsi="Times New Roman" w:eastAsia="宋体" w:cs="Times New Roman"/>
                      <w:color w:val="000000"/>
                      <w:u w:val="none"/>
                      <w:lang w:val="en-US" w:eastAsia="zh-CN"/>
                    </w:rPr>
                  </w:pPr>
                  <w:r>
                    <w:rPr>
                      <w:rFonts w:hint="eastAsia" w:cs="Times New Roman"/>
                      <w:color w:val="000000"/>
                      <w:u w:val="none"/>
                      <w:lang w:val="en-US" w:eastAsia="zh-CN"/>
                    </w:rPr>
                    <w:t>新建、扩建航道工程；涉及环境敏感区的防波堤、船闸、通航建筑物</w:t>
                  </w:r>
                </w:p>
              </w:tc>
              <w:tc>
                <w:tcPr>
                  <w:tcW w:w="496" w:type="pct"/>
                  <w:noWrap w:val="0"/>
                  <w:vAlign w:val="center"/>
                </w:tcPr>
                <w:p w14:paraId="066538BD">
                  <w:pPr>
                    <w:pStyle w:val="31"/>
                    <w:rPr>
                      <w:rFonts w:hint="default" w:ascii="Times New Roman" w:hAnsi="Times New Roman" w:cs="Times New Roman"/>
                      <w:color w:val="000000"/>
                      <w:u w:val="none"/>
                    </w:rPr>
                  </w:pPr>
                  <w:r>
                    <w:rPr>
                      <w:rFonts w:hint="default" w:ascii="Times New Roman" w:hAnsi="Times New Roman" w:cs="Times New Roman"/>
                      <w:color w:val="000000"/>
                      <w:highlight w:val="lightGray"/>
                      <w:u w:val="none"/>
                    </w:rPr>
                    <w:t>其他</w:t>
                  </w:r>
                </w:p>
              </w:tc>
              <w:tc>
                <w:tcPr>
                  <w:tcW w:w="404" w:type="pct"/>
                  <w:noWrap w:val="0"/>
                  <w:vAlign w:val="center"/>
                </w:tcPr>
                <w:p w14:paraId="589836E2">
                  <w:pPr>
                    <w:pStyle w:val="31"/>
                    <w:bidi w:val="0"/>
                    <w:rPr>
                      <w:rFonts w:hint="default"/>
                      <w:color w:val="000000"/>
                      <w:u w:val="none"/>
                    </w:rPr>
                  </w:pPr>
                  <w:r>
                    <w:rPr>
                      <w:rFonts w:hint="default"/>
                      <w:color w:val="000000"/>
                      <w:u w:val="none"/>
                    </w:rPr>
                    <w:t>/</w:t>
                  </w:r>
                </w:p>
              </w:tc>
              <w:tc>
                <w:tcPr>
                  <w:tcW w:w="1496" w:type="pct"/>
                  <w:noWrap w:val="0"/>
                  <w:vAlign w:val="center"/>
                </w:tcPr>
                <w:p w14:paraId="0B8836BC">
                  <w:pPr>
                    <w:pStyle w:val="31"/>
                    <w:bidi w:val="0"/>
                    <w:rPr>
                      <w:rFonts w:hint="default"/>
                      <w:color w:val="000000"/>
                      <w:u w:val="none"/>
                    </w:rPr>
                  </w:pPr>
                  <w:r>
                    <w:rPr>
                      <w:rFonts w:hint="default"/>
                      <w:color w:val="000000"/>
                      <w:u w:val="none"/>
                    </w:rPr>
                    <w:t>第三条（一）中的全部区域；第三条（二）中的除（一）外的生态保护红线管控范围，重要水生生物的自然产卵场、索饵场、越冬场和洄游通道，天然渔场</w:t>
                  </w:r>
                </w:p>
              </w:tc>
            </w:tr>
            <w:tr w14:paraId="774ED9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4" w:type="pct"/>
                  <w:noWrap w:val="0"/>
                  <w:vAlign w:val="center"/>
                </w:tcPr>
                <w:p w14:paraId="63EEF84E">
                  <w:pPr>
                    <w:pStyle w:val="31"/>
                    <w:rPr>
                      <w:rFonts w:hint="default" w:cs="Times New Roman"/>
                      <w:color w:val="000000"/>
                      <w:u w:val="none"/>
                      <w:lang w:val="en-US" w:eastAsia="zh-CN"/>
                    </w:rPr>
                  </w:pPr>
                  <w:r>
                    <w:rPr>
                      <w:rFonts w:hint="eastAsia" w:cs="Times New Roman"/>
                      <w:color w:val="000000"/>
                      <w:u w:val="none"/>
                      <w:lang w:val="en-US" w:eastAsia="zh-CN"/>
                    </w:rPr>
                    <w:t>145</w:t>
                  </w:r>
                </w:p>
              </w:tc>
              <w:tc>
                <w:tcPr>
                  <w:tcW w:w="714" w:type="pct"/>
                  <w:shd w:val="clear" w:color="auto" w:fill="auto"/>
                  <w:noWrap w:val="0"/>
                  <w:vAlign w:val="center"/>
                </w:tcPr>
                <w:p w14:paraId="5BE9825C">
                  <w:pPr>
                    <w:pStyle w:val="31"/>
                    <w:rPr>
                      <w:rFonts w:hint="default" w:ascii="Times New Roman" w:hAnsi="Times New Roman" w:eastAsia="宋体" w:cs="Times New Roman"/>
                      <w:color w:val="000000"/>
                      <w:u w:val="none"/>
                      <w:shd w:val="clear" w:color="auto" w:fill="BEBEBE"/>
                      <w:lang w:val="en-US" w:eastAsia="zh-CN"/>
                    </w:rPr>
                  </w:pPr>
                  <w:r>
                    <w:rPr>
                      <w:rFonts w:hint="eastAsia" w:ascii="Times New Roman" w:hAnsi="Times New Roman" w:cs="Times New Roman"/>
                      <w:color w:val="000000"/>
                      <w:u w:val="none"/>
                      <w:shd w:val="clear" w:color="auto"/>
                      <w:lang w:val="en-US" w:eastAsia="zh-CN"/>
                    </w:rPr>
                    <w:t>中心渔港码头</w:t>
                  </w:r>
                </w:p>
              </w:tc>
              <w:tc>
                <w:tcPr>
                  <w:tcW w:w="1462" w:type="pct"/>
                  <w:shd w:val="clear" w:color="auto" w:fill="auto"/>
                  <w:noWrap w:val="0"/>
                  <w:vAlign w:val="center"/>
                </w:tcPr>
                <w:p w14:paraId="69039CAA">
                  <w:pPr>
                    <w:pStyle w:val="31"/>
                    <w:rPr>
                      <w:rFonts w:hint="default" w:cs="Times New Roman"/>
                      <w:color w:val="000000"/>
                      <w:u w:val="none"/>
                      <w:lang w:val="en-US" w:eastAsia="zh-CN"/>
                    </w:rPr>
                  </w:pPr>
                  <w:r>
                    <w:rPr>
                      <w:rFonts w:hint="eastAsia" w:cs="Times New Roman"/>
                      <w:color w:val="000000"/>
                      <w:u w:val="none"/>
                      <w:lang w:val="en-US" w:eastAsia="zh-CN"/>
                    </w:rPr>
                    <w:t>涉及环境敏感区的</w:t>
                  </w:r>
                </w:p>
              </w:tc>
              <w:tc>
                <w:tcPr>
                  <w:tcW w:w="496" w:type="pct"/>
                  <w:shd w:val="clear" w:color="auto" w:fill="auto"/>
                  <w:noWrap w:val="0"/>
                  <w:vAlign w:val="center"/>
                </w:tcPr>
                <w:p w14:paraId="67407F5E">
                  <w:pPr>
                    <w:pStyle w:val="31"/>
                    <w:rPr>
                      <w:rFonts w:hint="eastAsia" w:ascii="Times New Roman" w:hAnsi="Times New Roman" w:eastAsia="宋体" w:cs="Times New Roman"/>
                      <w:color w:val="000000"/>
                      <w:highlight w:val="lightGray"/>
                      <w:u w:val="none"/>
                      <w:lang w:val="en-US" w:eastAsia="zh-CN"/>
                    </w:rPr>
                  </w:pPr>
                  <w:r>
                    <w:rPr>
                      <w:rFonts w:hint="eastAsia" w:ascii="Times New Roman" w:hAnsi="Times New Roman" w:eastAsia="宋体" w:cs="Times New Roman"/>
                      <w:color w:val="000000"/>
                      <w:u w:val="none"/>
                      <w:lang w:val="en-US" w:eastAsia="zh-CN"/>
                    </w:rPr>
                    <w:t>其他</w:t>
                  </w:r>
                </w:p>
              </w:tc>
              <w:tc>
                <w:tcPr>
                  <w:tcW w:w="404" w:type="pct"/>
                  <w:noWrap w:val="0"/>
                  <w:vAlign w:val="center"/>
                </w:tcPr>
                <w:p w14:paraId="66155478">
                  <w:pPr>
                    <w:pStyle w:val="31"/>
                    <w:bidi w:val="0"/>
                    <w:rPr>
                      <w:rFonts w:hint="eastAsia" w:eastAsia="宋体"/>
                      <w:color w:val="000000"/>
                      <w:u w:val="none"/>
                      <w:lang w:val="en-US" w:eastAsia="zh-CN"/>
                    </w:rPr>
                  </w:pPr>
                  <w:r>
                    <w:rPr>
                      <w:rFonts w:hint="eastAsia"/>
                      <w:color w:val="000000"/>
                      <w:u w:val="none"/>
                      <w:lang w:val="en-US" w:eastAsia="zh-CN"/>
                    </w:rPr>
                    <w:t>/</w:t>
                  </w:r>
                </w:p>
              </w:tc>
              <w:tc>
                <w:tcPr>
                  <w:tcW w:w="1496" w:type="pct"/>
                  <w:noWrap w:val="0"/>
                  <w:vAlign w:val="center"/>
                </w:tcPr>
                <w:p w14:paraId="0B80DAF9">
                  <w:pPr>
                    <w:pStyle w:val="31"/>
                    <w:bidi w:val="0"/>
                    <w:rPr>
                      <w:rFonts w:hint="default"/>
                      <w:color w:val="000000"/>
                      <w:u w:val="none"/>
                    </w:rPr>
                  </w:pPr>
                  <w:r>
                    <w:rPr>
                      <w:rFonts w:hint="default"/>
                      <w:color w:val="000000"/>
                      <w:u w:val="none"/>
                    </w:rPr>
                    <w:t>第三条（一）中的全部区域；第三条（二）中的除（一）外的生态保护红线管控范围，重要水生生物的自然产卵场、索饵场、越冬场和洄游通道，天然渔场</w:t>
                  </w:r>
                </w:p>
              </w:tc>
            </w:tr>
          </w:tbl>
          <w:p w14:paraId="42432A31">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根据《中华人民共和国海洋环境保护法》和《中华人民共和国环境影响评价法》的要求，福建省华立沃口渔港开发有限公司于2024年11月18日委托福建中科环境检测技术有限公司承担本项目的环境影响评价工作（附件1）。我司接受委托后，根据有关技术规范要求，立即开展现场踏勘、资料收集等工作，针对项目建设情况和工程所在环境特征开展了环境现状调查、公众参与、环境影响评价等工作，在此基础上编制完成本项目环境影响报告</w:t>
            </w:r>
            <w:r>
              <w:rPr>
                <w:rFonts w:hint="eastAsia" w:ascii="Times New Roman" w:hAnsi="Times New Roman" w:cs="Times New Roman"/>
                <w:color w:val="000000"/>
                <w:highlight w:val="none"/>
                <w:lang w:val="en-US" w:eastAsia="zh-CN"/>
              </w:rPr>
              <w:t>表。</w:t>
            </w:r>
          </w:p>
          <w:p w14:paraId="2EDBEC93">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lang w:val="en-US" w:eastAsia="zh-CN"/>
              </w:rPr>
            </w:pPr>
          </w:p>
          <w:p w14:paraId="36916D46">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lang w:val="en-US" w:eastAsia="zh-CN"/>
              </w:rPr>
            </w:pPr>
          </w:p>
          <w:p w14:paraId="6BDCEAAA">
            <w:pPr>
              <w:pStyle w:val="3"/>
              <w:bidi w:val="0"/>
              <w:ind w:left="567" w:leftChars="0" w:hanging="567" w:firstLineChars="0"/>
              <w:rPr>
                <w:rFonts w:hint="default"/>
                <w:lang w:val="en-US" w:eastAsia="zh-CN"/>
              </w:rPr>
            </w:pPr>
            <w:bookmarkStart w:id="141" w:name="_Toc19442"/>
            <w:bookmarkStart w:id="142" w:name="_Toc12679"/>
            <w:bookmarkStart w:id="143" w:name="_Toc28795"/>
            <w:r>
              <w:rPr>
                <w:rFonts w:hint="default"/>
                <w:lang w:val="en-US" w:eastAsia="zh-CN"/>
              </w:rPr>
              <w:t>项目组成及规模</w:t>
            </w:r>
            <w:bookmarkEnd w:id="141"/>
            <w:bookmarkEnd w:id="142"/>
            <w:bookmarkEnd w:id="143"/>
          </w:p>
          <w:p w14:paraId="2D7ECA74">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（1）项目名称：福清市海亮沃口一级渔港</w:t>
            </w:r>
            <w:r>
              <w:rPr>
                <w:rFonts w:hint="eastAsia" w:cs="Times New Roman"/>
                <w:color w:val="000000"/>
                <w:highlight w:val="none"/>
                <w:lang w:val="en-US" w:eastAsia="zh-CN"/>
              </w:rPr>
              <w:t>工程</w:t>
            </w:r>
            <w:r>
              <w:rPr>
                <w:rFonts w:hint="default" w:ascii="Times New Roman" w:hAnsi="Times New Roman" w:cs="Times New Roman"/>
                <w:color w:val="000000"/>
                <w:highlight w:val="none"/>
                <w:lang w:val="en-US" w:eastAsia="zh-CN"/>
              </w:rPr>
              <w:t>；</w:t>
            </w:r>
          </w:p>
          <w:p w14:paraId="1DAC2786">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（2）建设单位：福建省华立沃口渔港开发有限公司；</w:t>
            </w:r>
          </w:p>
          <w:p w14:paraId="2DF3B361">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（3）建设性质：扩建；</w:t>
            </w:r>
          </w:p>
          <w:p w14:paraId="74B51768">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4）建设内容与规模：本项目功能定位为兼有避风及生产功能的综合型一级渔港，设计年卸港量4.24万t，拟建防波堤总长1770m，其中东防波堤长1550m，南防波堤兼码头长220m（内侧码头长160m，设4个200HP泊位；外侧码头长150m，设3个600HP泊位）；陆域形成25.32万m</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lang w:val="en-US" w:eastAsia="zh-CN"/>
              </w:rPr>
              <w:t>（新建陆域面积为23.49万m</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lang w:val="en-US" w:eastAsia="zh-CN"/>
              </w:rPr>
              <w:t>，现有二级渔港陆域1.83万m</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lang w:val="en-US" w:eastAsia="zh-CN"/>
              </w:rPr>
              <w:t>），边坡支护8.66万m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，港内水域面积为59.2411hm</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lang w:val="en-US" w:eastAsia="zh-CN"/>
              </w:rPr>
              <w:t>；港池疏浚4.84万m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，施工便桥119.5m，建设渔港综合管理大楼（含渔港综合执法办证中心）；配套建设堤头灯、视频监控网数据资源中心、智慧渔港一体化综合管理平台、硬件资源及水电等附属设施。</w:t>
            </w:r>
          </w:p>
          <w:p w14:paraId="186C7574">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根据《福清市人民政府关于印发福清市建设工程项目涉及砂石资源处置监管工作方案（试行）的通知》（融政发〔2022〕6号，附件25），后方陆域山体开挖整平由福清市自然资源和规划局委托相关单位进行，剩余砂石资源（含淤泥）由属地政府进行公开有偿化处置，所得收益全部缴入市财政。</w:t>
            </w:r>
            <w:r>
              <w:rPr>
                <w:rFonts w:hint="default" w:ascii="Times New Roman" w:hAnsi="Times New Roman" w:cs="Times New Roman"/>
                <w:b/>
                <w:bCs/>
                <w:color w:val="000000"/>
                <w:highlight w:val="none"/>
                <w:lang w:val="en-US" w:eastAsia="zh-CN"/>
              </w:rPr>
              <w:t>因此，陆域山体开挖整平不在本次评价范围内。</w:t>
            </w:r>
          </w:p>
          <w:p w14:paraId="132E89E5">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（5）用海情况：本项目为渔业基础设施用海，根据项目用海的不动产权证书（附件7），项目用海面积为89.8406hm</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lang w:val="en-US" w:eastAsia="zh-CN"/>
              </w:rPr>
              <w:t>，其中非透水构筑物30.5995hm</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lang w:val="en-US" w:eastAsia="zh-CN"/>
              </w:rPr>
              <w:t>、港池59.2411hm</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lang w:val="en-US" w:eastAsia="zh-CN"/>
              </w:rPr>
              <w:t>；施工期用海面积0.1897hm</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lang w:val="en-US" w:eastAsia="zh-CN"/>
              </w:rPr>
              <w:t>，用海方式为透水构筑物。项目建设占用人工岸线26.6m（与新修测海岸线共线4.5m），不占用自然岸线，不形成新的岸线。</w:t>
            </w:r>
          </w:p>
          <w:p w14:paraId="3DF39439">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w:t>
            </w:r>
            <w:r>
              <w:rPr>
                <w:rFonts w:hint="eastAsia" w:ascii="Times New Roman" w:hAnsi="Times New Roman" w:cs="Times New Roman"/>
                <w:color w:val="000000"/>
                <w:highlight w:val="none"/>
                <w:lang w:val="en-US" w:eastAsia="zh-CN"/>
              </w:rPr>
              <w:t>6</w:t>
            </w:r>
            <w:r>
              <w:rPr>
                <w:rFonts w:hint="default" w:ascii="Times New Roman" w:hAnsi="Times New Roman" w:cs="Times New Roman"/>
                <w:color w:val="000000"/>
                <w:highlight w:val="none"/>
                <w:lang w:val="en-US" w:eastAsia="zh-CN"/>
              </w:rPr>
              <w:t>）用地情况：本项目陆域形成总共25.32万m</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lang w:val="en-US" w:eastAsia="zh-CN"/>
              </w:rPr>
              <w:t>，其中现有海亮沃口二级渔港陆域面积为1.83万m</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lang w:val="en-US" w:eastAsia="zh-CN"/>
              </w:rPr>
              <w:t>；根据建设用地规划许可证（附件9），新增陆域面积为23.49万m</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lang w:val="en-US" w:eastAsia="zh-CN"/>
              </w:rPr>
              <w:t>，土地用途为交通运输用地。</w:t>
            </w:r>
          </w:p>
          <w:p w14:paraId="498E3B63">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rPr>
              <w:t>本工程陆域面积25.32万</w:t>
            </w:r>
            <w:r>
              <w:rPr>
                <w:rFonts w:hint="default" w:ascii="Times New Roman" w:hAnsi="Times New Roman" w:cs="Times New Roman"/>
                <w:color w:val="000000"/>
                <w:highlight w:val="none"/>
                <w:lang w:val="en-US" w:eastAsia="zh-CN"/>
              </w:rPr>
              <w:t>m</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rPr>
              <w:t>，其中现有二级渔港陆域1.83万</w:t>
            </w:r>
            <w:r>
              <w:rPr>
                <w:rFonts w:hint="default" w:ascii="Times New Roman" w:hAnsi="Times New Roman" w:cs="Times New Roman"/>
                <w:color w:val="000000"/>
                <w:highlight w:val="none"/>
                <w:lang w:val="en-US" w:eastAsia="zh-CN"/>
              </w:rPr>
              <w:t>m</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rPr>
              <w:t>，拟利用港区后方新形成陆域面积23.49万</w:t>
            </w:r>
            <w:r>
              <w:rPr>
                <w:rFonts w:hint="default" w:ascii="Times New Roman" w:hAnsi="Times New Roman" w:cs="Times New Roman"/>
                <w:color w:val="000000"/>
                <w:highlight w:val="none"/>
                <w:lang w:val="en-US" w:eastAsia="zh-CN"/>
              </w:rPr>
              <w:t>m</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rPr>
              <w:t>。</w:t>
            </w:r>
            <w:r>
              <w:rPr>
                <w:rFonts w:hint="default" w:ascii="Times New Roman" w:hAnsi="Times New Roman" w:cs="Times New Roman"/>
                <w:color w:val="000000"/>
                <w:highlight w:val="none"/>
                <w:lang w:val="en-US" w:eastAsia="zh-CN"/>
              </w:rPr>
              <w:t>本工程新增用地已于2021年10月26日取得了国家林业和草原局关于本工程使用林地审核同意书（林资许准（闽）〔2021〕16号，附件8）；2024年10月29日取得了福建省人民政府农用地转用和土地征收的批复（闽政地﹝2024﹞549号，附件10）；2024年12月4日取得了项目建设用地规划许可证（证号：地字第350181202400134号，附件9）</w:t>
            </w:r>
            <w:r>
              <w:rPr>
                <w:rFonts w:hint="eastAsia" w:cs="Times New Roman"/>
                <w:color w:val="000000"/>
                <w:highlight w:val="none"/>
                <w:lang w:val="en-US" w:eastAsia="zh-CN"/>
              </w:rPr>
              <w:t>且</w:t>
            </w:r>
            <w:r>
              <w:rPr>
                <w:rFonts w:hint="default" w:ascii="Times New Roman" w:hAnsi="Times New Roman" w:cs="Times New Roman"/>
                <w:color w:val="000000"/>
                <w:highlight w:val="none"/>
                <w:lang w:val="en-US" w:eastAsia="zh-CN"/>
              </w:rPr>
              <w:t>已办理林木采伐许可证（附件11）。</w:t>
            </w:r>
          </w:p>
          <w:p w14:paraId="4253E209">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w:t>
            </w:r>
            <w:r>
              <w:rPr>
                <w:rFonts w:hint="eastAsia" w:ascii="Times New Roman" w:hAnsi="Times New Roman" w:cs="Times New Roman"/>
                <w:color w:val="000000"/>
                <w:highlight w:val="none"/>
                <w:lang w:val="en-US" w:eastAsia="zh-CN"/>
              </w:rPr>
              <w:t>7</w:t>
            </w:r>
            <w:r>
              <w:rPr>
                <w:rFonts w:hint="default" w:ascii="Times New Roman" w:hAnsi="Times New Roman" w:cs="Times New Roman"/>
                <w:color w:val="000000"/>
                <w:highlight w:val="none"/>
                <w:lang w:val="en-US" w:eastAsia="zh-CN"/>
              </w:rPr>
              <w:t>）项目总投资与建设周期：项目总投资35622万元，总建设周期为36个月。</w:t>
            </w:r>
          </w:p>
          <w:p w14:paraId="062FFE27">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w:t>
            </w:r>
            <w:r>
              <w:rPr>
                <w:rFonts w:hint="eastAsia" w:ascii="Times New Roman" w:hAnsi="Times New Roman" w:cs="Times New Roman"/>
                <w:color w:val="000000"/>
                <w:highlight w:val="none"/>
                <w:lang w:val="en-US" w:eastAsia="zh-CN"/>
              </w:rPr>
              <w:t>8</w:t>
            </w:r>
            <w:r>
              <w:rPr>
                <w:rFonts w:hint="default" w:ascii="Times New Roman" w:hAnsi="Times New Roman" w:cs="Times New Roman"/>
                <w:color w:val="000000"/>
                <w:highlight w:val="none"/>
                <w:lang w:val="en-US" w:eastAsia="zh-CN"/>
              </w:rPr>
              <w:t>）劳动定员及工作制度：本项目新增劳动定员28人，码头泊位年作业天数为225天。</w:t>
            </w:r>
          </w:p>
          <w:p w14:paraId="37CDA96E">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u w:val="none"/>
                <w:lang w:val="en-US" w:eastAsia="zh-CN"/>
              </w:rPr>
            </w:pPr>
            <w:r>
              <w:rPr>
                <w:rFonts w:hint="default" w:ascii="Times New Roman" w:hAnsi="Times New Roman" w:cs="Times New Roman"/>
                <w:color w:val="000000"/>
                <w:highlight w:val="none"/>
                <w:lang w:val="en-US" w:eastAsia="zh-CN"/>
              </w:rPr>
              <w:t>本项目主要经济指标见</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REF _Ref4652 \h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2.2</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1</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val="en-US" w:eastAsia="zh-CN"/>
              </w:rPr>
              <w:t>，项目工程组成详见</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REF _Ref4838 \h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2.2</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2</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val="en-US" w:eastAsia="zh-CN"/>
              </w:rPr>
              <w:t>。项目区及周边现状照片见</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REF _Ref28916 \h </w:instrText>
            </w:r>
            <w:r>
              <w:rPr>
                <w:rFonts w:hint="default" w:ascii="Times New Roman" w:hAnsi="Times New Roman" w:cs="Times New Roman"/>
                <w:color w:val="000000"/>
                <w:highlight w:val="none"/>
                <w:lang w:val="en-US" w:eastAsia="zh-CN"/>
              </w:rPr>
              <w:fldChar w:fldCharType="separate"/>
            </w:r>
            <w:r>
              <w:rPr>
                <w:rFonts w:hint="default"/>
              </w:rPr>
              <w:t>图</w:t>
            </w:r>
            <w:r>
              <w:rPr>
                <w:rFonts w:hint="default"/>
              </w:rPr>
              <w:fldChar w:fldCharType="begin"/>
            </w:r>
            <w:r>
              <w:rPr>
                <w:rFonts w:hint="default"/>
              </w:rPr>
              <w:instrText xml:space="preserve"> STYLEREF 2 \s </w:instrText>
            </w:r>
            <w:r>
              <w:rPr>
                <w:rFonts w:hint="default"/>
              </w:rPr>
              <w:fldChar w:fldCharType="separate"/>
            </w:r>
            <w:r>
              <w:rPr>
                <w:rFonts w:hint="default"/>
              </w:rPr>
              <w:t>2.2</w:t>
            </w:r>
            <w:r>
              <w:rPr>
                <w:rFonts w:hint="default"/>
              </w:rPr>
              <w:fldChar w:fldCharType="end"/>
            </w:r>
            <w:r>
              <w:rPr>
                <w:rFonts w:hint="default"/>
                <w:lang w:eastAsia="zh-CN"/>
              </w:rPr>
              <w:t>-</w:t>
            </w:r>
            <w:r>
              <w:rPr>
                <w:rFonts w:hint="default"/>
              </w:rPr>
              <w:t>1</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val="en-US" w:eastAsia="zh-CN"/>
              </w:rPr>
              <w:t>。</w:t>
            </w:r>
          </w:p>
          <w:p w14:paraId="7CFFEEBD">
            <w:pPr>
              <w:pStyle w:val="30"/>
              <w:bidi w:val="0"/>
              <w:rPr>
                <w:rFonts w:hint="default" w:ascii="Times New Roman" w:hAnsi="Times New Roman" w:cs="Times New Roman"/>
                <w:color w:val="000000"/>
                <w:highlight w:val="none"/>
                <w:lang w:val="en-US" w:eastAsia="zh-CN"/>
              </w:rPr>
            </w:pPr>
            <w:bookmarkStart w:id="144" w:name="_Ref4652"/>
            <w:bookmarkStart w:id="145" w:name="_Toc13992"/>
            <w:bookmarkStart w:id="146" w:name="_Toc4905"/>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2.2</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表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1</w:t>
            </w:r>
            <w:r>
              <w:rPr>
                <w:rFonts w:hint="default" w:ascii="Times New Roman" w:hAnsi="Times New Roman" w:cs="Times New Roman"/>
                <w:color w:val="000000"/>
                <w:highlight w:val="none"/>
              </w:rPr>
              <w:fldChar w:fldCharType="end"/>
            </w:r>
            <w:bookmarkEnd w:id="144"/>
            <w:r>
              <w:rPr>
                <w:rFonts w:hint="default" w:ascii="Times New Roman" w:hAnsi="Times New Roman" w:cs="Times New Roman"/>
                <w:color w:val="000000"/>
                <w:highlight w:val="none"/>
                <w:lang w:val="en-US" w:eastAsia="zh-CN"/>
              </w:rPr>
              <w:t xml:space="preserve"> 本项目扩建前后主要经济指标一览表</w:t>
            </w:r>
          </w:p>
          <w:tbl>
            <w:tblPr>
              <w:tblStyle w:val="22"/>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8"/>
              <w:gridCol w:w="1769"/>
              <w:gridCol w:w="1905"/>
              <w:gridCol w:w="1890"/>
              <w:gridCol w:w="1876"/>
            </w:tblGrid>
            <w:tr w14:paraId="7CE633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440" w:type="pct"/>
                  <w:noWrap w:val="0"/>
                  <w:vAlign w:val="center"/>
                </w:tcPr>
                <w:p w14:paraId="740D8508">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序号</w:t>
                  </w:r>
                </w:p>
              </w:tc>
              <w:tc>
                <w:tcPr>
                  <w:tcW w:w="1084" w:type="pct"/>
                  <w:noWrap w:val="0"/>
                  <w:vAlign w:val="center"/>
                </w:tcPr>
                <w:p w14:paraId="5E1408D2">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项目</w:t>
                  </w:r>
                </w:p>
              </w:tc>
              <w:tc>
                <w:tcPr>
                  <w:tcW w:w="1167" w:type="pct"/>
                  <w:noWrap w:val="0"/>
                  <w:vAlign w:val="center"/>
                </w:tcPr>
                <w:p w14:paraId="1DEFA330">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海亮沃口二级渔港（已建）</w:t>
                  </w:r>
                </w:p>
              </w:tc>
              <w:tc>
                <w:tcPr>
                  <w:tcW w:w="1158" w:type="pct"/>
                  <w:noWrap w:val="0"/>
                  <w:vAlign w:val="center"/>
                </w:tcPr>
                <w:p w14:paraId="1D66ECD6">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海亮沃口一级渔港（拟建）</w:t>
                  </w:r>
                </w:p>
              </w:tc>
              <w:tc>
                <w:tcPr>
                  <w:tcW w:w="1149" w:type="pct"/>
                  <w:noWrap w:val="0"/>
                  <w:vAlign w:val="center"/>
                </w:tcPr>
                <w:p w14:paraId="18D4DE8D">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规模合计</w:t>
                  </w:r>
                </w:p>
              </w:tc>
            </w:tr>
            <w:tr w14:paraId="6ED0D7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40" w:type="pct"/>
                  <w:noWrap w:val="0"/>
                  <w:vAlign w:val="center"/>
                </w:tcPr>
                <w:p w14:paraId="6D7EDB74">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w:t>
                  </w:r>
                </w:p>
              </w:tc>
              <w:tc>
                <w:tcPr>
                  <w:tcW w:w="1084" w:type="pct"/>
                  <w:noWrap w:val="0"/>
                  <w:vAlign w:val="center"/>
                </w:tcPr>
                <w:p w14:paraId="094FFDE3">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码头</w:t>
                  </w:r>
                </w:p>
              </w:tc>
              <w:tc>
                <w:tcPr>
                  <w:tcW w:w="1167" w:type="pct"/>
                  <w:noWrap w:val="0"/>
                  <w:vAlign w:val="center"/>
                </w:tcPr>
                <w:p w14:paraId="614B6205">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168m</w:t>
                  </w:r>
                </w:p>
              </w:tc>
              <w:tc>
                <w:tcPr>
                  <w:tcW w:w="1158" w:type="pct"/>
                  <w:noWrap w:val="0"/>
                  <w:vAlign w:val="center"/>
                </w:tcPr>
                <w:p w14:paraId="4FE7F81E">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310m</w:t>
                  </w:r>
                </w:p>
              </w:tc>
              <w:tc>
                <w:tcPr>
                  <w:tcW w:w="1149" w:type="pct"/>
                  <w:noWrap w:val="0"/>
                  <w:vAlign w:val="center"/>
                </w:tcPr>
                <w:p w14:paraId="221327AA">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478m</w:t>
                  </w:r>
                </w:p>
              </w:tc>
            </w:tr>
            <w:tr w14:paraId="0A20D4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40" w:type="pct"/>
                  <w:noWrap w:val="0"/>
                  <w:vAlign w:val="center"/>
                </w:tcPr>
                <w:p w14:paraId="58A94171">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w:t>
                  </w:r>
                </w:p>
              </w:tc>
              <w:tc>
                <w:tcPr>
                  <w:tcW w:w="1084" w:type="pct"/>
                  <w:noWrap w:val="0"/>
                  <w:vAlign w:val="center"/>
                </w:tcPr>
                <w:p w14:paraId="3C7EB2D0">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150HP码头泊位</w:t>
                  </w:r>
                </w:p>
              </w:tc>
              <w:tc>
                <w:tcPr>
                  <w:tcW w:w="1167" w:type="pct"/>
                  <w:noWrap w:val="0"/>
                  <w:vAlign w:val="center"/>
                </w:tcPr>
                <w:p w14:paraId="1E2241C4">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4个</w:t>
                  </w:r>
                </w:p>
              </w:tc>
              <w:tc>
                <w:tcPr>
                  <w:tcW w:w="1158" w:type="pct"/>
                  <w:noWrap w:val="0"/>
                  <w:vAlign w:val="center"/>
                </w:tcPr>
                <w:p w14:paraId="22210390">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w:t>
                  </w:r>
                </w:p>
              </w:tc>
              <w:tc>
                <w:tcPr>
                  <w:tcW w:w="1149" w:type="pct"/>
                  <w:noWrap w:val="0"/>
                  <w:vAlign w:val="center"/>
                </w:tcPr>
                <w:p w14:paraId="119C5F2A">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4个</w:t>
                  </w:r>
                </w:p>
              </w:tc>
            </w:tr>
            <w:tr w14:paraId="3FD072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40" w:type="pct"/>
                  <w:noWrap w:val="0"/>
                  <w:vAlign w:val="center"/>
                </w:tcPr>
                <w:p w14:paraId="5C1115BF">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3</w:t>
                  </w:r>
                </w:p>
              </w:tc>
              <w:tc>
                <w:tcPr>
                  <w:tcW w:w="1084" w:type="pct"/>
                  <w:noWrap w:val="0"/>
                  <w:vAlign w:val="center"/>
                </w:tcPr>
                <w:p w14:paraId="793ECC91">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200HP码头泊位</w:t>
                  </w:r>
                </w:p>
              </w:tc>
              <w:tc>
                <w:tcPr>
                  <w:tcW w:w="1167" w:type="pct"/>
                  <w:noWrap w:val="0"/>
                  <w:vAlign w:val="center"/>
                </w:tcPr>
                <w:p w14:paraId="776DD4A6">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w:t>
                  </w:r>
                </w:p>
              </w:tc>
              <w:tc>
                <w:tcPr>
                  <w:tcW w:w="1158" w:type="pct"/>
                  <w:noWrap w:val="0"/>
                  <w:vAlign w:val="center"/>
                </w:tcPr>
                <w:p w14:paraId="7BEE494D">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4个</w:t>
                  </w:r>
                </w:p>
              </w:tc>
              <w:tc>
                <w:tcPr>
                  <w:tcW w:w="1149" w:type="pct"/>
                  <w:noWrap w:val="0"/>
                  <w:vAlign w:val="center"/>
                </w:tcPr>
                <w:p w14:paraId="01FB511F">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4个</w:t>
                  </w:r>
                </w:p>
              </w:tc>
            </w:tr>
            <w:tr w14:paraId="001F53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40" w:type="pct"/>
                  <w:noWrap w:val="0"/>
                  <w:vAlign w:val="center"/>
                </w:tcPr>
                <w:p w14:paraId="4A2E99CE">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4</w:t>
                  </w:r>
                </w:p>
              </w:tc>
              <w:tc>
                <w:tcPr>
                  <w:tcW w:w="1084" w:type="pct"/>
                  <w:noWrap w:val="0"/>
                  <w:vAlign w:val="center"/>
                </w:tcPr>
                <w:p w14:paraId="0063C738">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600HP码头泊位</w:t>
                  </w:r>
                </w:p>
              </w:tc>
              <w:tc>
                <w:tcPr>
                  <w:tcW w:w="1167" w:type="pct"/>
                  <w:noWrap w:val="0"/>
                  <w:vAlign w:val="center"/>
                </w:tcPr>
                <w:p w14:paraId="6DC9608A">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w:t>
                  </w:r>
                </w:p>
              </w:tc>
              <w:tc>
                <w:tcPr>
                  <w:tcW w:w="1158" w:type="pct"/>
                  <w:noWrap w:val="0"/>
                  <w:vAlign w:val="center"/>
                </w:tcPr>
                <w:p w14:paraId="281905DB">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3个</w:t>
                  </w:r>
                </w:p>
              </w:tc>
              <w:tc>
                <w:tcPr>
                  <w:tcW w:w="1149" w:type="pct"/>
                  <w:noWrap w:val="0"/>
                  <w:vAlign w:val="center"/>
                </w:tcPr>
                <w:p w14:paraId="7F50E9D5">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3个</w:t>
                  </w:r>
                </w:p>
              </w:tc>
            </w:tr>
            <w:tr w14:paraId="775134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40" w:type="pct"/>
                  <w:noWrap w:val="0"/>
                  <w:vAlign w:val="center"/>
                </w:tcPr>
                <w:p w14:paraId="2CD9FB6C">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5</w:t>
                  </w:r>
                </w:p>
              </w:tc>
              <w:tc>
                <w:tcPr>
                  <w:tcW w:w="1084" w:type="pct"/>
                  <w:noWrap w:val="0"/>
                  <w:vAlign w:val="center"/>
                </w:tcPr>
                <w:p w14:paraId="3E390B5B">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陆域形成</w:t>
                  </w:r>
                </w:p>
              </w:tc>
              <w:tc>
                <w:tcPr>
                  <w:tcW w:w="1167" w:type="pct"/>
                  <w:noWrap w:val="0"/>
                  <w:vAlign w:val="center"/>
                </w:tcPr>
                <w:p w14:paraId="5E750D9C">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1.83万m</w:t>
                  </w:r>
                  <w:r>
                    <w:rPr>
                      <w:rFonts w:hint="default" w:ascii="Times New Roman" w:hAnsi="Times New Roman" w:cs="Times New Roman"/>
                      <w:color w:val="000000"/>
                      <w:highlight w:val="none"/>
                      <w:vertAlign w:val="superscript"/>
                      <w:lang w:val="en-US" w:eastAsia="zh-CN"/>
                    </w:rPr>
                    <w:t>2</w:t>
                  </w:r>
                </w:p>
              </w:tc>
              <w:tc>
                <w:tcPr>
                  <w:tcW w:w="1158" w:type="pct"/>
                  <w:noWrap w:val="0"/>
                  <w:vAlign w:val="center"/>
                </w:tcPr>
                <w:p w14:paraId="3EA8A286">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23.49万m</w:t>
                  </w:r>
                  <w:r>
                    <w:rPr>
                      <w:rFonts w:hint="default" w:ascii="Times New Roman" w:hAnsi="Times New Roman" w:cs="Times New Roman"/>
                      <w:color w:val="000000"/>
                      <w:highlight w:val="none"/>
                      <w:vertAlign w:val="superscript"/>
                      <w:lang w:val="en-US" w:eastAsia="zh-CN"/>
                    </w:rPr>
                    <w:t>2</w:t>
                  </w:r>
                </w:p>
              </w:tc>
              <w:tc>
                <w:tcPr>
                  <w:tcW w:w="1149" w:type="pct"/>
                  <w:noWrap w:val="0"/>
                  <w:vAlign w:val="center"/>
                </w:tcPr>
                <w:p w14:paraId="66146F3D">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25.32万m</w:t>
                  </w:r>
                  <w:r>
                    <w:rPr>
                      <w:rFonts w:hint="default" w:ascii="Times New Roman" w:hAnsi="Times New Roman" w:cs="Times New Roman"/>
                      <w:color w:val="000000"/>
                      <w:highlight w:val="none"/>
                      <w:vertAlign w:val="superscript"/>
                      <w:lang w:val="en-US" w:eastAsia="zh-CN"/>
                    </w:rPr>
                    <w:t>2</w:t>
                  </w:r>
                </w:p>
              </w:tc>
            </w:tr>
            <w:tr w14:paraId="63055A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40" w:type="pct"/>
                  <w:noWrap w:val="0"/>
                  <w:vAlign w:val="center"/>
                </w:tcPr>
                <w:p w14:paraId="315405F4">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6</w:t>
                  </w:r>
                </w:p>
              </w:tc>
              <w:tc>
                <w:tcPr>
                  <w:tcW w:w="1084" w:type="pct"/>
                  <w:noWrap w:val="0"/>
                  <w:vAlign w:val="center"/>
                </w:tcPr>
                <w:p w14:paraId="27012C84">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防波堤</w:t>
                  </w:r>
                </w:p>
              </w:tc>
              <w:tc>
                <w:tcPr>
                  <w:tcW w:w="1167" w:type="pct"/>
                  <w:noWrap w:val="0"/>
                  <w:vAlign w:val="center"/>
                </w:tcPr>
                <w:p w14:paraId="35FC7861">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w:t>
                  </w:r>
                </w:p>
              </w:tc>
              <w:tc>
                <w:tcPr>
                  <w:tcW w:w="1158" w:type="pct"/>
                  <w:noWrap w:val="0"/>
                  <w:vAlign w:val="center"/>
                </w:tcPr>
                <w:p w14:paraId="7D6A3056">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1770m</w:t>
                  </w:r>
                </w:p>
              </w:tc>
              <w:tc>
                <w:tcPr>
                  <w:tcW w:w="1149" w:type="pct"/>
                  <w:noWrap w:val="0"/>
                  <w:vAlign w:val="center"/>
                </w:tcPr>
                <w:p w14:paraId="2058B5A0">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1770m</w:t>
                  </w:r>
                </w:p>
              </w:tc>
            </w:tr>
            <w:tr w14:paraId="3350E5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40" w:type="pct"/>
                  <w:noWrap w:val="0"/>
                  <w:vAlign w:val="center"/>
                </w:tcPr>
                <w:p w14:paraId="1340291B">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7</w:t>
                  </w:r>
                </w:p>
              </w:tc>
              <w:tc>
                <w:tcPr>
                  <w:tcW w:w="1084" w:type="pct"/>
                  <w:noWrap w:val="0"/>
                  <w:vAlign w:val="center"/>
                </w:tcPr>
                <w:p w14:paraId="39874DFA">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有效避风水域</w:t>
                  </w:r>
                </w:p>
              </w:tc>
              <w:tc>
                <w:tcPr>
                  <w:tcW w:w="1167" w:type="pct"/>
                  <w:noWrap w:val="0"/>
                  <w:vAlign w:val="center"/>
                </w:tcPr>
                <w:p w14:paraId="284FF2DB">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w:t>
                  </w:r>
                </w:p>
              </w:tc>
              <w:tc>
                <w:tcPr>
                  <w:tcW w:w="1158" w:type="pct"/>
                  <w:noWrap w:val="0"/>
                  <w:vAlign w:val="center"/>
                </w:tcPr>
                <w:p w14:paraId="403241E2">
                  <w:pPr>
                    <w:pStyle w:val="31"/>
                    <w:bidi w:val="0"/>
                    <w:jc w:val="center"/>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rPr>
                    <w:t>39.24</w:t>
                  </w:r>
                  <w:r>
                    <w:rPr>
                      <w:rFonts w:hint="default" w:ascii="Times New Roman" w:hAnsi="Times New Roman" w:cs="Times New Roman"/>
                      <w:color w:val="000000"/>
                      <w:highlight w:val="none"/>
                      <w:lang w:val="en-US" w:eastAsia="zh-CN"/>
                    </w:rPr>
                    <w:t>hm</w:t>
                  </w:r>
                  <w:r>
                    <w:rPr>
                      <w:rFonts w:hint="default" w:ascii="Times New Roman" w:hAnsi="Times New Roman" w:cs="Times New Roman"/>
                      <w:color w:val="000000"/>
                      <w:highlight w:val="none"/>
                      <w:vertAlign w:val="superscript"/>
                      <w:lang w:val="en-US" w:eastAsia="zh-CN"/>
                    </w:rPr>
                    <w:t>2</w:t>
                  </w:r>
                </w:p>
              </w:tc>
              <w:tc>
                <w:tcPr>
                  <w:tcW w:w="1149" w:type="pct"/>
                  <w:noWrap w:val="0"/>
                  <w:vAlign w:val="center"/>
                </w:tcPr>
                <w:p w14:paraId="6620D7F4">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rPr>
                    <w:t>39.24</w:t>
                  </w:r>
                  <w:r>
                    <w:rPr>
                      <w:rFonts w:hint="default" w:ascii="Times New Roman" w:hAnsi="Times New Roman" w:cs="Times New Roman"/>
                      <w:color w:val="000000"/>
                      <w:highlight w:val="none"/>
                      <w:lang w:val="en-US" w:eastAsia="zh-CN"/>
                    </w:rPr>
                    <w:t>hm</w:t>
                  </w:r>
                  <w:r>
                    <w:rPr>
                      <w:rFonts w:hint="default" w:ascii="Times New Roman" w:hAnsi="Times New Roman" w:cs="Times New Roman"/>
                      <w:color w:val="000000"/>
                      <w:highlight w:val="none"/>
                      <w:vertAlign w:val="superscript"/>
                      <w:lang w:val="en-US" w:eastAsia="zh-CN"/>
                    </w:rPr>
                    <w:t>2</w:t>
                  </w:r>
                </w:p>
              </w:tc>
            </w:tr>
          </w:tbl>
          <w:p w14:paraId="079C49D8">
            <w:pPr>
              <w:pStyle w:val="30"/>
              <w:bidi w:val="0"/>
              <w:rPr>
                <w:rFonts w:hint="default" w:ascii="Times New Roman" w:hAnsi="Times New Roman" w:cs="Times New Roman"/>
                <w:color w:val="000000"/>
                <w:highlight w:val="none"/>
                <w:lang w:val="en-US" w:eastAsia="zh-CN"/>
              </w:rPr>
            </w:pPr>
            <w:bookmarkStart w:id="147" w:name="_Ref4838"/>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2.2</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表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2</w:t>
            </w:r>
            <w:r>
              <w:rPr>
                <w:rFonts w:hint="default" w:ascii="Times New Roman" w:hAnsi="Times New Roman" w:cs="Times New Roman"/>
                <w:color w:val="000000"/>
                <w:highlight w:val="none"/>
              </w:rPr>
              <w:fldChar w:fldCharType="end"/>
            </w:r>
            <w:bookmarkEnd w:id="147"/>
            <w:r>
              <w:rPr>
                <w:rFonts w:hint="default" w:ascii="Times New Roman" w:hAnsi="Times New Roman" w:cs="Times New Roman"/>
                <w:color w:val="000000"/>
                <w:highlight w:val="none"/>
                <w:lang w:val="en-US" w:eastAsia="zh-CN"/>
              </w:rPr>
              <w:t xml:space="preserve"> 本项目工程组成一览表</w:t>
            </w:r>
          </w:p>
          <w:tbl>
            <w:tblPr>
              <w:tblStyle w:val="22"/>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3"/>
              <w:gridCol w:w="800"/>
              <w:gridCol w:w="3"/>
              <w:gridCol w:w="1657"/>
              <w:gridCol w:w="5058"/>
            </w:tblGrid>
            <w:tr w14:paraId="2CA306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1901" w:type="pct"/>
                  <w:gridSpan w:val="4"/>
                  <w:noWrap w:val="0"/>
                  <w:vAlign w:val="center"/>
                </w:tcPr>
                <w:p w14:paraId="2B083718">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工程项目</w:t>
                  </w:r>
                </w:p>
              </w:tc>
              <w:tc>
                <w:tcPr>
                  <w:tcW w:w="3098" w:type="pct"/>
                  <w:noWrap w:val="0"/>
                  <w:vAlign w:val="center"/>
                </w:tcPr>
                <w:p w14:paraId="1FB9F43A">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建设内容</w:t>
                  </w:r>
                </w:p>
              </w:tc>
            </w:tr>
            <w:tr w14:paraId="6D98B0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4" w:type="pct"/>
                  <w:vMerge w:val="restart"/>
                  <w:noWrap w:val="0"/>
                  <w:vAlign w:val="center"/>
                </w:tcPr>
                <w:p w14:paraId="4B094FCD">
                  <w:pPr>
                    <w:pStyle w:val="31"/>
                    <w:bidi w:val="0"/>
                    <w:ind w:firstLine="0" w:firstLineChars="0"/>
                    <w:jc w:val="center"/>
                    <w:rPr>
                      <w:rFonts w:hint="default" w:ascii="Times New Roman" w:hAnsi="Times New Roman" w:cs="Times New Roman"/>
                      <w:b w:val="0"/>
                      <w:bCs w:val="0"/>
                      <w:color w:val="000000"/>
                      <w:highlight w:val="none"/>
                      <w:lang w:val="en-US" w:eastAsia="zh-CN"/>
                    </w:rPr>
                  </w:pPr>
                  <w:r>
                    <w:rPr>
                      <w:rFonts w:hint="default" w:ascii="Times New Roman" w:hAnsi="Times New Roman" w:cs="Times New Roman"/>
                      <w:b w:val="0"/>
                      <w:bCs w:val="0"/>
                      <w:color w:val="000000"/>
                      <w:highlight w:val="none"/>
                      <w:lang w:val="en-US" w:eastAsia="zh-CN"/>
                    </w:rPr>
                    <w:t>主体工程</w:t>
                  </w:r>
                </w:p>
              </w:tc>
              <w:tc>
                <w:tcPr>
                  <w:tcW w:w="1507" w:type="pct"/>
                  <w:gridSpan w:val="3"/>
                  <w:noWrap w:val="0"/>
                  <w:vAlign w:val="center"/>
                </w:tcPr>
                <w:p w14:paraId="7F6E6DB2">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东防波堤</w:t>
                  </w:r>
                </w:p>
              </w:tc>
              <w:tc>
                <w:tcPr>
                  <w:tcW w:w="3098" w:type="pct"/>
                  <w:noWrap w:val="0"/>
                  <w:vAlign w:val="center"/>
                </w:tcPr>
                <w:p w14:paraId="153274DE">
                  <w:pPr>
                    <w:pStyle w:val="31"/>
                    <w:bidi w:val="0"/>
                    <w:ind w:firstLine="0" w:firstLineChars="0"/>
                    <w:jc w:val="left"/>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长1550m，堤顶宽度8.0m，堤顶高程为+7.50m~+10.00m。从港区离岸300m处（王马仔岛西侧）自西北向东南建设防波堤AB段长425m，随后拐向东南侧建设防波堤BC段长1125m。</w:t>
                  </w:r>
                </w:p>
              </w:tc>
            </w:tr>
            <w:tr w14:paraId="43D5B1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4" w:type="pct"/>
                  <w:vMerge w:val="continue"/>
                  <w:noWrap w:val="0"/>
                  <w:vAlign w:val="center"/>
                </w:tcPr>
                <w:p w14:paraId="29E97012">
                  <w:pPr>
                    <w:pStyle w:val="31"/>
                    <w:bidi w:val="0"/>
                    <w:ind w:firstLine="0" w:firstLineChars="0"/>
                    <w:jc w:val="center"/>
                    <w:rPr>
                      <w:rFonts w:hint="default" w:ascii="Times New Roman" w:hAnsi="Times New Roman" w:cs="Times New Roman"/>
                      <w:b w:val="0"/>
                      <w:bCs w:val="0"/>
                      <w:color w:val="000000"/>
                      <w:highlight w:val="none"/>
                      <w:lang w:val="en-US" w:eastAsia="zh-CN"/>
                    </w:rPr>
                  </w:pPr>
                </w:p>
              </w:tc>
              <w:tc>
                <w:tcPr>
                  <w:tcW w:w="1507" w:type="pct"/>
                  <w:gridSpan w:val="3"/>
                  <w:noWrap w:val="0"/>
                  <w:vAlign w:val="center"/>
                </w:tcPr>
                <w:p w14:paraId="00D93E42">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南防波堤兼码头</w:t>
                  </w:r>
                </w:p>
              </w:tc>
              <w:tc>
                <w:tcPr>
                  <w:tcW w:w="3098" w:type="pct"/>
                  <w:noWrap w:val="0"/>
                  <w:vAlign w:val="center"/>
                </w:tcPr>
                <w:p w14:paraId="04D1CC91">
                  <w:pPr>
                    <w:pStyle w:val="31"/>
                    <w:bidi w:val="0"/>
                    <w:jc w:val="left"/>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长220m，堤宽40.0m，堤顶高程+7.00m。其中内侧码头长160m，设4个200HP泊位；外侧码头长150m，设3个600HP泊位。</w:t>
                  </w:r>
                </w:p>
              </w:tc>
            </w:tr>
            <w:tr w14:paraId="2F948E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4" w:type="pct"/>
                  <w:vMerge w:val="continue"/>
                  <w:noWrap w:val="0"/>
                  <w:vAlign w:val="center"/>
                </w:tcPr>
                <w:p w14:paraId="7BE8FA21">
                  <w:pPr>
                    <w:pStyle w:val="31"/>
                    <w:bidi w:val="0"/>
                    <w:ind w:firstLine="0" w:firstLineChars="0"/>
                    <w:jc w:val="center"/>
                    <w:rPr>
                      <w:rFonts w:hint="default" w:ascii="Times New Roman" w:hAnsi="Times New Roman" w:cs="Times New Roman"/>
                      <w:b w:val="0"/>
                      <w:bCs w:val="0"/>
                      <w:color w:val="000000"/>
                      <w:highlight w:val="none"/>
                      <w:lang w:val="en-US" w:eastAsia="zh-CN"/>
                    </w:rPr>
                  </w:pPr>
                </w:p>
              </w:tc>
              <w:tc>
                <w:tcPr>
                  <w:tcW w:w="1507" w:type="pct"/>
                  <w:gridSpan w:val="3"/>
                  <w:noWrap w:val="0"/>
                  <w:vAlign w:val="center"/>
                </w:tcPr>
                <w:p w14:paraId="3150E0C7">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施工便桥</w:t>
                  </w:r>
                </w:p>
              </w:tc>
              <w:tc>
                <w:tcPr>
                  <w:tcW w:w="3098" w:type="pct"/>
                  <w:noWrap w:val="0"/>
                  <w:vAlign w:val="center"/>
                </w:tcPr>
                <w:p w14:paraId="65A3B5F2">
                  <w:pPr>
                    <w:pStyle w:val="31"/>
                    <w:bidi w:val="0"/>
                    <w:ind w:firstLine="0" w:firstLineChars="0"/>
                    <w:jc w:val="left"/>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拟从南防波堤东侧中部架立钢便桥至东防波堤南侧近堤头处。钢便桥长119.5m，标准跨径9m，桥面宽8m。</w:t>
                  </w:r>
                </w:p>
              </w:tc>
            </w:tr>
            <w:tr w14:paraId="53052B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4" w:type="pct"/>
                  <w:vMerge w:val="continue"/>
                  <w:noWrap w:val="0"/>
                  <w:vAlign w:val="center"/>
                </w:tcPr>
                <w:p w14:paraId="32EE2BD0">
                  <w:pPr>
                    <w:pStyle w:val="31"/>
                    <w:bidi w:val="0"/>
                    <w:ind w:firstLine="0" w:firstLineChars="0"/>
                    <w:jc w:val="center"/>
                    <w:rPr>
                      <w:rFonts w:hint="default" w:ascii="Times New Roman" w:hAnsi="Times New Roman" w:cs="Times New Roman"/>
                      <w:b w:val="0"/>
                      <w:bCs w:val="0"/>
                      <w:color w:val="000000"/>
                      <w:highlight w:val="none"/>
                      <w:lang w:val="en-US" w:eastAsia="zh-CN"/>
                    </w:rPr>
                  </w:pPr>
                </w:p>
              </w:tc>
              <w:tc>
                <w:tcPr>
                  <w:tcW w:w="1507" w:type="pct"/>
                  <w:gridSpan w:val="3"/>
                  <w:noWrap w:val="0"/>
                  <w:vAlign w:val="center"/>
                </w:tcPr>
                <w:p w14:paraId="5DA9417A">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港池疏浚</w:t>
                  </w:r>
                </w:p>
              </w:tc>
              <w:tc>
                <w:tcPr>
                  <w:tcW w:w="3098" w:type="pct"/>
                  <w:noWrap w:val="0"/>
                  <w:vAlign w:val="center"/>
                </w:tcPr>
                <w:p w14:paraId="6EAF8975">
                  <w:pPr>
                    <w:pStyle w:val="31"/>
                    <w:bidi w:val="0"/>
                    <w:ind w:firstLine="0" w:firstLineChars="0"/>
                    <w:jc w:val="left"/>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拟将二级渔港码头前沿疏浚至-4.50m，疏浚坡底面积1.47万m</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lang w:val="en-US" w:eastAsia="zh-CN"/>
                    </w:rPr>
                    <w:t>，坡比1:8，疏浚方量为4.84万m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w:t>
                  </w:r>
                </w:p>
              </w:tc>
            </w:tr>
            <w:tr w14:paraId="2D5CD2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4" w:type="pct"/>
                  <w:vMerge w:val="continue"/>
                  <w:noWrap w:val="0"/>
                  <w:vAlign w:val="center"/>
                </w:tcPr>
                <w:p w14:paraId="45ED64A9">
                  <w:pPr>
                    <w:pStyle w:val="31"/>
                    <w:bidi w:val="0"/>
                    <w:rPr>
                      <w:rFonts w:hint="default" w:ascii="Times New Roman" w:hAnsi="Times New Roman" w:cs="Times New Roman"/>
                      <w:b w:val="0"/>
                      <w:bCs w:val="0"/>
                      <w:color w:val="000000"/>
                      <w:highlight w:val="none"/>
                      <w:lang w:val="en-US" w:eastAsia="zh-CN"/>
                    </w:rPr>
                  </w:pPr>
                </w:p>
              </w:tc>
              <w:tc>
                <w:tcPr>
                  <w:tcW w:w="1507" w:type="pct"/>
                  <w:gridSpan w:val="3"/>
                  <w:noWrap w:val="0"/>
                  <w:vAlign w:val="center"/>
                </w:tcPr>
                <w:p w14:paraId="72696DD2">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港内水域</w:t>
                  </w:r>
                </w:p>
              </w:tc>
              <w:tc>
                <w:tcPr>
                  <w:tcW w:w="3098" w:type="pct"/>
                  <w:noWrap w:val="0"/>
                  <w:vAlign w:val="center"/>
                </w:tcPr>
                <w:p w14:paraId="2F87C80C">
                  <w:pPr>
                    <w:pStyle w:val="31"/>
                    <w:bidi w:val="0"/>
                    <w:jc w:val="left"/>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形成港内水域59.2411hm</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lang w:val="en-US" w:eastAsia="zh-CN"/>
                    </w:rPr>
                    <w:t>，其中有效避风水域39.24hm</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lang w:val="en-US" w:eastAsia="zh-CN"/>
                    </w:rPr>
                    <w:t>。</w:t>
                  </w:r>
                </w:p>
              </w:tc>
            </w:tr>
            <w:tr w14:paraId="601743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4" w:type="pct"/>
                  <w:vMerge w:val="continue"/>
                  <w:noWrap w:val="0"/>
                  <w:vAlign w:val="center"/>
                </w:tcPr>
                <w:p w14:paraId="11FF3D3E">
                  <w:pPr>
                    <w:pStyle w:val="31"/>
                    <w:bidi w:val="0"/>
                    <w:rPr>
                      <w:rFonts w:hint="default" w:ascii="Times New Roman" w:hAnsi="Times New Roman" w:cs="Times New Roman"/>
                      <w:b w:val="0"/>
                      <w:bCs w:val="0"/>
                      <w:color w:val="000000"/>
                      <w:highlight w:val="none"/>
                      <w:lang w:val="en-US" w:eastAsia="zh-CN"/>
                    </w:rPr>
                  </w:pPr>
                </w:p>
              </w:tc>
              <w:tc>
                <w:tcPr>
                  <w:tcW w:w="1507" w:type="pct"/>
                  <w:gridSpan w:val="3"/>
                  <w:noWrap w:val="0"/>
                  <w:vAlign w:val="center"/>
                </w:tcPr>
                <w:p w14:paraId="64475034">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后方陆域</w:t>
                  </w:r>
                </w:p>
              </w:tc>
              <w:tc>
                <w:tcPr>
                  <w:tcW w:w="3098" w:type="pct"/>
                  <w:noWrap w:val="0"/>
                  <w:vAlign w:val="center"/>
                </w:tcPr>
                <w:p w14:paraId="560B49BF">
                  <w:pPr>
                    <w:pStyle w:val="31"/>
                    <w:bidi w:val="0"/>
                    <w:jc w:val="left"/>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陆域形成25.32万m</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lang w:val="en-US" w:eastAsia="zh-CN"/>
                    </w:rPr>
                    <w:t>（新建陆域面积为23.49万m</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lang w:val="en-US" w:eastAsia="zh-CN"/>
                    </w:rPr>
                    <w:t>，现有二级渔港陆域1.83万m</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lang w:val="en-US" w:eastAsia="zh-CN"/>
                    </w:rPr>
                    <w:t>）</w:t>
                  </w:r>
                </w:p>
              </w:tc>
            </w:tr>
            <w:tr w14:paraId="340401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4" w:type="pct"/>
                  <w:vMerge w:val="continue"/>
                  <w:noWrap w:val="0"/>
                  <w:vAlign w:val="center"/>
                </w:tcPr>
                <w:p w14:paraId="056DDE96">
                  <w:pPr>
                    <w:pStyle w:val="31"/>
                    <w:bidi w:val="0"/>
                    <w:ind w:firstLine="0" w:firstLineChars="0"/>
                    <w:jc w:val="center"/>
                    <w:rPr>
                      <w:rFonts w:hint="default" w:ascii="Times New Roman" w:hAnsi="Times New Roman" w:cs="Times New Roman"/>
                      <w:b w:val="0"/>
                      <w:bCs w:val="0"/>
                      <w:color w:val="000000"/>
                      <w:highlight w:val="none"/>
                      <w:lang w:val="en-US" w:eastAsia="zh-CN"/>
                    </w:rPr>
                  </w:pPr>
                </w:p>
              </w:tc>
              <w:tc>
                <w:tcPr>
                  <w:tcW w:w="492" w:type="pct"/>
                  <w:gridSpan w:val="2"/>
                  <w:vMerge w:val="restart"/>
                  <w:noWrap w:val="0"/>
                  <w:vAlign w:val="center"/>
                </w:tcPr>
                <w:p w14:paraId="19642940">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其中</w:t>
                  </w:r>
                </w:p>
              </w:tc>
              <w:tc>
                <w:tcPr>
                  <w:tcW w:w="1014" w:type="pct"/>
                  <w:noWrap w:val="0"/>
                  <w:vAlign w:val="center"/>
                </w:tcPr>
                <w:p w14:paraId="62DA5A75">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卸渔棚</w:t>
                  </w:r>
                </w:p>
              </w:tc>
              <w:tc>
                <w:tcPr>
                  <w:tcW w:w="3098" w:type="pct"/>
                  <w:noWrap w:val="0"/>
                  <w:vAlign w:val="center"/>
                </w:tcPr>
                <w:p w14:paraId="12ADC43C">
                  <w:pPr>
                    <w:pStyle w:val="31"/>
                    <w:bidi w:val="0"/>
                    <w:ind w:firstLine="0" w:firstLineChars="0"/>
                    <w:jc w:val="left"/>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2个1F，单个卸渔棚占地面积3600m</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lang w:val="en-US" w:eastAsia="zh-CN"/>
                    </w:rPr>
                    <w:t>，合计7200m</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lang w:val="en-US" w:eastAsia="zh-CN"/>
                    </w:rPr>
                    <w:t>。</w:t>
                  </w:r>
                </w:p>
              </w:tc>
            </w:tr>
            <w:tr w14:paraId="510CBD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4" w:type="pct"/>
                  <w:vMerge w:val="continue"/>
                  <w:noWrap w:val="0"/>
                  <w:vAlign w:val="center"/>
                </w:tcPr>
                <w:p w14:paraId="65B36CB5">
                  <w:pPr>
                    <w:pStyle w:val="31"/>
                    <w:bidi w:val="0"/>
                    <w:ind w:firstLine="0" w:firstLineChars="0"/>
                    <w:jc w:val="center"/>
                    <w:rPr>
                      <w:rFonts w:hint="default" w:ascii="Times New Roman" w:hAnsi="Times New Roman" w:cs="Times New Roman"/>
                      <w:b w:val="0"/>
                      <w:bCs w:val="0"/>
                      <w:color w:val="000000"/>
                      <w:highlight w:val="none"/>
                      <w:lang w:val="en-US" w:eastAsia="zh-CN"/>
                    </w:rPr>
                  </w:pPr>
                </w:p>
              </w:tc>
              <w:tc>
                <w:tcPr>
                  <w:tcW w:w="492" w:type="pct"/>
                  <w:gridSpan w:val="2"/>
                  <w:vMerge w:val="continue"/>
                  <w:noWrap w:val="0"/>
                  <w:vAlign w:val="center"/>
                </w:tcPr>
                <w:p w14:paraId="51D6188A">
                  <w:pPr>
                    <w:pStyle w:val="31"/>
                    <w:bidi w:val="0"/>
                    <w:ind w:firstLine="0" w:firstLineChars="0"/>
                    <w:jc w:val="center"/>
                    <w:rPr>
                      <w:rFonts w:hint="default" w:ascii="Times New Roman" w:hAnsi="Times New Roman" w:cs="Times New Roman"/>
                      <w:color w:val="000000"/>
                      <w:highlight w:val="none"/>
                      <w:lang w:val="en-US" w:eastAsia="zh-CN"/>
                    </w:rPr>
                  </w:pPr>
                </w:p>
              </w:tc>
              <w:tc>
                <w:tcPr>
                  <w:tcW w:w="1014" w:type="pct"/>
                  <w:noWrap w:val="0"/>
                  <w:vAlign w:val="center"/>
                </w:tcPr>
                <w:p w14:paraId="0874D41E">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室外卸渔场地</w:t>
                  </w:r>
                </w:p>
              </w:tc>
              <w:tc>
                <w:tcPr>
                  <w:tcW w:w="3098" w:type="pct"/>
                  <w:noWrap w:val="0"/>
                  <w:vAlign w:val="center"/>
                </w:tcPr>
                <w:p w14:paraId="14DBBF19">
                  <w:pPr>
                    <w:pStyle w:val="31"/>
                    <w:bidi w:val="0"/>
                    <w:ind w:firstLine="0" w:firstLineChars="0"/>
                    <w:jc w:val="left"/>
                    <w:rPr>
                      <w:rFonts w:hint="default" w:ascii="Times New Roman" w:hAnsi="Times New Roman" w:eastAsia="宋体" w:cs="Times New Roman"/>
                      <w:color w:val="000000"/>
                      <w:highlight w:val="none"/>
                      <w:lang w:val="en-US" w:eastAsia="zh-CN"/>
                    </w:rPr>
                  </w:pPr>
                  <w:r>
                    <w:rPr>
                      <w:rFonts w:hint="default" w:ascii="Times New Roman" w:hAnsi="Times New Roman" w:eastAsia="宋体" w:cs="Times New Roman"/>
                      <w:color w:val="000000"/>
                      <w:highlight w:val="none"/>
                      <w:lang w:val="en-US" w:eastAsia="zh-CN"/>
                    </w:rPr>
                    <w:t>共3个，总占地面积约为15139m</w:t>
                  </w:r>
                  <w:r>
                    <w:rPr>
                      <w:rFonts w:hint="default" w:ascii="Times New Roman" w:hAnsi="Times New Roman" w:eastAsia="宋体" w:cs="Times New Roman"/>
                      <w:color w:val="000000"/>
                      <w:highlight w:val="none"/>
                      <w:vertAlign w:val="superscript"/>
                      <w:lang w:val="en-US" w:eastAsia="zh-CN"/>
                    </w:rPr>
                    <w:t>2</w:t>
                  </w:r>
                  <w:r>
                    <w:rPr>
                      <w:rFonts w:hint="default" w:ascii="Times New Roman" w:hAnsi="Times New Roman" w:eastAsia="宋体" w:cs="Times New Roman"/>
                      <w:color w:val="000000"/>
                      <w:highlight w:val="none"/>
                      <w:lang w:val="en-US" w:eastAsia="zh-CN"/>
                    </w:rPr>
                    <w:t>。</w:t>
                  </w:r>
                </w:p>
              </w:tc>
            </w:tr>
            <w:tr w14:paraId="7BDA7E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4" w:type="pct"/>
                  <w:vMerge w:val="continue"/>
                  <w:noWrap w:val="0"/>
                  <w:vAlign w:val="center"/>
                </w:tcPr>
                <w:p w14:paraId="0625227C">
                  <w:pPr>
                    <w:pStyle w:val="31"/>
                    <w:bidi w:val="0"/>
                    <w:ind w:firstLine="0" w:firstLineChars="0"/>
                    <w:jc w:val="center"/>
                    <w:rPr>
                      <w:rFonts w:hint="default" w:ascii="Times New Roman" w:hAnsi="Times New Roman" w:cs="Times New Roman"/>
                      <w:b w:val="0"/>
                      <w:bCs w:val="0"/>
                      <w:color w:val="000000"/>
                      <w:highlight w:val="none"/>
                      <w:lang w:val="en-US" w:eastAsia="zh-CN"/>
                    </w:rPr>
                  </w:pPr>
                </w:p>
              </w:tc>
              <w:tc>
                <w:tcPr>
                  <w:tcW w:w="492" w:type="pct"/>
                  <w:gridSpan w:val="2"/>
                  <w:vMerge w:val="continue"/>
                  <w:noWrap w:val="0"/>
                  <w:vAlign w:val="center"/>
                </w:tcPr>
                <w:p w14:paraId="6F656743">
                  <w:pPr>
                    <w:pStyle w:val="31"/>
                    <w:bidi w:val="0"/>
                    <w:ind w:firstLine="0" w:firstLineChars="0"/>
                    <w:jc w:val="center"/>
                    <w:rPr>
                      <w:rFonts w:hint="default" w:ascii="Times New Roman" w:hAnsi="Times New Roman" w:cs="Times New Roman"/>
                      <w:color w:val="000000"/>
                      <w:highlight w:val="none"/>
                      <w:lang w:val="en-US" w:eastAsia="zh-CN"/>
                    </w:rPr>
                  </w:pPr>
                </w:p>
              </w:tc>
              <w:tc>
                <w:tcPr>
                  <w:tcW w:w="1014" w:type="pct"/>
                  <w:noWrap w:val="0"/>
                  <w:vAlign w:val="center"/>
                </w:tcPr>
                <w:p w14:paraId="770DF834">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污水处理站</w:t>
                  </w:r>
                </w:p>
              </w:tc>
              <w:tc>
                <w:tcPr>
                  <w:tcW w:w="3098" w:type="pct"/>
                  <w:noWrap w:val="0"/>
                  <w:vAlign w:val="center"/>
                </w:tcPr>
                <w:p w14:paraId="379DDD54">
                  <w:pPr>
                    <w:pStyle w:val="31"/>
                    <w:bidi w:val="0"/>
                    <w:ind w:firstLine="0" w:firstLineChars="0"/>
                    <w:jc w:val="left"/>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1栋1F，占地面积1200m</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lang w:val="en-US" w:eastAsia="zh-CN"/>
                    </w:rPr>
                    <w:t>。</w:t>
                  </w:r>
                </w:p>
              </w:tc>
            </w:tr>
            <w:tr w14:paraId="5CAADD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4" w:type="pct"/>
                  <w:vMerge w:val="continue"/>
                  <w:noWrap w:val="0"/>
                  <w:vAlign w:val="center"/>
                </w:tcPr>
                <w:p w14:paraId="0EF99202">
                  <w:pPr>
                    <w:pStyle w:val="31"/>
                    <w:bidi w:val="0"/>
                    <w:ind w:firstLine="0" w:firstLineChars="0"/>
                    <w:jc w:val="center"/>
                    <w:rPr>
                      <w:rFonts w:hint="default" w:ascii="Times New Roman" w:hAnsi="Times New Roman" w:cs="Times New Roman"/>
                      <w:b w:val="0"/>
                      <w:bCs w:val="0"/>
                      <w:color w:val="000000"/>
                      <w:highlight w:val="none"/>
                      <w:lang w:val="en-US" w:eastAsia="zh-CN"/>
                    </w:rPr>
                  </w:pPr>
                </w:p>
              </w:tc>
              <w:tc>
                <w:tcPr>
                  <w:tcW w:w="492" w:type="pct"/>
                  <w:gridSpan w:val="2"/>
                  <w:vMerge w:val="continue"/>
                  <w:noWrap w:val="0"/>
                  <w:vAlign w:val="center"/>
                </w:tcPr>
                <w:p w14:paraId="4B7D6DBE">
                  <w:pPr>
                    <w:pStyle w:val="31"/>
                    <w:bidi w:val="0"/>
                    <w:ind w:firstLine="0" w:firstLineChars="0"/>
                    <w:jc w:val="center"/>
                    <w:rPr>
                      <w:rFonts w:hint="default" w:ascii="Times New Roman" w:hAnsi="Times New Roman" w:cs="Times New Roman"/>
                      <w:color w:val="000000"/>
                      <w:highlight w:val="none"/>
                      <w:lang w:val="en-US" w:eastAsia="zh-CN"/>
                    </w:rPr>
                  </w:pPr>
                </w:p>
              </w:tc>
              <w:tc>
                <w:tcPr>
                  <w:tcW w:w="1014" w:type="pct"/>
                  <w:noWrap w:val="0"/>
                  <w:vAlign w:val="center"/>
                </w:tcPr>
                <w:p w14:paraId="29F65030">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渔港综合管理大楼</w:t>
                  </w:r>
                </w:p>
              </w:tc>
              <w:tc>
                <w:tcPr>
                  <w:tcW w:w="3098" w:type="pct"/>
                  <w:noWrap w:val="0"/>
                  <w:vAlign w:val="center"/>
                </w:tcPr>
                <w:p w14:paraId="0CC38CF7">
                  <w:pPr>
                    <w:pStyle w:val="31"/>
                    <w:bidi w:val="0"/>
                    <w:ind w:firstLine="0" w:firstLineChars="0"/>
                    <w:jc w:val="left"/>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1栋6F，占地面积3099.04m</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lang w:val="en-US" w:eastAsia="zh-CN"/>
                    </w:rPr>
                    <w:t>，含渔港综合执法办证中心、食堂。</w:t>
                  </w:r>
                </w:p>
              </w:tc>
            </w:tr>
            <w:tr w14:paraId="55F16A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4" w:type="pct"/>
                  <w:vMerge w:val="continue"/>
                  <w:noWrap w:val="0"/>
                  <w:vAlign w:val="center"/>
                </w:tcPr>
                <w:p w14:paraId="7960F466">
                  <w:pPr>
                    <w:pStyle w:val="31"/>
                    <w:bidi w:val="0"/>
                    <w:ind w:firstLine="0" w:firstLineChars="0"/>
                    <w:jc w:val="center"/>
                    <w:rPr>
                      <w:rFonts w:hint="default" w:ascii="Times New Roman" w:hAnsi="Times New Roman" w:cs="Times New Roman"/>
                      <w:b w:val="0"/>
                      <w:bCs w:val="0"/>
                      <w:color w:val="000000"/>
                      <w:highlight w:val="none"/>
                      <w:lang w:val="en-US" w:eastAsia="zh-CN"/>
                    </w:rPr>
                  </w:pPr>
                </w:p>
              </w:tc>
              <w:tc>
                <w:tcPr>
                  <w:tcW w:w="492" w:type="pct"/>
                  <w:gridSpan w:val="2"/>
                  <w:vMerge w:val="continue"/>
                  <w:noWrap w:val="0"/>
                  <w:vAlign w:val="center"/>
                </w:tcPr>
                <w:p w14:paraId="047527C5">
                  <w:pPr>
                    <w:pStyle w:val="31"/>
                    <w:bidi w:val="0"/>
                    <w:ind w:firstLine="0" w:firstLineChars="0"/>
                    <w:jc w:val="center"/>
                    <w:rPr>
                      <w:rFonts w:hint="default" w:ascii="Times New Roman" w:hAnsi="Times New Roman" w:cs="Times New Roman"/>
                      <w:color w:val="000000"/>
                      <w:highlight w:val="none"/>
                      <w:lang w:val="en-US" w:eastAsia="zh-CN"/>
                    </w:rPr>
                  </w:pPr>
                </w:p>
              </w:tc>
              <w:tc>
                <w:tcPr>
                  <w:tcW w:w="1014" w:type="pct"/>
                  <w:noWrap w:val="0"/>
                  <w:vAlign w:val="center"/>
                </w:tcPr>
                <w:p w14:paraId="04FDC350">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避灾安置房</w:t>
                  </w:r>
                </w:p>
              </w:tc>
              <w:tc>
                <w:tcPr>
                  <w:tcW w:w="3098" w:type="pct"/>
                  <w:noWrap w:val="0"/>
                  <w:vAlign w:val="center"/>
                </w:tcPr>
                <w:p w14:paraId="2B1364DA">
                  <w:pPr>
                    <w:pStyle w:val="31"/>
                    <w:bidi w:val="0"/>
                    <w:ind w:firstLine="0" w:firstLineChars="0"/>
                    <w:jc w:val="left"/>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共3栋，其中1栋4F，占地面积1462.76m</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shd w:val="clear" w:color="auto" w:fill="auto"/>
                      <w:lang w:val="en-US" w:eastAsia="zh-CN"/>
                    </w:rPr>
                    <w:t>；2栋3F，每栋占地面积582.68m</w:t>
                  </w:r>
                  <w:r>
                    <w:rPr>
                      <w:rFonts w:hint="default" w:ascii="Times New Roman" w:hAnsi="Times New Roman" w:cs="Times New Roman"/>
                      <w:color w:val="000000"/>
                      <w:highlight w:val="none"/>
                      <w:shd w:val="clear" w:color="auto" w:fill="auto"/>
                      <w:vertAlign w:val="superscript"/>
                      <w:lang w:val="en-US" w:eastAsia="zh-CN"/>
                    </w:rPr>
                    <w:t>2</w:t>
                  </w:r>
                  <w:r>
                    <w:rPr>
                      <w:rFonts w:hint="default" w:ascii="Times New Roman" w:hAnsi="Times New Roman" w:cs="Times New Roman"/>
                      <w:color w:val="000000"/>
                      <w:highlight w:val="none"/>
                      <w:shd w:val="clear" w:color="auto" w:fill="auto"/>
                      <w:lang w:val="en-US" w:eastAsia="zh-CN"/>
                    </w:rPr>
                    <w:t>。</w:t>
                  </w:r>
                </w:p>
              </w:tc>
            </w:tr>
            <w:tr w14:paraId="0B7A28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4" w:type="pct"/>
                  <w:vMerge w:val="continue"/>
                  <w:noWrap w:val="0"/>
                  <w:vAlign w:val="center"/>
                </w:tcPr>
                <w:p w14:paraId="151E7756">
                  <w:pPr>
                    <w:pStyle w:val="31"/>
                    <w:bidi w:val="0"/>
                    <w:ind w:firstLine="0" w:firstLineChars="0"/>
                    <w:jc w:val="center"/>
                    <w:rPr>
                      <w:rFonts w:hint="default" w:ascii="Times New Roman" w:hAnsi="Times New Roman" w:cs="Times New Roman"/>
                      <w:b w:val="0"/>
                      <w:bCs w:val="0"/>
                      <w:color w:val="000000"/>
                      <w:highlight w:val="none"/>
                      <w:lang w:val="en-US" w:eastAsia="zh-CN"/>
                    </w:rPr>
                  </w:pPr>
                </w:p>
              </w:tc>
              <w:tc>
                <w:tcPr>
                  <w:tcW w:w="492" w:type="pct"/>
                  <w:gridSpan w:val="2"/>
                  <w:vMerge w:val="continue"/>
                  <w:noWrap w:val="0"/>
                  <w:vAlign w:val="center"/>
                </w:tcPr>
                <w:p w14:paraId="04E9B6EE">
                  <w:pPr>
                    <w:pStyle w:val="31"/>
                    <w:bidi w:val="0"/>
                    <w:ind w:firstLine="0" w:firstLineChars="0"/>
                    <w:jc w:val="center"/>
                    <w:rPr>
                      <w:rFonts w:hint="default" w:ascii="Times New Roman" w:hAnsi="Times New Roman" w:cs="Times New Roman"/>
                      <w:color w:val="000000"/>
                      <w:highlight w:val="none"/>
                      <w:lang w:val="en-US" w:eastAsia="zh-CN"/>
                    </w:rPr>
                  </w:pPr>
                </w:p>
              </w:tc>
              <w:tc>
                <w:tcPr>
                  <w:tcW w:w="1014" w:type="pct"/>
                  <w:noWrap w:val="0"/>
                  <w:vAlign w:val="center"/>
                </w:tcPr>
                <w:p w14:paraId="4AE32F87">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海上救援中心</w:t>
                  </w:r>
                </w:p>
              </w:tc>
              <w:tc>
                <w:tcPr>
                  <w:tcW w:w="3098" w:type="pct"/>
                  <w:noWrap w:val="0"/>
                  <w:vAlign w:val="center"/>
                </w:tcPr>
                <w:p w14:paraId="33047857">
                  <w:pPr>
                    <w:pStyle w:val="31"/>
                    <w:bidi w:val="0"/>
                    <w:ind w:firstLine="0" w:firstLineChars="0"/>
                    <w:jc w:val="left"/>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1栋1F，占地面积4500m</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lang w:val="en-US" w:eastAsia="zh-CN"/>
                    </w:rPr>
                    <w:t>。</w:t>
                  </w:r>
                </w:p>
              </w:tc>
            </w:tr>
            <w:tr w14:paraId="734F40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4" w:type="pct"/>
                  <w:vMerge w:val="continue"/>
                  <w:noWrap w:val="0"/>
                  <w:vAlign w:val="center"/>
                </w:tcPr>
                <w:p w14:paraId="0D36F1E2">
                  <w:pPr>
                    <w:pStyle w:val="31"/>
                    <w:bidi w:val="0"/>
                    <w:ind w:firstLine="0" w:firstLineChars="0"/>
                    <w:jc w:val="center"/>
                    <w:rPr>
                      <w:rFonts w:hint="default" w:ascii="Times New Roman" w:hAnsi="Times New Roman" w:cs="Times New Roman"/>
                      <w:b w:val="0"/>
                      <w:bCs w:val="0"/>
                      <w:color w:val="000000"/>
                      <w:highlight w:val="none"/>
                      <w:lang w:val="en-US" w:eastAsia="zh-CN"/>
                    </w:rPr>
                  </w:pPr>
                </w:p>
              </w:tc>
              <w:tc>
                <w:tcPr>
                  <w:tcW w:w="492" w:type="pct"/>
                  <w:gridSpan w:val="2"/>
                  <w:vMerge w:val="continue"/>
                  <w:noWrap w:val="0"/>
                  <w:vAlign w:val="center"/>
                </w:tcPr>
                <w:p w14:paraId="386D8C09">
                  <w:pPr>
                    <w:pStyle w:val="31"/>
                    <w:bidi w:val="0"/>
                    <w:ind w:firstLine="0" w:firstLineChars="0"/>
                    <w:jc w:val="center"/>
                    <w:rPr>
                      <w:rFonts w:hint="default" w:ascii="Times New Roman" w:hAnsi="Times New Roman" w:cs="Times New Roman"/>
                      <w:color w:val="000000"/>
                      <w:highlight w:val="none"/>
                      <w:lang w:val="en-US" w:eastAsia="zh-CN"/>
                    </w:rPr>
                  </w:pPr>
                </w:p>
              </w:tc>
              <w:tc>
                <w:tcPr>
                  <w:tcW w:w="1014" w:type="pct"/>
                  <w:noWrap w:val="0"/>
                  <w:vAlign w:val="center"/>
                </w:tcPr>
                <w:p w14:paraId="41A039A7">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检测中心</w:t>
                  </w:r>
                </w:p>
              </w:tc>
              <w:tc>
                <w:tcPr>
                  <w:tcW w:w="3098" w:type="pct"/>
                  <w:noWrap w:val="0"/>
                  <w:vAlign w:val="center"/>
                </w:tcPr>
                <w:p w14:paraId="14BFF87C">
                  <w:pPr>
                    <w:pStyle w:val="31"/>
                    <w:bidi w:val="0"/>
                    <w:ind w:firstLine="0" w:firstLineChars="0"/>
                    <w:jc w:val="left"/>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1栋1F，占地面积4500m</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lang w:val="en-US" w:eastAsia="zh-CN"/>
                    </w:rPr>
                    <w:t>，用于渔业船舶检验，不进行船舶维修。</w:t>
                  </w:r>
                </w:p>
              </w:tc>
            </w:tr>
            <w:tr w14:paraId="45FD5D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4" w:type="pct"/>
                  <w:vMerge w:val="continue"/>
                  <w:noWrap w:val="0"/>
                  <w:vAlign w:val="center"/>
                </w:tcPr>
                <w:p w14:paraId="528E4B2B">
                  <w:pPr>
                    <w:pStyle w:val="31"/>
                    <w:bidi w:val="0"/>
                    <w:ind w:firstLine="0" w:firstLineChars="0"/>
                    <w:jc w:val="center"/>
                    <w:rPr>
                      <w:rFonts w:hint="default" w:ascii="Times New Roman" w:hAnsi="Times New Roman" w:cs="Times New Roman"/>
                      <w:b w:val="0"/>
                      <w:bCs w:val="0"/>
                      <w:color w:val="000000"/>
                      <w:highlight w:val="none"/>
                      <w:lang w:val="en-US" w:eastAsia="zh-CN"/>
                    </w:rPr>
                  </w:pPr>
                </w:p>
              </w:tc>
              <w:tc>
                <w:tcPr>
                  <w:tcW w:w="492" w:type="pct"/>
                  <w:gridSpan w:val="2"/>
                  <w:vMerge w:val="continue"/>
                  <w:noWrap w:val="0"/>
                  <w:vAlign w:val="center"/>
                </w:tcPr>
                <w:p w14:paraId="4ACE1A11">
                  <w:pPr>
                    <w:pStyle w:val="31"/>
                    <w:bidi w:val="0"/>
                    <w:ind w:firstLine="0" w:firstLineChars="0"/>
                    <w:jc w:val="center"/>
                    <w:rPr>
                      <w:rFonts w:hint="default" w:ascii="Times New Roman" w:hAnsi="Times New Roman" w:cs="Times New Roman"/>
                      <w:color w:val="000000"/>
                      <w:highlight w:val="none"/>
                      <w:lang w:val="en-US" w:eastAsia="zh-CN"/>
                    </w:rPr>
                  </w:pPr>
                </w:p>
              </w:tc>
              <w:tc>
                <w:tcPr>
                  <w:tcW w:w="1014" w:type="pct"/>
                  <w:noWrap w:val="0"/>
                  <w:vAlign w:val="center"/>
                </w:tcPr>
                <w:p w14:paraId="2D11F0D9">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网具堆场</w:t>
                  </w:r>
                </w:p>
              </w:tc>
              <w:tc>
                <w:tcPr>
                  <w:tcW w:w="3098" w:type="pct"/>
                  <w:noWrap w:val="0"/>
                  <w:vAlign w:val="center"/>
                </w:tcPr>
                <w:p w14:paraId="076A856F">
                  <w:pPr>
                    <w:pStyle w:val="31"/>
                    <w:bidi w:val="0"/>
                    <w:ind w:firstLine="0" w:firstLineChars="0"/>
                    <w:jc w:val="left"/>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共5个，单个占地面积3000m</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lang w:val="en-US" w:eastAsia="zh-CN"/>
                    </w:rPr>
                    <w:t>，合计15000m</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lang w:val="en-US" w:eastAsia="zh-CN"/>
                    </w:rPr>
                    <w:t>。</w:t>
                  </w:r>
                </w:p>
              </w:tc>
            </w:tr>
            <w:tr w14:paraId="667A94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4" w:type="pct"/>
                  <w:vMerge w:val="continue"/>
                  <w:noWrap w:val="0"/>
                  <w:vAlign w:val="center"/>
                </w:tcPr>
                <w:p w14:paraId="1100EB98">
                  <w:pPr>
                    <w:pStyle w:val="31"/>
                    <w:bidi w:val="0"/>
                    <w:ind w:firstLine="0" w:firstLineChars="0"/>
                    <w:jc w:val="center"/>
                    <w:rPr>
                      <w:rFonts w:hint="default" w:ascii="Times New Roman" w:hAnsi="Times New Roman" w:cs="Times New Roman"/>
                      <w:b w:val="0"/>
                      <w:bCs w:val="0"/>
                      <w:color w:val="000000"/>
                      <w:highlight w:val="none"/>
                      <w:lang w:val="en-US" w:eastAsia="zh-CN"/>
                    </w:rPr>
                  </w:pPr>
                </w:p>
              </w:tc>
              <w:tc>
                <w:tcPr>
                  <w:tcW w:w="492" w:type="pct"/>
                  <w:gridSpan w:val="2"/>
                  <w:vMerge w:val="continue"/>
                  <w:noWrap w:val="0"/>
                  <w:vAlign w:val="center"/>
                </w:tcPr>
                <w:p w14:paraId="1F1F8220">
                  <w:pPr>
                    <w:pStyle w:val="31"/>
                    <w:bidi w:val="0"/>
                    <w:ind w:firstLine="0" w:firstLineChars="0"/>
                    <w:jc w:val="center"/>
                    <w:rPr>
                      <w:rFonts w:hint="default" w:ascii="Times New Roman" w:hAnsi="Times New Roman" w:cs="Times New Roman"/>
                      <w:color w:val="000000"/>
                      <w:highlight w:val="none"/>
                      <w:lang w:val="en-US" w:eastAsia="zh-CN"/>
                    </w:rPr>
                  </w:pPr>
                </w:p>
              </w:tc>
              <w:tc>
                <w:tcPr>
                  <w:tcW w:w="1014" w:type="pct"/>
                  <w:noWrap w:val="0"/>
                  <w:vAlign w:val="center"/>
                </w:tcPr>
                <w:p w14:paraId="06E88414">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室外晒网场</w:t>
                  </w:r>
                </w:p>
              </w:tc>
              <w:tc>
                <w:tcPr>
                  <w:tcW w:w="3098" w:type="pct"/>
                  <w:noWrap w:val="0"/>
                  <w:vAlign w:val="center"/>
                </w:tcPr>
                <w:p w14:paraId="27F0D9C2">
                  <w:pPr>
                    <w:pStyle w:val="31"/>
                    <w:bidi w:val="0"/>
                    <w:ind w:firstLine="0" w:firstLineChars="0"/>
                    <w:jc w:val="left"/>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共1个，占地面积约17157</w:t>
                  </w:r>
                  <w:r>
                    <w:rPr>
                      <w:rFonts w:hint="default" w:ascii="Times New Roman" w:hAnsi="Times New Roman" w:cs="Times New Roman"/>
                      <w:color w:val="000000"/>
                      <w:highlight w:val="none"/>
                      <w:shd w:val="clear" w:color="auto" w:fill="auto"/>
                      <w:lang w:val="en-US" w:eastAsia="zh-CN"/>
                    </w:rPr>
                    <w:t>m</w:t>
                  </w:r>
                  <w:r>
                    <w:rPr>
                      <w:rFonts w:hint="default" w:ascii="Times New Roman" w:hAnsi="Times New Roman" w:cs="Times New Roman"/>
                      <w:color w:val="000000"/>
                      <w:highlight w:val="none"/>
                      <w:shd w:val="clear" w:color="auto" w:fill="auto"/>
                      <w:vertAlign w:val="superscript"/>
                      <w:lang w:val="en-US" w:eastAsia="zh-CN"/>
                    </w:rPr>
                    <w:t>2</w:t>
                  </w:r>
                  <w:r>
                    <w:rPr>
                      <w:rFonts w:hint="default" w:ascii="Times New Roman" w:hAnsi="Times New Roman" w:cs="Times New Roman"/>
                      <w:color w:val="000000"/>
                      <w:highlight w:val="none"/>
                      <w:shd w:val="clear" w:color="auto" w:fill="auto"/>
                      <w:lang w:val="en-US" w:eastAsia="zh-CN"/>
                    </w:rPr>
                    <w:t>。</w:t>
                  </w:r>
                </w:p>
              </w:tc>
            </w:tr>
            <w:tr w14:paraId="34D5D5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4" w:type="pct"/>
                  <w:vMerge w:val="continue"/>
                  <w:noWrap w:val="0"/>
                  <w:vAlign w:val="center"/>
                </w:tcPr>
                <w:p w14:paraId="606CBC58">
                  <w:pPr>
                    <w:pStyle w:val="31"/>
                    <w:bidi w:val="0"/>
                    <w:ind w:firstLine="0" w:firstLineChars="0"/>
                    <w:jc w:val="center"/>
                    <w:rPr>
                      <w:rFonts w:hint="default" w:ascii="Times New Roman" w:hAnsi="Times New Roman" w:cs="Times New Roman"/>
                      <w:b w:val="0"/>
                      <w:bCs w:val="0"/>
                      <w:color w:val="000000"/>
                      <w:highlight w:val="none"/>
                      <w:lang w:val="en-US" w:eastAsia="zh-CN"/>
                    </w:rPr>
                  </w:pPr>
                </w:p>
              </w:tc>
              <w:tc>
                <w:tcPr>
                  <w:tcW w:w="1507" w:type="pct"/>
                  <w:gridSpan w:val="3"/>
                  <w:noWrap w:val="0"/>
                  <w:vAlign w:val="center"/>
                </w:tcPr>
                <w:p w14:paraId="4F2DCD6E">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边坡支护</w:t>
                  </w:r>
                </w:p>
              </w:tc>
              <w:tc>
                <w:tcPr>
                  <w:tcW w:w="3098" w:type="pct"/>
                  <w:noWrap w:val="0"/>
                  <w:vAlign w:val="center"/>
                </w:tcPr>
                <w:p w14:paraId="5EA5BCCA">
                  <w:pPr>
                    <w:pStyle w:val="31"/>
                    <w:bidi w:val="0"/>
                    <w:ind w:firstLine="0" w:firstLineChars="0"/>
                    <w:jc w:val="left"/>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8.66万m</w:t>
                  </w:r>
                  <w:r>
                    <w:rPr>
                      <w:rFonts w:hint="default" w:ascii="Times New Roman" w:hAnsi="Times New Roman" w:cs="Times New Roman"/>
                      <w:color w:val="000000"/>
                      <w:highlight w:val="none"/>
                      <w:vertAlign w:val="superscript"/>
                      <w:lang w:val="en-US" w:eastAsia="zh-CN"/>
                    </w:rPr>
                    <w:t>3</w:t>
                  </w:r>
                </w:p>
              </w:tc>
            </w:tr>
            <w:tr w14:paraId="5DC2E2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4" w:type="pct"/>
                  <w:vMerge w:val="restart"/>
                  <w:noWrap w:val="0"/>
                  <w:vAlign w:val="center"/>
                </w:tcPr>
                <w:p w14:paraId="392EE951">
                  <w:pPr>
                    <w:pStyle w:val="31"/>
                    <w:bidi w:val="0"/>
                    <w:ind w:firstLine="0" w:firstLineChars="0"/>
                    <w:jc w:val="center"/>
                    <w:rPr>
                      <w:rFonts w:hint="default" w:ascii="Times New Roman" w:hAnsi="Times New Roman" w:cs="Times New Roman"/>
                      <w:b w:val="0"/>
                      <w:bCs w:val="0"/>
                      <w:color w:val="000000"/>
                      <w:highlight w:val="none"/>
                      <w:lang w:val="en-US" w:eastAsia="zh-CN"/>
                    </w:rPr>
                  </w:pPr>
                  <w:r>
                    <w:rPr>
                      <w:rFonts w:hint="default" w:ascii="Times New Roman" w:hAnsi="Times New Roman" w:cs="Times New Roman"/>
                      <w:b w:val="0"/>
                      <w:bCs w:val="0"/>
                      <w:color w:val="000000"/>
                      <w:highlight w:val="none"/>
                      <w:lang w:val="en-US" w:eastAsia="zh-CN"/>
                    </w:rPr>
                    <w:t>配套工程</w:t>
                  </w:r>
                </w:p>
              </w:tc>
              <w:tc>
                <w:tcPr>
                  <w:tcW w:w="1507" w:type="pct"/>
                  <w:gridSpan w:val="3"/>
                  <w:noWrap w:val="0"/>
                  <w:vAlign w:val="center"/>
                </w:tcPr>
                <w:p w14:paraId="371C85A7">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装卸机械</w:t>
                  </w:r>
                </w:p>
              </w:tc>
              <w:tc>
                <w:tcPr>
                  <w:tcW w:w="3098" w:type="pct"/>
                  <w:noWrap w:val="0"/>
                  <w:vAlign w:val="center"/>
                </w:tcPr>
                <w:p w14:paraId="153E71C2">
                  <w:pPr>
                    <w:pStyle w:val="31"/>
                    <w:bidi w:val="0"/>
                    <w:ind w:firstLine="0" w:firstLineChars="0"/>
                    <w:jc w:val="left"/>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渔货和渔需物资的垂直运输采用机械作业为主，配合人力作业上岸，水平运输以汽车、农用车作业为主。卸渔码头按每泊位配置1台5t汽车吊或轮胎吊，新建码头每个泊位设踏步，方便人力装卸零星的鱼货和渔需物资。港内鱼货和物资水平运输采用农用车（由货主自行配置）进行运输。</w:t>
                  </w:r>
                </w:p>
              </w:tc>
            </w:tr>
            <w:tr w14:paraId="67DB68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4" w:type="pct"/>
                  <w:vMerge w:val="continue"/>
                  <w:noWrap w:val="0"/>
                  <w:vAlign w:val="center"/>
                </w:tcPr>
                <w:p w14:paraId="78ACB476">
                  <w:pPr>
                    <w:pStyle w:val="31"/>
                    <w:bidi w:val="0"/>
                    <w:ind w:firstLine="0" w:firstLineChars="0"/>
                    <w:jc w:val="center"/>
                    <w:rPr>
                      <w:rFonts w:hint="default" w:ascii="Times New Roman" w:hAnsi="Times New Roman" w:cs="Times New Roman"/>
                      <w:b w:val="0"/>
                      <w:bCs w:val="0"/>
                      <w:color w:val="000000"/>
                      <w:highlight w:val="none"/>
                      <w:lang w:val="en-US" w:eastAsia="zh-CN"/>
                    </w:rPr>
                  </w:pPr>
                </w:p>
              </w:tc>
              <w:tc>
                <w:tcPr>
                  <w:tcW w:w="1507" w:type="pct"/>
                  <w:gridSpan w:val="3"/>
                  <w:noWrap w:val="0"/>
                  <w:vAlign w:val="center"/>
                </w:tcPr>
                <w:p w14:paraId="42DC0825">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堤头灯</w:t>
                  </w:r>
                </w:p>
              </w:tc>
              <w:tc>
                <w:tcPr>
                  <w:tcW w:w="3098" w:type="pct"/>
                  <w:noWrap w:val="0"/>
                  <w:vAlign w:val="center"/>
                </w:tcPr>
                <w:p w14:paraId="1DD47041">
                  <w:pPr>
                    <w:pStyle w:val="31"/>
                    <w:bidi w:val="0"/>
                    <w:ind w:firstLine="0" w:firstLineChars="0"/>
                    <w:jc w:val="left"/>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防波堤堤头设置1座堤头灯。</w:t>
                  </w:r>
                </w:p>
              </w:tc>
            </w:tr>
            <w:tr w14:paraId="2F107A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4" w:type="pct"/>
                  <w:vMerge w:val="continue"/>
                  <w:noWrap w:val="0"/>
                  <w:vAlign w:val="center"/>
                </w:tcPr>
                <w:p w14:paraId="61F3FA14">
                  <w:pPr>
                    <w:pStyle w:val="31"/>
                    <w:bidi w:val="0"/>
                    <w:ind w:firstLine="0" w:firstLineChars="0"/>
                    <w:jc w:val="center"/>
                    <w:rPr>
                      <w:rFonts w:hint="default" w:ascii="Times New Roman" w:hAnsi="Times New Roman" w:cs="Times New Roman"/>
                      <w:b w:val="0"/>
                      <w:bCs w:val="0"/>
                      <w:color w:val="000000"/>
                      <w:highlight w:val="none"/>
                      <w:lang w:val="en-US" w:eastAsia="zh-CN"/>
                    </w:rPr>
                  </w:pPr>
                </w:p>
              </w:tc>
              <w:tc>
                <w:tcPr>
                  <w:tcW w:w="1507" w:type="pct"/>
                  <w:gridSpan w:val="3"/>
                  <w:noWrap w:val="0"/>
                  <w:vAlign w:val="center"/>
                </w:tcPr>
                <w:p w14:paraId="77AA3B69">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智慧渔港系统</w:t>
                  </w:r>
                </w:p>
              </w:tc>
              <w:tc>
                <w:tcPr>
                  <w:tcW w:w="3098" w:type="pct"/>
                  <w:noWrap w:val="0"/>
                  <w:vAlign w:val="center"/>
                </w:tcPr>
                <w:p w14:paraId="22B844D0">
                  <w:pPr>
                    <w:pStyle w:val="31"/>
                    <w:bidi w:val="0"/>
                    <w:ind w:firstLine="0" w:firstLineChars="0"/>
                    <w:jc w:val="left"/>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包括视频监控网、数据资源中心、智慧渔港一体化综合管理平台、硬件资源等。</w:t>
                  </w:r>
                </w:p>
              </w:tc>
            </w:tr>
            <w:tr w14:paraId="3BAD6C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4" w:type="pct"/>
                  <w:vMerge w:val="continue"/>
                  <w:noWrap w:val="0"/>
                  <w:vAlign w:val="center"/>
                </w:tcPr>
                <w:p w14:paraId="4272FF8A">
                  <w:pPr>
                    <w:pStyle w:val="31"/>
                    <w:bidi w:val="0"/>
                    <w:ind w:firstLine="0" w:firstLineChars="0"/>
                    <w:jc w:val="center"/>
                    <w:rPr>
                      <w:rFonts w:hint="default" w:ascii="Times New Roman" w:hAnsi="Times New Roman" w:cs="Times New Roman"/>
                      <w:b w:val="0"/>
                      <w:bCs w:val="0"/>
                      <w:color w:val="000000"/>
                      <w:highlight w:val="none"/>
                      <w:lang w:val="en-US" w:eastAsia="zh-CN"/>
                    </w:rPr>
                  </w:pPr>
                </w:p>
              </w:tc>
              <w:tc>
                <w:tcPr>
                  <w:tcW w:w="1507" w:type="pct"/>
                  <w:gridSpan w:val="3"/>
                  <w:noWrap w:val="0"/>
                  <w:vAlign w:val="center"/>
                </w:tcPr>
                <w:p w14:paraId="3FD52821">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供电</w:t>
                  </w:r>
                </w:p>
              </w:tc>
              <w:tc>
                <w:tcPr>
                  <w:tcW w:w="3098" w:type="pct"/>
                  <w:noWrap w:val="0"/>
                  <w:vAlign w:val="center"/>
                </w:tcPr>
                <w:p w14:paraId="5A605C73">
                  <w:pPr>
                    <w:pStyle w:val="31"/>
                    <w:bidi w:val="0"/>
                    <w:ind w:firstLine="0" w:firstLineChars="0"/>
                    <w:jc w:val="left"/>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本工程供电电源由就近变电所引接1路380V低压线路，沿港区主干道敷设至码头配电箱。</w:t>
                  </w:r>
                </w:p>
              </w:tc>
            </w:tr>
            <w:tr w14:paraId="40D811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4" w:type="pct"/>
                  <w:vMerge w:val="continue"/>
                  <w:noWrap w:val="0"/>
                  <w:vAlign w:val="center"/>
                </w:tcPr>
                <w:p w14:paraId="37AFE05D">
                  <w:pPr>
                    <w:pStyle w:val="31"/>
                    <w:bidi w:val="0"/>
                    <w:ind w:firstLine="0" w:firstLineChars="0"/>
                    <w:jc w:val="center"/>
                    <w:rPr>
                      <w:rFonts w:hint="default" w:ascii="Times New Roman" w:hAnsi="Times New Roman" w:cs="Times New Roman"/>
                      <w:b w:val="0"/>
                      <w:bCs w:val="0"/>
                      <w:color w:val="000000"/>
                      <w:highlight w:val="none"/>
                      <w:lang w:val="en-US" w:eastAsia="zh-CN"/>
                    </w:rPr>
                  </w:pPr>
                </w:p>
              </w:tc>
              <w:tc>
                <w:tcPr>
                  <w:tcW w:w="1507" w:type="pct"/>
                  <w:gridSpan w:val="3"/>
                  <w:noWrap w:val="0"/>
                  <w:vAlign w:val="center"/>
                </w:tcPr>
                <w:p w14:paraId="363325AE">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供水</w:t>
                  </w:r>
                </w:p>
              </w:tc>
              <w:tc>
                <w:tcPr>
                  <w:tcW w:w="3098" w:type="pct"/>
                  <w:noWrap w:val="0"/>
                  <w:vAlign w:val="center"/>
                </w:tcPr>
                <w:p w14:paraId="4E2F4025">
                  <w:pPr>
                    <w:pStyle w:val="31"/>
                    <w:bidi w:val="0"/>
                    <w:ind w:firstLine="0" w:firstLineChars="0"/>
                    <w:jc w:val="left"/>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本工程</w:t>
                  </w:r>
                  <w:r>
                    <w:rPr>
                      <w:rFonts w:hint="default" w:ascii="Times New Roman" w:hAnsi="Times New Roman" w:cs="Times New Roman"/>
                      <w:color w:val="000000"/>
                      <w:highlight w:val="none"/>
                    </w:rPr>
                    <w:t>施工期和</w:t>
                  </w:r>
                  <w:r>
                    <w:rPr>
                      <w:rFonts w:hint="default" w:ascii="Times New Roman" w:hAnsi="Times New Roman" w:cs="Times New Roman"/>
                      <w:color w:val="000000"/>
                      <w:highlight w:val="none"/>
                      <w:lang w:val="en-US" w:eastAsia="zh-CN"/>
                    </w:rPr>
                    <w:t>运营期</w:t>
                  </w:r>
                  <w:r>
                    <w:rPr>
                      <w:rFonts w:hint="default" w:ascii="Times New Roman" w:hAnsi="Times New Roman" w:cs="Times New Roman"/>
                      <w:color w:val="000000"/>
                      <w:highlight w:val="none"/>
                    </w:rPr>
                    <w:t>用水可直接从</w:t>
                  </w:r>
                  <w:r>
                    <w:rPr>
                      <w:rFonts w:hint="default" w:ascii="Times New Roman" w:hAnsi="Times New Roman" w:cs="Times New Roman"/>
                      <w:color w:val="000000"/>
                      <w:highlight w:val="none"/>
                      <w:lang w:val="en-US" w:eastAsia="zh-CN"/>
                    </w:rPr>
                    <w:t>现有二级渔港</w:t>
                  </w:r>
                  <w:r>
                    <w:rPr>
                      <w:rFonts w:hint="default" w:ascii="Times New Roman" w:hAnsi="Times New Roman" w:cs="Times New Roman"/>
                      <w:color w:val="000000"/>
                      <w:highlight w:val="none"/>
                    </w:rPr>
                    <w:t>引接。</w:t>
                  </w:r>
                </w:p>
              </w:tc>
            </w:tr>
            <w:tr w14:paraId="7D9999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4" w:type="pct"/>
                  <w:vMerge w:val="continue"/>
                  <w:noWrap w:val="0"/>
                  <w:vAlign w:val="center"/>
                </w:tcPr>
                <w:p w14:paraId="299053F8">
                  <w:pPr>
                    <w:pStyle w:val="31"/>
                    <w:bidi w:val="0"/>
                    <w:ind w:firstLine="0" w:firstLineChars="0"/>
                    <w:jc w:val="center"/>
                    <w:rPr>
                      <w:rFonts w:hint="default" w:ascii="Times New Roman" w:hAnsi="Times New Roman" w:cs="Times New Roman"/>
                      <w:b w:val="0"/>
                      <w:bCs w:val="0"/>
                      <w:color w:val="000000"/>
                      <w:highlight w:val="none"/>
                      <w:lang w:val="en-US" w:eastAsia="zh-CN"/>
                    </w:rPr>
                  </w:pPr>
                </w:p>
              </w:tc>
              <w:tc>
                <w:tcPr>
                  <w:tcW w:w="1507" w:type="pct"/>
                  <w:gridSpan w:val="3"/>
                  <w:noWrap w:val="0"/>
                  <w:vAlign w:val="center"/>
                </w:tcPr>
                <w:p w14:paraId="4FD98A24">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消防</w:t>
                  </w:r>
                </w:p>
              </w:tc>
              <w:tc>
                <w:tcPr>
                  <w:tcW w:w="3098" w:type="pct"/>
                  <w:noWrap w:val="0"/>
                  <w:vAlign w:val="center"/>
                </w:tcPr>
                <w:p w14:paraId="0E55B5D3">
                  <w:pPr>
                    <w:pStyle w:val="31"/>
                    <w:bidi w:val="0"/>
                    <w:ind w:firstLine="0" w:firstLineChars="0"/>
                    <w:jc w:val="left"/>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依托社会消防站的力量，新建码头消防秒流量采用15L/s，港区一次消防水量为108m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w:t>
                  </w:r>
                </w:p>
              </w:tc>
            </w:tr>
            <w:tr w14:paraId="7A072F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4" w:type="pct"/>
                  <w:vMerge w:val="continue"/>
                  <w:noWrap w:val="0"/>
                  <w:vAlign w:val="center"/>
                </w:tcPr>
                <w:p w14:paraId="20F49133">
                  <w:pPr>
                    <w:pStyle w:val="31"/>
                    <w:bidi w:val="0"/>
                    <w:ind w:firstLine="0" w:firstLineChars="0"/>
                    <w:jc w:val="center"/>
                    <w:rPr>
                      <w:rFonts w:hint="default" w:ascii="Times New Roman" w:hAnsi="Times New Roman" w:cs="Times New Roman"/>
                      <w:b w:val="0"/>
                      <w:bCs w:val="0"/>
                      <w:color w:val="000000"/>
                      <w:highlight w:val="none"/>
                      <w:lang w:val="en-US" w:eastAsia="zh-CN"/>
                    </w:rPr>
                  </w:pPr>
                </w:p>
              </w:tc>
              <w:tc>
                <w:tcPr>
                  <w:tcW w:w="1507" w:type="pct"/>
                  <w:gridSpan w:val="3"/>
                  <w:noWrap w:val="0"/>
                  <w:vAlign w:val="center"/>
                </w:tcPr>
                <w:p w14:paraId="3E552D75">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机修</w:t>
                  </w:r>
                </w:p>
              </w:tc>
              <w:tc>
                <w:tcPr>
                  <w:tcW w:w="3098" w:type="pct"/>
                  <w:noWrap w:val="0"/>
                  <w:vAlign w:val="center"/>
                </w:tcPr>
                <w:p w14:paraId="113CA481">
                  <w:pPr>
                    <w:pStyle w:val="31"/>
                    <w:bidi w:val="0"/>
                    <w:ind w:firstLine="0" w:firstLineChars="0"/>
                    <w:jc w:val="left"/>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港区未设置机修场地，船舶、车辆机修在港外进行。</w:t>
                  </w:r>
                </w:p>
              </w:tc>
            </w:tr>
            <w:tr w14:paraId="0C0FD8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4" w:type="pct"/>
                  <w:vMerge w:val="restart"/>
                  <w:noWrap w:val="0"/>
                  <w:vAlign w:val="center"/>
                </w:tcPr>
                <w:p w14:paraId="35464E8A">
                  <w:pPr>
                    <w:pStyle w:val="31"/>
                    <w:bidi w:val="0"/>
                    <w:ind w:firstLine="0" w:firstLineChars="0"/>
                    <w:jc w:val="center"/>
                    <w:rPr>
                      <w:rFonts w:hint="default" w:ascii="Times New Roman" w:hAnsi="Times New Roman" w:cs="Times New Roman"/>
                      <w:b w:val="0"/>
                      <w:bCs w:val="0"/>
                      <w:color w:val="000000"/>
                      <w:highlight w:val="none"/>
                      <w:lang w:val="en-US" w:eastAsia="zh-CN"/>
                    </w:rPr>
                  </w:pPr>
                  <w:r>
                    <w:rPr>
                      <w:rFonts w:hint="default" w:ascii="Times New Roman" w:hAnsi="Times New Roman" w:cs="Times New Roman"/>
                      <w:b w:val="0"/>
                      <w:bCs w:val="0"/>
                      <w:color w:val="000000"/>
                      <w:highlight w:val="none"/>
                      <w:lang w:val="en-US" w:eastAsia="zh-CN"/>
                    </w:rPr>
                    <w:t>环保工程</w:t>
                  </w:r>
                </w:p>
              </w:tc>
              <w:tc>
                <w:tcPr>
                  <w:tcW w:w="490" w:type="pct"/>
                  <w:vMerge w:val="restart"/>
                  <w:noWrap w:val="0"/>
                  <w:vAlign w:val="center"/>
                </w:tcPr>
                <w:p w14:paraId="0648E6C9">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废水</w:t>
                  </w:r>
                </w:p>
              </w:tc>
              <w:tc>
                <w:tcPr>
                  <w:tcW w:w="1016" w:type="pct"/>
                  <w:gridSpan w:val="2"/>
                  <w:noWrap w:val="0"/>
                  <w:vAlign w:val="center"/>
                </w:tcPr>
                <w:p w14:paraId="549D8689">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船舶污水</w:t>
                  </w:r>
                </w:p>
              </w:tc>
              <w:tc>
                <w:tcPr>
                  <w:tcW w:w="3098" w:type="pct"/>
                  <w:noWrap w:val="0"/>
                  <w:vAlign w:val="center"/>
                </w:tcPr>
                <w:p w14:paraId="1A3418ED">
                  <w:pPr>
                    <w:pStyle w:val="31"/>
                    <w:bidi w:val="0"/>
                    <w:ind w:firstLine="0" w:firstLineChars="0"/>
                    <w:jc w:val="left"/>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到港船舶含油污水、船舶生活污水由海事部门认可的船舶污染物接收单位接收处理，不在港区排放。</w:t>
                  </w:r>
                </w:p>
              </w:tc>
            </w:tr>
            <w:tr w14:paraId="045CF2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4" w:type="pct"/>
                  <w:vMerge w:val="continue"/>
                  <w:noWrap w:val="0"/>
                  <w:vAlign w:val="center"/>
                </w:tcPr>
                <w:p w14:paraId="47A05794">
                  <w:pPr>
                    <w:pStyle w:val="31"/>
                    <w:bidi w:val="0"/>
                    <w:ind w:firstLine="0" w:firstLineChars="0"/>
                    <w:jc w:val="center"/>
                    <w:rPr>
                      <w:rFonts w:hint="default" w:ascii="Times New Roman" w:hAnsi="Times New Roman" w:cs="Times New Roman"/>
                      <w:b w:val="0"/>
                      <w:bCs w:val="0"/>
                      <w:color w:val="000000"/>
                      <w:highlight w:val="none"/>
                      <w:lang w:val="en-US" w:eastAsia="zh-CN"/>
                    </w:rPr>
                  </w:pPr>
                </w:p>
              </w:tc>
              <w:tc>
                <w:tcPr>
                  <w:tcW w:w="490" w:type="pct"/>
                  <w:vMerge w:val="continue"/>
                  <w:noWrap w:val="0"/>
                  <w:vAlign w:val="center"/>
                </w:tcPr>
                <w:p w14:paraId="23444E88">
                  <w:pPr>
                    <w:pStyle w:val="31"/>
                    <w:bidi w:val="0"/>
                    <w:ind w:firstLine="0" w:firstLineChars="0"/>
                    <w:jc w:val="center"/>
                    <w:rPr>
                      <w:rFonts w:hint="default" w:ascii="Times New Roman" w:hAnsi="Times New Roman" w:cs="Times New Roman"/>
                      <w:color w:val="000000"/>
                      <w:highlight w:val="none"/>
                      <w:lang w:val="en-US" w:eastAsia="zh-CN"/>
                    </w:rPr>
                  </w:pPr>
                </w:p>
              </w:tc>
              <w:tc>
                <w:tcPr>
                  <w:tcW w:w="1016" w:type="pct"/>
                  <w:gridSpan w:val="2"/>
                  <w:noWrap w:val="0"/>
                  <w:vAlign w:val="center"/>
                </w:tcPr>
                <w:p w14:paraId="2B4C838C">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生活污水</w:t>
                  </w:r>
                </w:p>
              </w:tc>
              <w:tc>
                <w:tcPr>
                  <w:tcW w:w="3098" w:type="pct"/>
                  <w:noWrap w:val="0"/>
                  <w:vAlign w:val="center"/>
                </w:tcPr>
                <w:p w14:paraId="4DF962F0">
                  <w:pPr>
                    <w:pStyle w:val="31"/>
                    <w:bidi w:val="0"/>
                    <w:ind w:firstLine="0" w:firstLineChars="0"/>
                    <w:jc w:val="left"/>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食堂废水经隔油沉淀后，与生活污水一同经过化粪池处理后，</w:t>
                  </w:r>
                  <w:r>
                    <w:rPr>
                      <w:rFonts w:hint="default" w:ascii="Times New Roman" w:hAnsi="Times New Roman" w:cs="Times New Roman"/>
                      <w:color w:val="000000"/>
                      <w:highlight w:val="none"/>
                    </w:rPr>
                    <w:t>接入港区自建污水处理站处理</w:t>
                  </w:r>
                  <w:r>
                    <w:rPr>
                      <w:rFonts w:hint="default" w:ascii="Times New Roman" w:hAnsi="Times New Roman" w:cs="Times New Roman"/>
                      <w:color w:val="000000"/>
                      <w:highlight w:val="none"/>
                      <w:lang w:eastAsia="zh-CN"/>
                    </w:rPr>
                    <w:t>。</w:t>
                  </w:r>
                </w:p>
              </w:tc>
            </w:tr>
            <w:tr w14:paraId="4F93E3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4" w:type="pct"/>
                  <w:vMerge w:val="continue"/>
                  <w:noWrap w:val="0"/>
                  <w:vAlign w:val="center"/>
                </w:tcPr>
                <w:p w14:paraId="46B84030">
                  <w:pPr>
                    <w:pStyle w:val="31"/>
                    <w:bidi w:val="0"/>
                    <w:ind w:firstLine="0" w:firstLineChars="0"/>
                    <w:jc w:val="center"/>
                    <w:rPr>
                      <w:rFonts w:hint="default" w:ascii="Times New Roman" w:hAnsi="Times New Roman" w:cs="Times New Roman"/>
                      <w:b w:val="0"/>
                      <w:bCs w:val="0"/>
                      <w:color w:val="000000"/>
                      <w:highlight w:val="none"/>
                      <w:lang w:val="en-US" w:eastAsia="zh-CN"/>
                    </w:rPr>
                  </w:pPr>
                </w:p>
              </w:tc>
              <w:tc>
                <w:tcPr>
                  <w:tcW w:w="490" w:type="pct"/>
                  <w:vMerge w:val="continue"/>
                  <w:noWrap w:val="0"/>
                  <w:vAlign w:val="center"/>
                </w:tcPr>
                <w:p w14:paraId="622B46F0">
                  <w:pPr>
                    <w:pStyle w:val="31"/>
                    <w:bidi w:val="0"/>
                    <w:ind w:firstLine="0" w:firstLineChars="0"/>
                    <w:jc w:val="center"/>
                    <w:rPr>
                      <w:rFonts w:hint="default" w:ascii="Times New Roman" w:hAnsi="Times New Roman" w:cs="Times New Roman"/>
                      <w:color w:val="000000"/>
                      <w:highlight w:val="none"/>
                      <w:lang w:val="en-US" w:eastAsia="zh-CN"/>
                    </w:rPr>
                  </w:pPr>
                </w:p>
              </w:tc>
              <w:tc>
                <w:tcPr>
                  <w:tcW w:w="1016" w:type="pct"/>
                  <w:gridSpan w:val="2"/>
                  <w:noWrap w:val="0"/>
                  <w:vAlign w:val="center"/>
                </w:tcPr>
                <w:p w14:paraId="77DC3F5C">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生产废水</w:t>
                  </w:r>
                </w:p>
              </w:tc>
              <w:tc>
                <w:tcPr>
                  <w:tcW w:w="3098" w:type="pct"/>
                  <w:noWrap w:val="0"/>
                  <w:vAlign w:val="center"/>
                </w:tcPr>
                <w:p w14:paraId="4B16C72C">
                  <w:pPr>
                    <w:pStyle w:val="31"/>
                    <w:bidi w:val="0"/>
                    <w:ind w:firstLine="0" w:firstLineChars="0"/>
                    <w:jc w:val="left"/>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码头、卸渔区冲洗废水经收集沟收集后进入</w:t>
                  </w:r>
                  <w:r>
                    <w:rPr>
                      <w:rFonts w:hint="default" w:ascii="Times New Roman" w:hAnsi="Times New Roman" w:cs="Times New Roman"/>
                      <w:color w:val="000000"/>
                      <w:highlight w:val="none"/>
                    </w:rPr>
                    <w:t>港区自建污水处理站处理</w:t>
                  </w:r>
                  <w:r>
                    <w:rPr>
                      <w:rFonts w:hint="default" w:ascii="Times New Roman" w:hAnsi="Times New Roman" w:cs="Times New Roman"/>
                      <w:color w:val="000000"/>
                      <w:highlight w:val="none"/>
                      <w:lang w:val="en-US" w:eastAsia="zh-CN"/>
                    </w:rPr>
                    <w:t>后，</w:t>
                  </w:r>
                  <w:r>
                    <w:rPr>
                      <w:rFonts w:hint="eastAsia" w:ascii="Times New Roman" w:hAnsi="Times New Roman" w:cs="Times New Roman"/>
                      <w:color w:val="000000"/>
                      <w:highlight w:val="none"/>
                      <w:lang w:val="en-US" w:eastAsia="zh-CN"/>
                    </w:rPr>
                    <w:t>回用于</w:t>
                  </w:r>
                  <w:r>
                    <w:rPr>
                      <w:rFonts w:hint="default" w:ascii="Times New Roman" w:hAnsi="Times New Roman" w:cs="Times New Roman"/>
                      <w:color w:val="000000"/>
                      <w:highlight w:val="none"/>
                      <w:lang w:val="en-US" w:eastAsia="zh-CN"/>
                    </w:rPr>
                    <w:t>港区绿化灌溉、洒水及冲洗用水。</w:t>
                  </w:r>
                </w:p>
              </w:tc>
            </w:tr>
            <w:tr w14:paraId="685665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4" w:type="pct"/>
                  <w:vMerge w:val="continue"/>
                  <w:noWrap w:val="0"/>
                  <w:vAlign w:val="center"/>
                </w:tcPr>
                <w:p w14:paraId="4CBB7783">
                  <w:pPr>
                    <w:pStyle w:val="31"/>
                    <w:bidi w:val="0"/>
                    <w:ind w:firstLine="0" w:firstLineChars="0"/>
                    <w:jc w:val="center"/>
                    <w:rPr>
                      <w:rFonts w:hint="default" w:ascii="Times New Roman" w:hAnsi="Times New Roman" w:cs="Times New Roman"/>
                      <w:b w:val="0"/>
                      <w:bCs w:val="0"/>
                      <w:color w:val="000000"/>
                      <w:highlight w:val="none"/>
                      <w:lang w:val="en-US" w:eastAsia="zh-CN"/>
                    </w:rPr>
                  </w:pPr>
                </w:p>
              </w:tc>
              <w:tc>
                <w:tcPr>
                  <w:tcW w:w="490" w:type="pct"/>
                  <w:vMerge w:val="restart"/>
                  <w:noWrap w:val="0"/>
                  <w:vAlign w:val="center"/>
                </w:tcPr>
                <w:p w14:paraId="55D67555">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废气</w:t>
                  </w:r>
                </w:p>
              </w:tc>
              <w:tc>
                <w:tcPr>
                  <w:tcW w:w="1016" w:type="pct"/>
                  <w:gridSpan w:val="2"/>
                  <w:noWrap w:val="0"/>
                  <w:vAlign w:val="center"/>
                </w:tcPr>
                <w:p w14:paraId="31BB1DEB">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恶臭气体</w:t>
                  </w:r>
                </w:p>
              </w:tc>
              <w:tc>
                <w:tcPr>
                  <w:tcW w:w="3098" w:type="pct"/>
                  <w:noWrap w:val="0"/>
                  <w:vAlign w:val="center"/>
                </w:tcPr>
                <w:p w14:paraId="4C8C2BD6">
                  <w:pPr>
                    <w:pStyle w:val="31"/>
                    <w:bidi w:val="0"/>
                    <w:ind w:firstLine="0" w:firstLineChars="0"/>
                    <w:jc w:val="left"/>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卸渔区每日进行冲洗，渔货废弃物每日清运处理，污水处理设施为埋地式结构，加盖密闭处理，恶臭气体产生量较少。</w:t>
                  </w:r>
                </w:p>
              </w:tc>
            </w:tr>
            <w:tr w14:paraId="212CDC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4" w:type="pct"/>
                  <w:vMerge w:val="continue"/>
                  <w:noWrap w:val="0"/>
                  <w:vAlign w:val="center"/>
                </w:tcPr>
                <w:p w14:paraId="2DB29DCD">
                  <w:pPr>
                    <w:pStyle w:val="31"/>
                    <w:bidi w:val="0"/>
                    <w:ind w:firstLine="0" w:firstLineChars="0"/>
                    <w:jc w:val="center"/>
                    <w:rPr>
                      <w:rFonts w:hint="default" w:ascii="Times New Roman" w:hAnsi="Times New Roman" w:cs="Times New Roman"/>
                      <w:b w:val="0"/>
                      <w:bCs w:val="0"/>
                      <w:color w:val="000000"/>
                      <w:highlight w:val="none"/>
                      <w:lang w:val="en-US" w:eastAsia="zh-CN"/>
                    </w:rPr>
                  </w:pPr>
                </w:p>
              </w:tc>
              <w:tc>
                <w:tcPr>
                  <w:tcW w:w="490" w:type="pct"/>
                  <w:vMerge w:val="continue"/>
                  <w:noWrap w:val="0"/>
                  <w:vAlign w:val="center"/>
                </w:tcPr>
                <w:p w14:paraId="1E15610D">
                  <w:pPr>
                    <w:pStyle w:val="31"/>
                    <w:bidi w:val="0"/>
                    <w:ind w:firstLine="0" w:firstLineChars="0"/>
                    <w:jc w:val="center"/>
                    <w:rPr>
                      <w:rFonts w:hint="default" w:ascii="Times New Roman" w:hAnsi="Times New Roman" w:cs="Times New Roman"/>
                      <w:color w:val="000000"/>
                      <w:highlight w:val="none"/>
                      <w:lang w:val="en-US" w:eastAsia="zh-CN"/>
                    </w:rPr>
                  </w:pPr>
                </w:p>
              </w:tc>
              <w:tc>
                <w:tcPr>
                  <w:tcW w:w="1016" w:type="pct"/>
                  <w:gridSpan w:val="2"/>
                  <w:noWrap w:val="0"/>
                  <w:vAlign w:val="center"/>
                </w:tcPr>
                <w:p w14:paraId="1E2C2F32">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食堂油烟</w:t>
                  </w:r>
                </w:p>
              </w:tc>
              <w:tc>
                <w:tcPr>
                  <w:tcW w:w="3098" w:type="pct"/>
                  <w:noWrap w:val="0"/>
                  <w:vAlign w:val="center"/>
                </w:tcPr>
                <w:p w14:paraId="54599035">
                  <w:pPr>
                    <w:pStyle w:val="31"/>
                    <w:bidi w:val="0"/>
                    <w:ind w:firstLine="0" w:firstLineChars="0"/>
                    <w:jc w:val="left"/>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u w:val="none"/>
                      <w:lang w:val="en-US" w:eastAsia="zh-CN"/>
                    </w:rPr>
                    <w:t>经油烟净化装置处理后至屋顶天面排放。</w:t>
                  </w:r>
                </w:p>
              </w:tc>
            </w:tr>
            <w:tr w14:paraId="464AAC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4" w:type="pct"/>
                  <w:vMerge w:val="continue"/>
                  <w:noWrap w:val="0"/>
                  <w:vAlign w:val="center"/>
                </w:tcPr>
                <w:p w14:paraId="66E48BB8">
                  <w:pPr>
                    <w:pStyle w:val="31"/>
                    <w:bidi w:val="0"/>
                    <w:ind w:firstLine="0" w:firstLineChars="0"/>
                    <w:jc w:val="center"/>
                    <w:rPr>
                      <w:rFonts w:hint="default" w:ascii="Times New Roman" w:hAnsi="Times New Roman" w:cs="Times New Roman"/>
                      <w:b w:val="0"/>
                      <w:bCs w:val="0"/>
                      <w:color w:val="000000"/>
                      <w:highlight w:val="none"/>
                      <w:lang w:val="en-US" w:eastAsia="zh-CN"/>
                    </w:rPr>
                  </w:pPr>
                </w:p>
              </w:tc>
              <w:tc>
                <w:tcPr>
                  <w:tcW w:w="490" w:type="pct"/>
                  <w:vMerge w:val="restart"/>
                  <w:noWrap w:val="0"/>
                  <w:vAlign w:val="center"/>
                </w:tcPr>
                <w:p w14:paraId="25FD79CF">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固体废物</w:t>
                  </w:r>
                </w:p>
              </w:tc>
              <w:tc>
                <w:tcPr>
                  <w:tcW w:w="1016" w:type="pct"/>
                  <w:gridSpan w:val="2"/>
                  <w:noWrap w:val="0"/>
                  <w:vAlign w:val="center"/>
                </w:tcPr>
                <w:p w14:paraId="004F3B21">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b w:val="0"/>
                      <w:bCs w:val="0"/>
                      <w:color w:val="000000"/>
                      <w:highlight w:val="none"/>
                      <w:lang w:val="en-US" w:eastAsia="zh-CN"/>
                    </w:rPr>
                    <w:t>港区生产固废</w:t>
                  </w:r>
                </w:p>
              </w:tc>
              <w:tc>
                <w:tcPr>
                  <w:tcW w:w="3098" w:type="pct"/>
                  <w:noWrap w:val="0"/>
                  <w:vAlign w:val="center"/>
                </w:tcPr>
                <w:p w14:paraId="638FE821">
                  <w:pPr>
                    <w:pStyle w:val="31"/>
                    <w:bidi w:val="0"/>
                    <w:ind w:firstLine="0" w:firstLineChars="0"/>
                    <w:jc w:val="left"/>
                    <w:rPr>
                      <w:rFonts w:hint="default" w:ascii="Times New Roman" w:hAnsi="Times New Roman" w:cs="Times New Roman"/>
                      <w:color w:val="000000"/>
                      <w:highlight w:val="none"/>
                      <w:u w:val="none"/>
                      <w:lang w:val="en-US" w:eastAsia="zh-CN"/>
                    </w:rPr>
                  </w:pPr>
                  <w:r>
                    <w:rPr>
                      <w:rFonts w:hint="default" w:ascii="Times New Roman" w:hAnsi="Times New Roman" w:cs="Times New Roman"/>
                      <w:b w:val="0"/>
                      <w:bCs w:val="0"/>
                      <w:color w:val="000000"/>
                      <w:highlight w:val="none"/>
                      <w:lang w:val="en-US" w:eastAsia="zh-CN"/>
                    </w:rPr>
                    <w:t>可利用部分由专人清运作为饲料或加工后作为农田、果树的肥料使用，腐烂发臭部分运至城市垃圾处理厂处理。</w:t>
                  </w:r>
                </w:p>
              </w:tc>
            </w:tr>
            <w:tr w14:paraId="223D43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4" w:type="pct"/>
                  <w:vMerge w:val="continue"/>
                  <w:noWrap w:val="0"/>
                  <w:vAlign w:val="center"/>
                </w:tcPr>
                <w:p w14:paraId="733B99BA">
                  <w:pPr>
                    <w:pStyle w:val="31"/>
                    <w:bidi w:val="0"/>
                    <w:ind w:firstLine="0" w:firstLineChars="0"/>
                    <w:jc w:val="center"/>
                    <w:rPr>
                      <w:rFonts w:hint="default" w:ascii="Times New Roman" w:hAnsi="Times New Roman" w:cs="Times New Roman"/>
                      <w:b w:val="0"/>
                      <w:bCs w:val="0"/>
                      <w:color w:val="000000"/>
                      <w:highlight w:val="none"/>
                      <w:lang w:val="en-US" w:eastAsia="zh-CN"/>
                    </w:rPr>
                  </w:pPr>
                </w:p>
              </w:tc>
              <w:tc>
                <w:tcPr>
                  <w:tcW w:w="490" w:type="pct"/>
                  <w:vMerge w:val="continue"/>
                  <w:noWrap w:val="0"/>
                  <w:vAlign w:val="center"/>
                </w:tcPr>
                <w:p w14:paraId="4C59239F">
                  <w:pPr>
                    <w:pStyle w:val="31"/>
                    <w:bidi w:val="0"/>
                    <w:ind w:firstLine="0" w:firstLineChars="0"/>
                    <w:jc w:val="center"/>
                    <w:rPr>
                      <w:rFonts w:hint="default" w:ascii="Times New Roman" w:hAnsi="Times New Roman" w:cs="Times New Roman"/>
                      <w:color w:val="000000"/>
                      <w:highlight w:val="none"/>
                      <w:lang w:val="en-US" w:eastAsia="zh-CN"/>
                    </w:rPr>
                  </w:pPr>
                </w:p>
              </w:tc>
              <w:tc>
                <w:tcPr>
                  <w:tcW w:w="1016" w:type="pct"/>
                  <w:gridSpan w:val="2"/>
                  <w:noWrap w:val="0"/>
                  <w:vAlign w:val="center"/>
                </w:tcPr>
                <w:p w14:paraId="29E06698">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b w:val="0"/>
                      <w:bCs w:val="0"/>
                      <w:color w:val="000000"/>
                      <w:highlight w:val="none"/>
                      <w:lang w:val="en-US" w:eastAsia="zh-CN"/>
                    </w:rPr>
                    <w:t>港区生活垃圾</w:t>
                  </w:r>
                </w:p>
              </w:tc>
              <w:tc>
                <w:tcPr>
                  <w:tcW w:w="3098" w:type="pct"/>
                  <w:noWrap w:val="0"/>
                  <w:vAlign w:val="center"/>
                </w:tcPr>
                <w:p w14:paraId="4AD86A8B">
                  <w:pPr>
                    <w:pStyle w:val="31"/>
                    <w:bidi w:val="0"/>
                    <w:ind w:firstLine="0" w:firstLineChars="0"/>
                    <w:jc w:val="left"/>
                    <w:rPr>
                      <w:rFonts w:hint="default" w:ascii="Times New Roman" w:hAnsi="Times New Roman" w:cs="Times New Roman"/>
                      <w:color w:val="000000"/>
                      <w:highlight w:val="none"/>
                      <w:u w:val="none"/>
                      <w:lang w:val="en-US" w:eastAsia="zh-CN"/>
                    </w:rPr>
                  </w:pPr>
                  <w:r>
                    <w:rPr>
                      <w:rFonts w:hint="default" w:ascii="Times New Roman" w:hAnsi="Times New Roman" w:cs="Times New Roman"/>
                      <w:b w:val="0"/>
                      <w:bCs w:val="0"/>
                      <w:color w:val="000000"/>
                      <w:highlight w:val="none"/>
                      <w:lang w:val="en-US" w:eastAsia="zh-CN"/>
                    </w:rPr>
                    <w:t>港区生活垃圾定点堆放，分类收集，由环卫部门每日清运处理。</w:t>
                  </w:r>
                </w:p>
              </w:tc>
            </w:tr>
            <w:tr w14:paraId="669ACE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4" w:type="pct"/>
                  <w:vMerge w:val="continue"/>
                  <w:noWrap w:val="0"/>
                  <w:vAlign w:val="center"/>
                </w:tcPr>
                <w:p w14:paraId="0B522001">
                  <w:pPr>
                    <w:pStyle w:val="31"/>
                    <w:bidi w:val="0"/>
                    <w:ind w:firstLine="0" w:firstLineChars="0"/>
                    <w:jc w:val="center"/>
                    <w:rPr>
                      <w:rFonts w:hint="default" w:ascii="Times New Roman" w:hAnsi="Times New Roman" w:cs="Times New Roman"/>
                      <w:b w:val="0"/>
                      <w:bCs w:val="0"/>
                      <w:color w:val="000000"/>
                      <w:highlight w:val="none"/>
                      <w:lang w:val="en-US" w:eastAsia="zh-CN"/>
                    </w:rPr>
                  </w:pPr>
                </w:p>
              </w:tc>
              <w:tc>
                <w:tcPr>
                  <w:tcW w:w="490" w:type="pct"/>
                  <w:vMerge w:val="continue"/>
                  <w:noWrap w:val="0"/>
                  <w:vAlign w:val="center"/>
                </w:tcPr>
                <w:p w14:paraId="380ECFEF">
                  <w:pPr>
                    <w:pStyle w:val="31"/>
                    <w:bidi w:val="0"/>
                    <w:ind w:firstLine="0" w:firstLineChars="0"/>
                    <w:jc w:val="center"/>
                    <w:rPr>
                      <w:rFonts w:hint="default" w:ascii="Times New Roman" w:hAnsi="Times New Roman" w:cs="Times New Roman"/>
                      <w:color w:val="000000"/>
                      <w:highlight w:val="none"/>
                      <w:lang w:val="en-US" w:eastAsia="zh-CN"/>
                    </w:rPr>
                  </w:pPr>
                </w:p>
              </w:tc>
              <w:tc>
                <w:tcPr>
                  <w:tcW w:w="1016" w:type="pct"/>
                  <w:gridSpan w:val="2"/>
                  <w:noWrap w:val="0"/>
                  <w:vAlign w:val="center"/>
                </w:tcPr>
                <w:p w14:paraId="6F894263">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船舶生活垃圾</w:t>
                  </w:r>
                </w:p>
              </w:tc>
              <w:tc>
                <w:tcPr>
                  <w:tcW w:w="3098" w:type="pct"/>
                  <w:noWrap w:val="0"/>
                  <w:vAlign w:val="center"/>
                </w:tcPr>
                <w:p w14:paraId="354A18D9">
                  <w:pPr>
                    <w:pStyle w:val="31"/>
                    <w:bidi w:val="0"/>
                    <w:ind w:firstLine="0" w:firstLineChars="0"/>
                    <w:jc w:val="left"/>
                    <w:rPr>
                      <w:rFonts w:hint="default" w:ascii="Times New Roman" w:hAnsi="Times New Roman" w:cs="Times New Roman"/>
                      <w:color w:val="000000"/>
                      <w:highlight w:val="none"/>
                      <w:u w:val="none"/>
                      <w:lang w:val="en-US" w:eastAsia="zh-CN"/>
                    </w:rPr>
                  </w:pPr>
                  <w:r>
                    <w:rPr>
                      <w:rFonts w:hint="default" w:ascii="Times New Roman" w:hAnsi="Times New Roman" w:cs="Times New Roman"/>
                      <w:color w:val="000000"/>
                      <w:highlight w:val="none"/>
                    </w:rPr>
                    <w:t>由海事部门认可的船舶污染物接收单位接收处理，</w:t>
                  </w:r>
                  <w:r>
                    <w:rPr>
                      <w:rFonts w:hint="default" w:ascii="Times New Roman" w:hAnsi="Times New Roman" w:cs="Times New Roman"/>
                      <w:color w:val="000000"/>
                      <w:highlight w:val="none"/>
                      <w:lang w:val="en-US" w:eastAsia="zh-CN"/>
                    </w:rPr>
                    <w:t>不在港区排放</w:t>
                  </w:r>
                  <w:r>
                    <w:rPr>
                      <w:rFonts w:hint="default" w:ascii="Times New Roman" w:hAnsi="Times New Roman" w:cs="Times New Roman"/>
                      <w:color w:val="000000"/>
                      <w:highlight w:val="none"/>
                    </w:rPr>
                    <w:t>。</w:t>
                  </w:r>
                </w:p>
              </w:tc>
            </w:tr>
            <w:tr w14:paraId="557A7E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4" w:type="pct"/>
                  <w:vMerge w:val="continue"/>
                  <w:noWrap w:val="0"/>
                  <w:vAlign w:val="center"/>
                </w:tcPr>
                <w:p w14:paraId="686B80CE">
                  <w:pPr>
                    <w:pStyle w:val="31"/>
                    <w:bidi w:val="0"/>
                    <w:ind w:firstLine="0" w:firstLineChars="0"/>
                    <w:jc w:val="center"/>
                    <w:rPr>
                      <w:rFonts w:hint="default" w:ascii="Times New Roman" w:hAnsi="Times New Roman" w:cs="Times New Roman"/>
                      <w:b w:val="0"/>
                      <w:bCs w:val="0"/>
                      <w:color w:val="000000"/>
                      <w:highlight w:val="none"/>
                      <w:lang w:val="en-US" w:eastAsia="zh-CN"/>
                    </w:rPr>
                  </w:pPr>
                </w:p>
              </w:tc>
              <w:tc>
                <w:tcPr>
                  <w:tcW w:w="490" w:type="pct"/>
                  <w:vMerge w:val="continue"/>
                  <w:noWrap w:val="0"/>
                  <w:vAlign w:val="center"/>
                </w:tcPr>
                <w:p w14:paraId="71335BE4">
                  <w:pPr>
                    <w:pStyle w:val="31"/>
                    <w:bidi w:val="0"/>
                    <w:ind w:firstLine="0" w:firstLineChars="0"/>
                    <w:jc w:val="center"/>
                    <w:rPr>
                      <w:rFonts w:hint="default" w:ascii="Times New Roman" w:hAnsi="Times New Roman" w:cs="Times New Roman"/>
                      <w:color w:val="000000"/>
                      <w:highlight w:val="none"/>
                      <w:lang w:val="en-US" w:eastAsia="zh-CN"/>
                    </w:rPr>
                  </w:pPr>
                </w:p>
              </w:tc>
              <w:tc>
                <w:tcPr>
                  <w:tcW w:w="1016" w:type="pct"/>
                  <w:gridSpan w:val="2"/>
                  <w:noWrap w:val="0"/>
                  <w:vAlign w:val="center"/>
                </w:tcPr>
                <w:p w14:paraId="050C2893">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污水处理站污泥</w:t>
                  </w:r>
                </w:p>
              </w:tc>
              <w:tc>
                <w:tcPr>
                  <w:tcW w:w="3098" w:type="pct"/>
                  <w:noWrap w:val="0"/>
                  <w:vAlign w:val="center"/>
                </w:tcPr>
                <w:p w14:paraId="1860585F">
                  <w:pPr>
                    <w:pStyle w:val="31"/>
                    <w:bidi w:val="0"/>
                    <w:ind w:firstLine="0" w:firstLineChars="0"/>
                    <w:jc w:val="left"/>
                    <w:rPr>
                      <w:rFonts w:hint="default" w:ascii="Times New Roman" w:hAnsi="Times New Roman" w:cs="Times New Roman"/>
                      <w:color w:val="000000"/>
                      <w:highlight w:val="none"/>
                      <w:u w:val="none"/>
                      <w:lang w:val="en-US" w:eastAsia="zh-CN"/>
                    </w:rPr>
                  </w:pPr>
                  <w:r>
                    <w:rPr>
                      <w:rFonts w:hint="default" w:ascii="Times New Roman" w:hAnsi="Times New Roman" w:cs="Times New Roman"/>
                      <w:color w:val="000000"/>
                      <w:highlight w:val="none"/>
                      <w:lang w:val="en-US" w:eastAsia="zh-CN"/>
                    </w:rPr>
                    <w:t>污泥经压滤机脱水处理，降低含水率后外运至生活垃圾处理厂处理。</w:t>
                  </w:r>
                </w:p>
              </w:tc>
            </w:tr>
            <w:tr w14:paraId="40D760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4" w:type="pct"/>
                  <w:vMerge w:val="continue"/>
                  <w:noWrap w:val="0"/>
                  <w:vAlign w:val="center"/>
                </w:tcPr>
                <w:p w14:paraId="7A75D7EA">
                  <w:pPr>
                    <w:pStyle w:val="31"/>
                    <w:bidi w:val="0"/>
                    <w:ind w:firstLine="0" w:firstLineChars="0"/>
                    <w:jc w:val="center"/>
                    <w:rPr>
                      <w:rFonts w:hint="default" w:ascii="Times New Roman" w:hAnsi="Times New Roman" w:cs="Times New Roman"/>
                      <w:b w:val="0"/>
                      <w:bCs w:val="0"/>
                      <w:color w:val="000000"/>
                      <w:highlight w:val="none"/>
                      <w:lang w:val="en-US" w:eastAsia="zh-CN"/>
                    </w:rPr>
                  </w:pPr>
                </w:p>
              </w:tc>
              <w:tc>
                <w:tcPr>
                  <w:tcW w:w="490" w:type="pct"/>
                  <w:noWrap w:val="0"/>
                  <w:vAlign w:val="center"/>
                </w:tcPr>
                <w:p w14:paraId="5A990BEA">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噪声</w:t>
                  </w:r>
                </w:p>
              </w:tc>
              <w:tc>
                <w:tcPr>
                  <w:tcW w:w="1016" w:type="pct"/>
                  <w:gridSpan w:val="2"/>
                  <w:noWrap w:val="0"/>
                  <w:vAlign w:val="center"/>
                </w:tcPr>
                <w:p w14:paraId="39BFBF23">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渔船、车辆噪声、装卸噪声、机械设备噪声</w:t>
                  </w:r>
                </w:p>
              </w:tc>
              <w:tc>
                <w:tcPr>
                  <w:tcW w:w="3098" w:type="pct"/>
                  <w:noWrap w:val="0"/>
                  <w:vAlign w:val="center"/>
                </w:tcPr>
                <w:p w14:paraId="59D77088">
                  <w:pPr>
                    <w:pStyle w:val="31"/>
                    <w:bidi w:val="0"/>
                    <w:ind w:firstLine="0" w:firstLineChars="0"/>
                    <w:jc w:val="left"/>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选用技术先进、性能质量良好的低声级设备；加强动力机械设备的检修与维护等。</w:t>
                  </w:r>
                </w:p>
              </w:tc>
            </w:tr>
            <w:tr w14:paraId="69BF90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4" w:type="pct"/>
                  <w:vMerge w:val="continue"/>
                  <w:noWrap w:val="0"/>
                  <w:vAlign w:val="center"/>
                </w:tcPr>
                <w:p w14:paraId="4AF95CC0">
                  <w:pPr>
                    <w:pStyle w:val="31"/>
                    <w:bidi w:val="0"/>
                    <w:ind w:firstLine="0" w:firstLineChars="0"/>
                    <w:jc w:val="center"/>
                    <w:rPr>
                      <w:rFonts w:hint="default" w:ascii="Times New Roman" w:hAnsi="Times New Roman" w:cs="Times New Roman"/>
                      <w:b w:val="0"/>
                      <w:bCs w:val="0"/>
                      <w:color w:val="000000"/>
                      <w:highlight w:val="none"/>
                      <w:lang w:val="en-US" w:eastAsia="zh-CN"/>
                    </w:rPr>
                  </w:pPr>
                </w:p>
              </w:tc>
              <w:tc>
                <w:tcPr>
                  <w:tcW w:w="490" w:type="pct"/>
                  <w:vMerge w:val="restart"/>
                  <w:noWrap w:val="0"/>
                  <w:vAlign w:val="center"/>
                </w:tcPr>
                <w:p w14:paraId="7F623F83">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环境</w:t>
                  </w:r>
                </w:p>
                <w:p w14:paraId="15D4A5F4">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风险</w:t>
                  </w:r>
                </w:p>
              </w:tc>
              <w:tc>
                <w:tcPr>
                  <w:tcW w:w="1016" w:type="pct"/>
                  <w:gridSpan w:val="2"/>
                  <w:noWrap w:val="0"/>
                  <w:vAlign w:val="center"/>
                </w:tcPr>
                <w:p w14:paraId="5921CF00">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溢油应急</w:t>
                  </w:r>
                </w:p>
              </w:tc>
              <w:tc>
                <w:tcPr>
                  <w:tcW w:w="3098" w:type="pct"/>
                  <w:noWrap w:val="0"/>
                  <w:vAlign w:val="center"/>
                </w:tcPr>
                <w:p w14:paraId="59B73954">
                  <w:pPr>
                    <w:pStyle w:val="31"/>
                    <w:bidi w:val="0"/>
                    <w:ind w:firstLine="0" w:firstLineChars="0"/>
                    <w:jc w:val="left"/>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围油栏、收油机、吸油材料、溢油分散剂、喷洒装置、储存装置、围油栏布放艇等。</w:t>
                  </w:r>
                </w:p>
              </w:tc>
            </w:tr>
            <w:tr w14:paraId="2CE8B0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4" w:type="pct"/>
                  <w:vMerge w:val="continue"/>
                  <w:noWrap w:val="0"/>
                  <w:vAlign w:val="center"/>
                </w:tcPr>
                <w:p w14:paraId="60A953E0">
                  <w:pPr>
                    <w:pStyle w:val="31"/>
                    <w:bidi w:val="0"/>
                    <w:ind w:firstLine="0" w:firstLineChars="0"/>
                    <w:jc w:val="center"/>
                    <w:rPr>
                      <w:rFonts w:hint="default" w:ascii="Times New Roman" w:hAnsi="Times New Roman" w:cs="Times New Roman"/>
                      <w:b w:val="0"/>
                      <w:bCs w:val="0"/>
                      <w:color w:val="000000"/>
                      <w:highlight w:val="none"/>
                      <w:lang w:val="en-US" w:eastAsia="zh-CN"/>
                    </w:rPr>
                  </w:pPr>
                </w:p>
              </w:tc>
              <w:tc>
                <w:tcPr>
                  <w:tcW w:w="490" w:type="pct"/>
                  <w:vMerge w:val="continue"/>
                  <w:noWrap w:val="0"/>
                  <w:vAlign w:val="center"/>
                </w:tcPr>
                <w:p w14:paraId="0FA65AEF">
                  <w:pPr>
                    <w:pStyle w:val="31"/>
                    <w:bidi w:val="0"/>
                    <w:ind w:firstLine="0" w:firstLineChars="0"/>
                    <w:jc w:val="center"/>
                    <w:rPr>
                      <w:rFonts w:hint="default" w:ascii="Times New Roman" w:hAnsi="Times New Roman" w:cs="Times New Roman"/>
                      <w:color w:val="000000"/>
                      <w:highlight w:val="none"/>
                      <w:lang w:val="en-US" w:eastAsia="zh-CN"/>
                    </w:rPr>
                  </w:pPr>
                </w:p>
              </w:tc>
              <w:tc>
                <w:tcPr>
                  <w:tcW w:w="1016" w:type="pct"/>
                  <w:gridSpan w:val="2"/>
                  <w:noWrap w:val="0"/>
                  <w:vAlign w:val="center"/>
                </w:tcPr>
                <w:p w14:paraId="273998B2">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消防灭火</w:t>
                  </w:r>
                </w:p>
              </w:tc>
              <w:tc>
                <w:tcPr>
                  <w:tcW w:w="3098" w:type="pct"/>
                  <w:noWrap w:val="0"/>
                  <w:vAlign w:val="center"/>
                </w:tcPr>
                <w:p w14:paraId="755B99A1">
                  <w:pPr>
                    <w:pStyle w:val="31"/>
                    <w:bidi w:val="0"/>
                    <w:ind w:firstLine="0" w:firstLineChars="0"/>
                    <w:jc w:val="left"/>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灭火器、防护服等。</w:t>
                  </w:r>
                </w:p>
              </w:tc>
            </w:tr>
            <w:tr w14:paraId="3DA859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4" w:type="pct"/>
                  <w:vMerge w:val="restart"/>
                  <w:noWrap w:val="0"/>
                  <w:vAlign w:val="center"/>
                </w:tcPr>
                <w:p w14:paraId="1B4A302B">
                  <w:pPr>
                    <w:pStyle w:val="31"/>
                    <w:bidi w:val="0"/>
                    <w:ind w:firstLine="0" w:firstLineChars="0"/>
                    <w:jc w:val="center"/>
                    <w:rPr>
                      <w:rFonts w:hint="default" w:ascii="Times New Roman" w:hAnsi="Times New Roman" w:cs="Times New Roman"/>
                      <w:b w:val="0"/>
                      <w:bCs w:val="0"/>
                      <w:color w:val="000000"/>
                      <w:highlight w:val="none"/>
                      <w:lang w:val="en-US" w:eastAsia="zh-CN"/>
                    </w:rPr>
                  </w:pPr>
                  <w:r>
                    <w:rPr>
                      <w:rFonts w:hint="default" w:ascii="Times New Roman" w:hAnsi="Times New Roman" w:cs="Times New Roman"/>
                      <w:b w:val="0"/>
                      <w:bCs w:val="0"/>
                      <w:color w:val="000000"/>
                      <w:highlight w:val="none"/>
                      <w:lang w:val="en-US" w:eastAsia="zh-CN"/>
                    </w:rPr>
                    <w:t>公用/依托工程</w:t>
                  </w:r>
                </w:p>
              </w:tc>
              <w:tc>
                <w:tcPr>
                  <w:tcW w:w="1507" w:type="pct"/>
                  <w:gridSpan w:val="3"/>
                  <w:noWrap w:val="0"/>
                  <w:vAlign w:val="center"/>
                </w:tcPr>
                <w:p w14:paraId="502C16D2">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水电、交通、材料供应</w:t>
                  </w:r>
                </w:p>
              </w:tc>
              <w:tc>
                <w:tcPr>
                  <w:tcW w:w="3098" w:type="pct"/>
                  <w:noWrap w:val="0"/>
                  <w:vAlign w:val="center"/>
                </w:tcPr>
                <w:p w14:paraId="07093DAC">
                  <w:pPr>
                    <w:pStyle w:val="31"/>
                    <w:bidi w:val="0"/>
                    <w:ind w:firstLine="0" w:firstLineChars="0"/>
                    <w:jc w:val="left"/>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施工队伍、水、电、通讯、机械设备、材料均可依托周边现有条件。</w:t>
                  </w:r>
                </w:p>
              </w:tc>
            </w:tr>
            <w:tr w14:paraId="0AD10A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4" w:type="pct"/>
                  <w:vMerge w:val="continue"/>
                  <w:noWrap w:val="0"/>
                  <w:vAlign w:val="center"/>
                </w:tcPr>
                <w:p w14:paraId="73F26BD8">
                  <w:pPr>
                    <w:pStyle w:val="31"/>
                    <w:bidi w:val="0"/>
                    <w:ind w:firstLine="0" w:firstLineChars="0"/>
                    <w:jc w:val="center"/>
                    <w:rPr>
                      <w:rFonts w:hint="default" w:ascii="Times New Roman" w:hAnsi="Times New Roman" w:cs="Times New Roman"/>
                      <w:color w:val="000000"/>
                      <w:highlight w:val="none"/>
                      <w:lang w:val="en-US" w:eastAsia="zh-CN"/>
                    </w:rPr>
                  </w:pPr>
                </w:p>
              </w:tc>
              <w:tc>
                <w:tcPr>
                  <w:tcW w:w="1507" w:type="pct"/>
                  <w:gridSpan w:val="3"/>
                  <w:noWrap w:val="0"/>
                  <w:vAlign w:val="center"/>
                </w:tcPr>
                <w:p w14:paraId="00AFFC5E">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施工场地</w:t>
                  </w:r>
                </w:p>
              </w:tc>
              <w:tc>
                <w:tcPr>
                  <w:tcW w:w="3098" w:type="pct"/>
                  <w:noWrap w:val="0"/>
                  <w:vAlign w:val="center"/>
                </w:tcPr>
                <w:p w14:paraId="643DC762">
                  <w:pPr>
                    <w:pStyle w:val="31"/>
                    <w:bidi w:val="0"/>
                    <w:ind w:firstLine="0" w:firstLineChars="0"/>
                    <w:jc w:val="left"/>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布设于沃口二级渔港后方陆域，施工场地布置料场、设备冲洗区、隔油沉淀池、泥水分离（多级沉淀池）、堆渣场、回用水池等。</w:t>
                  </w:r>
                </w:p>
              </w:tc>
            </w:tr>
            <w:tr w14:paraId="22C6C3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4" w:type="pct"/>
                  <w:vMerge w:val="continue"/>
                  <w:noWrap w:val="0"/>
                  <w:vAlign w:val="center"/>
                </w:tcPr>
                <w:p w14:paraId="29D58A53">
                  <w:pPr>
                    <w:pStyle w:val="31"/>
                    <w:bidi w:val="0"/>
                    <w:ind w:firstLine="0" w:firstLineChars="0"/>
                    <w:jc w:val="center"/>
                    <w:rPr>
                      <w:rFonts w:hint="default" w:ascii="Times New Roman" w:hAnsi="Times New Roman" w:cs="Times New Roman"/>
                      <w:color w:val="000000"/>
                      <w:highlight w:val="none"/>
                      <w:lang w:val="en-US" w:eastAsia="zh-CN"/>
                    </w:rPr>
                  </w:pPr>
                </w:p>
              </w:tc>
              <w:tc>
                <w:tcPr>
                  <w:tcW w:w="1507" w:type="pct"/>
                  <w:gridSpan w:val="3"/>
                  <w:noWrap w:val="0"/>
                  <w:vAlign w:val="center"/>
                </w:tcPr>
                <w:p w14:paraId="3BB4637F">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进港道路</w:t>
                  </w:r>
                </w:p>
              </w:tc>
              <w:tc>
                <w:tcPr>
                  <w:tcW w:w="3098" w:type="pct"/>
                  <w:noWrap w:val="0"/>
                  <w:vAlign w:val="center"/>
                </w:tcPr>
                <w:p w14:paraId="15EB476F">
                  <w:pPr>
                    <w:pStyle w:val="31"/>
                    <w:bidi w:val="0"/>
                    <w:ind w:firstLine="0" w:firstLineChars="0"/>
                    <w:jc w:val="left"/>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利用现有道路可直通港区。</w:t>
                  </w:r>
                </w:p>
              </w:tc>
            </w:tr>
            <w:tr w14:paraId="71AAE0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4" w:type="pct"/>
                  <w:vMerge w:val="continue"/>
                  <w:noWrap w:val="0"/>
                  <w:vAlign w:val="center"/>
                </w:tcPr>
                <w:p w14:paraId="7B5393C9">
                  <w:pPr>
                    <w:pStyle w:val="31"/>
                    <w:bidi w:val="0"/>
                    <w:ind w:firstLine="0" w:firstLineChars="0"/>
                    <w:jc w:val="center"/>
                    <w:rPr>
                      <w:rFonts w:hint="default" w:ascii="Times New Roman" w:hAnsi="Times New Roman" w:cs="Times New Roman"/>
                      <w:color w:val="000000"/>
                      <w:highlight w:val="none"/>
                      <w:lang w:val="en-US" w:eastAsia="zh-CN"/>
                    </w:rPr>
                  </w:pPr>
                </w:p>
              </w:tc>
              <w:tc>
                <w:tcPr>
                  <w:tcW w:w="1507" w:type="pct"/>
                  <w:gridSpan w:val="3"/>
                  <w:noWrap w:val="0"/>
                  <w:vAlign w:val="center"/>
                </w:tcPr>
                <w:p w14:paraId="2776DAF1">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航道</w:t>
                  </w:r>
                </w:p>
              </w:tc>
              <w:tc>
                <w:tcPr>
                  <w:tcW w:w="3098" w:type="pct"/>
                  <w:noWrap w:val="0"/>
                  <w:vAlign w:val="center"/>
                </w:tcPr>
                <w:p w14:paraId="3E459651">
                  <w:pPr>
                    <w:pStyle w:val="31"/>
                    <w:bidi w:val="0"/>
                    <w:ind w:firstLine="0" w:firstLineChars="0"/>
                    <w:jc w:val="left"/>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本港口门及冷藏船泊位处天然底高程为-7.00m~-9.00m之间，基本可满足600HP渔船全天候进出港需要。本港主要考虑200HP、600HP渔船双线通航进港，进港航道宽度设计取65m。</w:t>
                  </w:r>
                </w:p>
              </w:tc>
            </w:tr>
            <w:tr w14:paraId="7DCAF4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4" w:type="pct"/>
                  <w:vMerge w:val="continue"/>
                  <w:noWrap w:val="0"/>
                  <w:vAlign w:val="center"/>
                </w:tcPr>
                <w:p w14:paraId="06A3B975">
                  <w:pPr>
                    <w:pStyle w:val="31"/>
                    <w:bidi w:val="0"/>
                    <w:ind w:firstLine="0" w:firstLineChars="0"/>
                    <w:jc w:val="center"/>
                    <w:rPr>
                      <w:rFonts w:hint="default" w:ascii="Times New Roman" w:hAnsi="Times New Roman" w:cs="Times New Roman"/>
                      <w:color w:val="000000"/>
                      <w:highlight w:val="none"/>
                      <w:lang w:val="en-US" w:eastAsia="zh-CN"/>
                    </w:rPr>
                  </w:pPr>
                  <w:bookmarkStart w:id="148" w:name="_Toc26196"/>
                </w:p>
              </w:tc>
              <w:tc>
                <w:tcPr>
                  <w:tcW w:w="1507" w:type="pct"/>
                  <w:gridSpan w:val="3"/>
                  <w:noWrap w:val="0"/>
                  <w:vAlign w:val="center"/>
                </w:tcPr>
                <w:p w14:paraId="4DA0BA80">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供油</w:t>
                  </w:r>
                </w:p>
              </w:tc>
              <w:tc>
                <w:tcPr>
                  <w:tcW w:w="3098" w:type="pct"/>
                  <w:noWrap w:val="0"/>
                  <w:vAlign w:val="center"/>
                </w:tcPr>
                <w:p w14:paraId="43A56191">
                  <w:pPr>
                    <w:pStyle w:val="31"/>
                    <w:bidi w:val="0"/>
                    <w:ind w:firstLine="0" w:firstLineChars="0"/>
                    <w:jc w:val="left"/>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本项目不建设专用供油设施，可以依托社会市场加油站进行供油。</w:t>
                  </w:r>
                </w:p>
              </w:tc>
            </w:tr>
            <w:bookmarkEnd w:id="148"/>
          </w:tbl>
          <w:p w14:paraId="4139D24A">
            <w:pPr>
              <w:pStyle w:val="31"/>
              <w:bidi w:val="0"/>
              <w:rPr>
                <w:rFonts w:hint="default"/>
                <w:lang w:val="en-US" w:eastAsia="zh-CN"/>
              </w:rPr>
            </w:pPr>
          </w:p>
          <w:p w14:paraId="622A6CFA">
            <w:pPr>
              <w:pStyle w:val="31"/>
              <w:bidi w:val="0"/>
              <w:rPr>
                <w:rFonts w:hint="default"/>
              </w:rPr>
            </w:pPr>
            <w:bookmarkStart w:id="149" w:name="_Ref28916"/>
            <w:r>
              <w:rPr>
                <w:rFonts w:hint="eastAsia"/>
                <w:lang w:val="en-US" w:eastAsia="zh-CN"/>
              </w:rPr>
              <w:t>（涉密删除）</w:t>
            </w:r>
          </w:p>
          <w:p w14:paraId="11D374EF">
            <w:pPr>
              <w:pStyle w:val="30"/>
              <w:bidi w:val="0"/>
              <w:rPr>
                <w:rFonts w:hint="default"/>
                <w:lang w:val="en-US" w:eastAsia="zh-CN"/>
              </w:rPr>
            </w:pPr>
            <w:r>
              <w:rPr>
                <w:rFonts w:hint="default"/>
              </w:rPr>
              <w:t>图</w:t>
            </w:r>
            <w:r>
              <w:rPr>
                <w:rFonts w:hint="default"/>
              </w:rPr>
              <w:fldChar w:fldCharType="begin"/>
            </w:r>
            <w:r>
              <w:rPr>
                <w:rFonts w:hint="default"/>
              </w:rPr>
              <w:instrText xml:space="preserve"> STYLEREF 2 \s </w:instrText>
            </w:r>
            <w:r>
              <w:rPr>
                <w:rFonts w:hint="default"/>
              </w:rPr>
              <w:fldChar w:fldCharType="separate"/>
            </w:r>
            <w:r>
              <w:rPr>
                <w:rFonts w:hint="default"/>
              </w:rPr>
              <w:t>2.2</w:t>
            </w:r>
            <w:r>
              <w:rPr>
                <w:rFonts w:hint="default"/>
              </w:rPr>
              <w:fldChar w:fldCharType="end"/>
            </w:r>
            <w:r>
              <w:rPr>
                <w:rFonts w:hint="default"/>
                <w:lang w:eastAsia="zh-CN"/>
              </w:rPr>
              <w:t>-</w:t>
            </w:r>
            <w:r>
              <w:rPr>
                <w:rFonts w:hint="default"/>
              </w:rPr>
              <w:fldChar w:fldCharType="begin"/>
            </w:r>
            <w:r>
              <w:rPr>
                <w:rFonts w:hint="default"/>
              </w:rPr>
              <w:instrText xml:space="preserve"> SEQ 图 \* ARABIC \s 2 </w:instrText>
            </w:r>
            <w:r>
              <w:rPr>
                <w:rFonts w:hint="default"/>
              </w:rPr>
              <w:fldChar w:fldCharType="separate"/>
            </w:r>
            <w:r>
              <w:rPr>
                <w:rFonts w:hint="default"/>
              </w:rPr>
              <w:t>1</w:t>
            </w:r>
            <w:r>
              <w:rPr>
                <w:rFonts w:hint="default"/>
              </w:rPr>
              <w:fldChar w:fldCharType="end"/>
            </w:r>
            <w:bookmarkEnd w:id="149"/>
            <w:r>
              <w:rPr>
                <w:rFonts w:hint="default"/>
                <w:lang w:val="en-US" w:eastAsia="zh-CN"/>
              </w:rPr>
              <w:t xml:space="preserve"> 项目区及周边现状照片</w:t>
            </w:r>
          </w:p>
          <w:p w14:paraId="40C2499D">
            <w:pPr>
              <w:pStyle w:val="3"/>
              <w:bidi w:val="0"/>
              <w:ind w:left="567" w:leftChars="0" w:hanging="567" w:firstLineChars="0"/>
              <w:rPr>
                <w:rFonts w:hint="default"/>
                <w:lang w:val="en-US" w:eastAsia="zh-CN"/>
              </w:rPr>
            </w:pPr>
            <w:bookmarkStart w:id="150" w:name="_Toc25274"/>
            <w:r>
              <w:rPr>
                <w:rFonts w:hint="default"/>
                <w:lang w:val="en-US" w:eastAsia="zh-CN"/>
              </w:rPr>
              <w:t>主要结构、尺度</w:t>
            </w:r>
            <w:bookmarkEnd w:id="145"/>
            <w:bookmarkEnd w:id="146"/>
            <w:bookmarkEnd w:id="150"/>
          </w:p>
          <w:p w14:paraId="610A26D7">
            <w:pPr>
              <w:pStyle w:val="4"/>
              <w:bidi w:val="0"/>
              <w:ind w:left="567" w:leftChars="0" w:hanging="567" w:firstLineChars="0"/>
              <w:rPr>
                <w:rFonts w:hint="default"/>
                <w:lang w:val="en-US" w:eastAsia="zh-CN"/>
              </w:rPr>
            </w:pPr>
            <w:r>
              <w:rPr>
                <w:rFonts w:hint="default"/>
                <w:lang w:val="en-US" w:eastAsia="zh-CN"/>
              </w:rPr>
              <w:t>设计代表船型</w:t>
            </w:r>
          </w:p>
          <w:p w14:paraId="6FDBFE68">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根据项目初设报告，</w:t>
            </w:r>
            <w:r>
              <w:rPr>
                <w:rFonts w:hint="default" w:ascii="Times New Roman" w:hAnsi="Times New Roman" w:cs="Times New Roman"/>
                <w:color w:val="000000"/>
                <w:highlight w:val="none"/>
                <w:lang w:val="en-US" w:eastAsia="zh-CN"/>
              </w:rPr>
              <w:t>海亮港区养殖渔船数为330艘，考虑海亮一级渔港建设后，结合建设单位拟引入企业现有渔船50艘，考虑50%的渔船进港避风，预测</w:t>
            </w:r>
            <w:r>
              <w:rPr>
                <w:rFonts w:hint="default" w:ascii="Times New Roman" w:hAnsi="Times New Roman" w:cs="Times New Roman"/>
                <w:color w:val="000000"/>
                <w:highlight w:val="none"/>
              </w:rPr>
              <w:t>渔船总数为929艘，具体预测结果见</w:t>
            </w:r>
            <w:r>
              <w:rPr>
                <w:rFonts w:hint="default" w:ascii="Times New Roman" w:hAnsi="Times New Roman" w:cs="Times New Roman"/>
                <w:color w:val="000000"/>
                <w:highlight w:val="none"/>
                <w:lang w:eastAsia="zh-CN"/>
              </w:rPr>
              <w:fldChar w:fldCharType="begin"/>
            </w:r>
            <w:r>
              <w:rPr>
                <w:rFonts w:hint="default" w:ascii="Times New Roman" w:hAnsi="Times New Roman" w:cs="Times New Roman"/>
                <w:color w:val="000000"/>
                <w:highlight w:val="none"/>
                <w:lang w:eastAsia="zh-CN"/>
              </w:rPr>
              <w:instrText xml:space="preserve"> REF _Ref16539 \h </w:instrText>
            </w:r>
            <w:r>
              <w:rPr>
                <w:rFonts w:hint="default" w:ascii="Times New Roman" w:hAnsi="Times New Roman" w:cs="Times New Roman"/>
                <w:color w:val="000000"/>
                <w:highlight w:val="none"/>
                <w:lang w:eastAsia="zh-CN"/>
              </w:rPr>
              <w:fldChar w:fldCharType="separate"/>
            </w:r>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2.3</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1</w:t>
            </w:r>
            <w:r>
              <w:rPr>
                <w:rFonts w:hint="default" w:ascii="Times New Roman" w:hAnsi="Times New Roman" w:cs="Times New Roman"/>
                <w:color w:val="000000"/>
                <w:highlight w:val="none"/>
                <w:lang w:eastAsia="zh-CN"/>
              </w:rPr>
              <w:fldChar w:fldCharType="end"/>
            </w:r>
            <w:r>
              <w:rPr>
                <w:rFonts w:hint="default" w:ascii="Times New Roman" w:hAnsi="Times New Roman" w:cs="Times New Roman"/>
                <w:color w:val="000000"/>
                <w:highlight w:val="none"/>
              </w:rPr>
              <w:t>。</w:t>
            </w:r>
          </w:p>
          <w:p w14:paraId="5D7F4061">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根据东瀚镇、沙埔镇、南海乡及建设单位拟引入企业渔船资料显示，目前东瀚镇、沙埔镇、南海乡养殖船553艘</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60HP以下捕捞船611艘，60~200HP捕捞船4艘；建设单位拟引入企业渔船50艘，其中500~600HP捕捞船38艘，600~900HP渔船12艘。考虑到今后捕捞型渔船的发展趋势，结合港区目前二级渔港已建有150HP泊位3个，斜坡道码头1个，可供部分中小型渔船停靠，海亮一级渔港拟选用200HP、600HP渔船作为设计代表船型；同时随着一级渔港建成，后方配套陆域形成，必将吸引更多远洋渔业企业来港投资建设，结合港区水深条件及冷藏船发展情况，港区拟在600HP泊位处结构预留兼靠3000t冷藏船及10000t散货船。本项目设计代表船型主要尺度见</w:t>
            </w:r>
            <w:r>
              <w:rPr>
                <w:rFonts w:hint="default" w:ascii="Times New Roman" w:hAnsi="Times New Roman" w:cs="Times New Roman"/>
                <w:color w:val="000000"/>
                <w:highlight w:val="none"/>
                <w:lang w:eastAsia="zh-CN"/>
              </w:rPr>
              <w:fldChar w:fldCharType="begin"/>
            </w:r>
            <w:r>
              <w:rPr>
                <w:rFonts w:hint="default" w:ascii="Times New Roman" w:hAnsi="Times New Roman" w:cs="Times New Roman"/>
                <w:color w:val="000000"/>
                <w:highlight w:val="none"/>
                <w:lang w:eastAsia="zh-CN"/>
              </w:rPr>
              <w:instrText xml:space="preserve"> REF _Ref16575 \h </w:instrText>
            </w:r>
            <w:r>
              <w:rPr>
                <w:rFonts w:hint="default" w:ascii="Times New Roman" w:hAnsi="Times New Roman" w:cs="Times New Roman"/>
                <w:color w:val="000000"/>
                <w:highlight w:val="none"/>
                <w:lang w:eastAsia="zh-CN"/>
              </w:rPr>
              <w:fldChar w:fldCharType="separate"/>
            </w:r>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2.3</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2</w:t>
            </w:r>
            <w:r>
              <w:rPr>
                <w:rFonts w:hint="default" w:ascii="Times New Roman" w:hAnsi="Times New Roman" w:cs="Times New Roman"/>
                <w:color w:val="000000"/>
                <w:highlight w:val="none"/>
                <w:lang w:eastAsia="zh-CN"/>
              </w:rPr>
              <w:fldChar w:fldCharType="end"/>
            </w:r>
            <w:r>
              <w:rPr>
                <w:rFonts w:hint="default" w:ascii="Times New Roman" w:hAnsi="Times New Roman" w:cs="Times New Roman"/>
                <w:color w:val="000000"/>
                <w:highlight w:val="none"/>
              </w:rPr>
              <w:t>。</w:t>
            </w:r>
          </w:p>
          <w:p w14:paraId="38028D32">
            <w:pPr>
              <w:pStyle w:val="30"/>
              <w:bidi w:val="0"/>
              <w:rPr>
                <w:rFonts w:hint="default" w:ascii="Times New Roman" w:hAnsi="Times New Roman" w:cs="Times New Roman"/>
                <w:color w:val="000000"/>
                <w:highlight w:val="none"/>
                <w:lang w:val="en-US" w:eastAsia="zh-CN"/>
              </w:rPr>
            </w:pPr>
            <w:bookmarkStart w:id="151" w:name="_Ref16539"/>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2.3</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表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1</w:t>
            </w:r>
            <w:r>
              <w:rPr>
                <w:rFonts w:hint="default" w:ascii="Times New Roman" w:hAnsi="Times New Roman" w:cs="Times New Roman"/>
                <w:color w:val="000000"/>
                <w:highlight w:val="none"/>
              </w:rPr>
              <w:fldChar w:fldCharType="end"/>
            </w:r>
            <w:bookmarkEnd w:id="151"/>
            <w:r>
              <w:rPr>
                <w:rFonts w:hint="default" w:ascii="Times New Roman" w:hAnsi="Times New Roman" w:cs="Times New Roman"/>
                <w:color w:val="000000"/>
                <w:highlight w:val="none"/>
                <w:lang w:val="en-US" w:eastAsia="zh-CN"/>
              </w:rPr>
              <w:t xml:space="preserve"> 预测渔船数量结果统计表</w:t>
            </w:r>
          </w:p>
          <w:tbl>
            <w:tblPr>
              <w:tblStyle w:val="2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60"/>
              <w:gridCol w:w="1360"/>
              <w:gridCol w:w="1360"/>
              <w:gridCol w:w="1360"/>
              <w:gridCol w:w="1361"/>
              <w:gridCol w:w="1362"/>
            </w:tblGrid>
            <w:tr w14:paraId="4364C9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40" w:type="dxa"/>
                  <w:noWrap w:val="0"/>
                  <w:vAlign w:val="center"/>
                </w:tcPr>
                <w:p w14:paraId="216B06F0">
                  <w:pPr>
                    <w:pStyle w:val="31"/>
                    <w:bidi w:val="0"/>
                    <w:jc w:val="center"/>
                    <w:rPr>
                      <w:rFonts w:hint="default" w:ascii="Times New Roman" w:hAnsi="Times New Roman" w:eastAsia="宋体" w:cs="Times New Roman"/>
                      <w:b/>
                      <w:bCs/>
                      <w:color w:val="000000"/>
                      <w:highlight w:val="none"/>
                      <w:lang w:val="en-US" w:eastAsia="zh-CN"/>
                    </w:rPr>
                  </w:pPr>
                  <w:r>
                    <w:rPr>
                      <w:rFonts w:hint="default" w:ascii="Times New Roman" w:hAnsi="Times New Roman" w:cs="Times New Roman"/>
                      <w:b/>
                      <w:bCs/>
                      <w:color w:val="000000"/>
                      <w:highlight w:val="none"/>
                      <w:lang w:val="en-US" w:eastAsia="zh-CN"/>
                    </w:rPr>
                    <w:t>项目</w:t>
                  </w:r>
                </w:p>
              </w:tc>
              <w:tc>
                <w:tcPr>
                  <w:tcW w:w="1540" w:type="dxa"/>
                  <w:noWrap w:val="0"/>
                  <w:vAlign w:val="center"/>
                </w:tcPr>
                <w:p w14:paraId="2E7D33C4">
                  <w:pPr>
                    <w:pStyle w:val="31"/>
                    <w:bidi w:val="0"/>
                    <w:jc w:val="center"/>
                    <w:rPr>
                      <w:rFonts w:hint="default" w:ascii="Times New Roman" w:hAnsi="Times New Roman" w:eastAsia="宋体" w:cs="Times New Roman"/>
                      <w:b/>
                      <w:bCs/>
                      <w:color w:val="000000"/>
                      <w:highlight w:val="none"/>
                      <w:lang w:val="en-US" w:eastAsia="zh-CN"/>
                    </w:rPr>
                  </w:pPr>
                  <w:r>
                    <w:rPr>
                      <w:rFonts w:hint="default" w:ascii="Times New Roman" w:hAnsi="Times New Roman" w:cs="Times New Roman"/>
                      <w:b/>
                      <w:bCs/>
                      <w:color w:val="000000"/>
                      <w:highlight w:val="none"/>
                      <w:lang w:val="en-US" w:eastAsia="zh-CN"/>
                    </w:rPr>
                    <w:t>养殖渔船</w:t>
                  </w:r>
                </w:p>
              </w:tc>
              <w:tc>
                <w:tcPr>
                  <w:tcW w:w="1540" w:type="dxa"/>
                  <w:noWrap w:val="0"/>
                  <w:vAlign w:val="center"/>
                </w:tcPr>
                <w:p w14:paraId="5FF20BCA">
                  <w:pPr>
                    <w:pStyle w:val="31"/>
                    <w:bidi w:val="0"/>
                    <w:jc w:val="center"/>
                    <w:rPr>
                      <w:rFonts w:hint="default" w:ascii="Times New Roman" w:hAnsi="Times New Roman" w:eastAsia="宋体" w:cs="Times New Roman"/>
                      <w:b/>
                      <w:bCs/>
                      <w:color w:val="000000"/>
                      <w:highlight w:val="none"/>
                      <w:lang w:val="en-US" w:eastAsia="zh-CN"/>
                    </w:rPr>
                  </w:pPr>
                  <w:r>
                    <w:rPr>
                      <w:rFonts w:hint="default" w:ascii="Times New Roman" w:hAnsi="Times New Roman" w:cs="Times New Roman"/>
                      <w:b/>
                      <w:bCs/>
                      <w:color w:val="000000"/>
                      <w:highlight w:val="none"/>
                      <w:lang w:val="en-US" w:eastAsia="zh-CN"/>
                    </w:rPr>
                    <w:t>60HP以下</w:t>
                  </w:r>
                </w:p>
              </w:tc>
              <w:tc>
                <w:tcPr>
                  <w:tcW w:w="1540" w:type="dxa"/>
                  <w:noWrap w:val="0"/>
                  <w:vAlign w:val="center"/>
                </w:tcPr>
                <w:p w14:paraId="1410314B">
                  <w:pPr>
                    <w:pStyle w:val="31"/>
                    <w:bidi w:val="0"/>
                    <w:jc w:val="center"/>
                    <w:rPr>
                      <w:rFonts w:hint="default" w:ascii="Times New Roman" w:hAnsi="Times New Roman" w:eastAsia="宋体" w:cs="Times New Roman"/>
                      <w:b/>
                      <w:bCs/>
                      <w:color w:val="000000"/>
                      <w:highlight w:val="none"/>
                      <w:lang w:val="en-US" w:eastAsia="zh-CN"/>
                    </w:rPr>
                  </w:pPr>
                  <w:r>
                    <w:rPr>
                      <w:rFonts w:hint="default" w:ascii="Times New Roman" w:hAnsi="Times New Roman" w:cs="Times New Roman"/>
                      <w:b/>
                      <w:bCs/>
                      <w:color w:val="000000"/>
                      <w:highlight w:val="none"/>
                      <w:lang w:val="en-US" w:eastAsia="zh-CN"/>
                    </w:rPr>
                    <w:t>60HP~200HP</w:t>
                  </w:r>
                </w:p>
              </w:tc>
              <w:tc>
                <w:tcPr>
                  <w:tcW w:w="1541" w:type="dxa"/>
                  <w:noWrap w:val="0"/>
                  <w:vAlign w:val="center"/>
                </w:tcPr>
                <w:p w14:paraId="52B3CF9D">
                  <w:pPr>
                    <w:pStyle w:val="31"/>
                    <w:bidi w:val="0"/>
                    <w:jc w:val="center"/>
                    <w:rPr>
                      <w:rFonts w:hint="default" w:ascii="Times New Roman" w:hAnsi="Times New Roman" w:eastAsia="宋体" w:cs="Times New Roman"/>
                      <w:b/>
                      <w:bCs/>
                      <w:color w:val="000000"/>
                      <w:highlight w:val="none"/>
                      <w:lang w:val="en-US" w:eastAsia="zh-CN"/>
                    </w:rPr>
                  </w:pPr>
                  <w:r>
                    <w:rPr>
                      <w:rFonts w:hint="default" w:ascii="Times New Roman" w:hAnsi="Times New Roman" w:cs="Times New Roman"/>
                      <w:b/>
                      <w:bCs/>
                      <w:color w:val="000000"/>
                      <w:highlight w:val="none"/>
                      <w:lang w:val="en-US" w:eastAsia="zh-CN"/>
                    </w:rPr>
                    <w:t>200HP~900HP</w:t>
                  </w:r>
                </w:p>
              </w:tc>
              <w:tc>
                <w:tcPr>
                  <w:tcW w:w="1541" w:type="dxa"/>
                  <w:noWrap w:val="0"/>
                  <w:vAlign w:val="center"/>
                </w:tcPr>
                <w:p w14:paraId="3764F45A">
                  <w:pPr>
                    <w:pStyle w:val="31"/>
                    <w:bidi w:val="0"/>
                    <w:jc w:val="center"/>
                    <w:rPr>
                      <w:rFonts w:hint="default" w:ascii="Times New Roman" w:hAnsi="Times New Roman" w:eastAsia="宋体" w:cs="Times New Roman"/>
                      <w:b/>
                      <w:bCs/>
                      <w:color w:val="000000"/>
                      <w:highlight w:val="none"/>
                      <w:lang w:val="en-US" w:eastAsia="zh-CN"/>
                    </w:rPr>
                  </w:pPr>
                  <w:r>
                    <w:rPr>
                      <w:rFonts w:hint="default" w:ascii="Times New Roman" w:hAnsi="Times New Roman" w:cs="Times New Roman"/>
                      <w:b/>
                      <w:bCs/>
                      <w:color w:val="000000"/>
                      <w:highlight w:val="none"/>
                      <w:lang w:val="en-US" w:eastAsia="zh-CN"/>
                    </w:rPr>
                    <w:t>渔船总数</w:t>
                  </w:r>
                </w:p>
              </w:tc>
            </w:tr>
            <w:tr w14:paraId="3416A1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40" w:type="dxa"/>
                  <w:noWrap w:val="0"/>
                  <w:vAlign w:val="center"/>
                </w:tcPr>
                <w:p w14:paraId="0FAA95EF">
                  <w:pPr>
                    <w:pStyle w:val="31"/>
                    <w:bidi w:val="0"/>
                    <w:jc w:val="center"/>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数量（艘）</w:t>
                  </w:r>
                </w:p>
              </w:tc>
              <w:tc>
                <w:tcPr>
                  <w:tcW w:w="1540" w:type="dxa"/>
                  <w:noWrap w:val="0"/>
                  <w:vAlign w:val="center"/>
                </w:tcPr>
                <w:p w14:paraId="3F9D730D">
                  <w:pPr>
                    <w:pStyle w:val="31"/>
                    <w:bidi w:val="0"/>
                    <w:jc w:val="center"/>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330</w:t>
                  </w:r>
                </w:p>
              </w:tc>
              <w:tc>
                <w:tcPr>
                  <w:tcW w:w="1540" w:type="dxa"/>
                  <w:noWrap w:val="0"/>
                  <w:vAlign w:val="center"/>
                </w:tcPr>
                <w:p w14:paraId="770F7A2A">
                  <w:pPr>
                    <w:pStyle w:val="31"/>
                    <w:bidi w:val="0"/>
                    <w:jc w:val="center"/>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570</w:t>
                  </w:r>
                </w:p>
              </w:tc>
              <w:tc>
                <w:tcPr>
                  <w:tcW w:w="1540" w:type="dxa"/>
                  <w:noWrap w:val="0"/>
                  <w:vAlign w:val="center"/>
                </w:tcPr>
                <w:p w14:paraId="42E284C3">
                  <w:pPr>
                    <w:pStyle w:val="31"/>
                    <w:bidi w:val="0"/>
                    <w:jc w:val="center"/>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4</w:t>
                  </w:r>
                </w:p>
              </w:tc>
              <w:tc>
                <w:tcPr>
                  <w:tcW w:w="1541" w:type="dxa"/>
                  <w:noWrap w:val="0"/>
                  <w:vAlign w:val="center"/>
                </w:tcPr>
                <w:p w14:paraId="751001C7">
                  <w:pPr>
                    <w:pStyle w:val="31"/>
                    <w:bidi w:val="0"/>
                    <w:jc w:val="center"/>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25</w:t>
                  </w:r>
                </w:p>
              </w:tc>
              <w:tc>
                <w:tcPr>
                  <w:tcW w:w="1541" w:type="dxa"/>
                  <w:noWrap w:val="0"/>
                  <w:vAlign w:val="center"/>
                </w:tcPr>
                <w:p w14:paraId="27241B88">
                  <w:pPr>
                    <w:pStyle w:val="31"/>
                    <w:bidi w:val="0"/>
                    <w:jc w:val="center"/>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929</w:t>
                  </w:r>
                </w:p>
              </w:tc>
            </w:tr>
          </w:tbl>
          <w:p w14:paraId="3E5C50C5">
            <w:pPr>
              <w:pStyle w:val="30"/>
              <w:bidi w:val="0"/>
              <w:rPr>
                <w:rFonts w:hint="default" w:ascii="Times New Roman" w:hAnsi="Times New Roman" w:cs="Times New Roman"/>
                <w:color w:val="000000"/>
                <w:highlight w:val="none"/>
                <w:lang w:val="en-US" w:eastAsia="zh-CN"/>
              </w:rPr>
            </w:pPr>
            <w:bookmarkStart w:id="152" w:name="_Ref16575"/>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2.3</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表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2</w:t>
            </w:r>
            <w:r>
              <w:rPr>
                <w:rFonts w:hint="default" w:ascii="Times New Roman" w:hAnsi="Times New Roman" w:cs="Times New Roman"/>
                <w:color w:val="000000"/>
                <w:highlight w:val="none"/>
              </w:rPr>
              <w:fldChar w:fldCharType="end"/>
            </w:r>
            <w:bookmarkEnd w:id="152"/>
            <w:r>
              <w:rPr>
                <w:rFonts w:hint="default" w:ascii="Times New Roman" w:hAnsi="Times New Roman" w:cs="Times New Roman"/>
                <w:color w:val="000000"/>
                <w:highlight w:val="none"/>
                <w:lang w:val="en-US" w:eastAsia="zh-CN"/>
              </w:rPr>
              <w:t xml:space="preserve"> 设计代表船型尺度参数表</w:t>
            </w:r>
          </w:p>
          <w:tbl>
            <w:tblPr>
              <w:tblStyle w:val="2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32"/>
              <w:gridCol w:w="1632"/>
              <w:gridCol w:w="1632"/>
              <w:gridCol w:w="1633"/>
              <w:gridCol w:w="1634"/>
            </w:tblGrid>
            <w:tr w14:paraId="345E3D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48" w:type="dxa"/>
                  <w:noWrap w:val="0"/>
                  <w:vAlign w:val="center"/>
                </w:tcPr>
                <w:p w14:paraId="03B24E93">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船型</w:t>
                  </w:r>
                </w:p>
              </w:tc>
              <w:tc>
                <w:tcPr>
                  <w:tcW w:w="1848" w:type="dxa"/>
                  <w:noWrap w:val="0"/>
                  <w:vAlign w:val="center"/>
                </w:tcPr>
                <w:p w14:paraId="650D5C16">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总长（m）</w:t>
                  </w:r>
                </w:p>
              </w:tc>
              <w:tc>
                <w:tcPr>
                  <w:tcW w:w="1848" w:type="dxa"/>
                  <w:noWrap w:val="0"/>
                  <w:vAlign w:val="center"/>
                </w:tcPr>
                <w:p w14:paraId="41681FC4">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型宽（m）</w:t>
                  </w:r>
                </w:p>
              </w:tc>
              <w:tc>
                <w:tcPr>
                  <w:tcW w:w="1849" w:type="dxa"/>
                  <w:noWrap w:val="0"/>
                  <w:vAlign w:val="center"/>
                </w:tcPr>
                <w:p w14:paraId="039B4176">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满载吃水（m）</w:t>
                  </w:r>
                </w:p>
              </w:tc>
              <w:tc>
                <w:tcPr>
                  <w:tcW w:w="1849" w:type="dxa"/>
                  <w:noWrap w:val="0"/>
                  <w:vAlign w:val="center"/>
                </w:tcPr>
                <w:p w14:paraId="7F66E6A8">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备注</w:t>
                  </w:r>
                </w:p>
              </w:tc>
            </w:tr>
            <w:tr w14:paraId="739DDD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48" w:type="dxa"/>
                  <w:noWrap w:val="0"/>
                  <w:vAlign w:val="center"/>
                </w:tcPr>
                <w:p w14:paraId="3784564C">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200HP渔船</w:t>
                  </w:r>
                </w:p>
              </w:tc>
              <w:tc>
                <w:tcPr>
                  <w:tcW w:w="1848" w:type="dxa"/>
                  <w:noWrap w:val="0"/>
                  <w:vAlign w:val="center"/>
                </w:tcPr>
                <w:p w14:paraId="498DE18C">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31.88</w:t>
                  </w:r>
                </w:p>
              </w:tc>
              <w:tc>
                <w:tcPr>
                  <w:tcW w:w="1848" w:type="dxa"/>
                  <w:noWrap w:val="0"/>
                  <w:vAlign w:val="center"/>
                </w:tcPr>
                <w:p w14:paraId="44A67D02">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6.0</w:t>
                  </w:r>
                </w:p>
              </w:tc>
              <w:tc>
                <w:tcPr>
                  <w:tcW w:w="1849" w:type="dxa"/>
                  <w:noWrap w:val="0"/>
                  <w:vAlign w:val="center"/>
                </w:tcPr>
                <w:p w14:paraId="5CF91C5D">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2.60</w:t>
                  </w:r>
                </w:p>
              </w:tc>
              <w:tc>
                <w:tcPr>
                  <w:tcW w:w="1849" w:type="dxa"/>
                  <w:noWrap w:val="0"/>
                  <w:vAlign w:val="center"/>
                </w:tcPr>
                <w:p w14:paraId="00707318">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设计船型</w:t>
                  </w:r>
                </w:p>
              </w:tc>
            </w:tr>
            <w:tr w14:paraId="2E2EBC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48" w:type="dxa"/>
                  <w:noWrap w:val="0"/>
                  <w:vAlign w:val="center"/>
                </w:tcPr>
                <w:p w14:paraId="78C5A77A">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600HP渔船</w:t>
                  </w:r>
                </w:p>
              </w:tc>
              <w:tc>
                <w:tcPr>
                  <w:tcW w:w="1848" w:type="dxa"/>
                  <w:noWrap w:val="0"/>
                  <w:vAlign w:val="center"/>
                </w:tcPr>
                <w:p w14:paraId="33E3C261">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40.5</w:t>
                  </w:r>
                </w:p>
              </w:tc>
              <w:tc>
                <w:tcPr>
                  <w:tcW w:w="1848" w:type="dxa"/>
                  <w:noWrap w:val="0"/>
                  <w:vAlign w:val="center"/>
                </w:tcPr>
                <w:p w14:paraId="2BB70C7F">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7.2</w:t>
                  </w:r>
                </w:p>
              </w:tc>
              <w:tc>
                <w:tcPr>
                  <w:tcW w:w="1849" w:type="dxa"/>
                  <w:noWrap w:val="0"/>
                  <w:vAlign w:val="center"/>
                </w:tcPr>
                <w:p w14:paraId="7499CED9">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3.3</w:t>
                  </w:r>
                </w:p>
              </w:tc>
              <w:tc>
                <w:tcPr>
                  <w:tcW w:w="1849" w:type="dxa"/>
                  <w:noWrap w:val="0"/>
                  <w:vAlign w:val="center"/>
                </w:tcPr>
                <w:p w14:paraId="710D9212">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设计船型</w:t>
                  </w:r>
                </w:p>
              </w:tc>
            </w:tr>
            <w:tr w14:paraId="5DD591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48" w:type="dxa"/>
                  <w:noWrap w:val="0"/>
                  <w:vAlign w:val="center"/>
                </w:tcPr>
                <w:p w14:paraId="046EF31A">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3000吨冷藏船</w:t>
                  </w:r>
                </w:p>
              </w:tc>
              <w:tc>
                <w:tcPr>
                  <w:tcW w:w="1848" w:type="dxa"/>
                  <w:noWrap w:val="0"/>
                  <w:vAlign w:val="center"/>
                </w:tcPr>
                <w:p w14:paraId="05375F3B">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120</w:t>
                  </w:r>
                </w:p>
              </w:tc>
              <w:tc>
                <w:tcPr>
                  <w:tcW w:w="1848" w:type="dxa"/>
                  <w:noWrap w:val="0"/>
                  <w:vAlign w:val="center"/>
                </w:tcPr>
                <w:p w14:paraId="724417CF">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16.5</w:t>
                  </w:r>
                </w:p>
              </w:tc>
              <w:tc>
                <w:tcPr>
                  <w:tcW w:w="1849" w:type="dxa"/>
                  <w:noWrap w:val="0"/>
                  <w:vAlign w:val="center"/>
                </w:tcPr>
                <w:p w14:paraId="3AFDB056">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7.32</w:t>
                  </w:r>
                </w:p>
              </w:tc>
              <w:tc>
                <w:tcPr>
                  <w:tcW w:w="1849" w:type="dxa"/>
                  <w:noWrap w:val="0"/>
                  <w:vAlign w:val="center"/>
                </w:tcPr>
                <w:p w14:paraId="3D62D36A">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兼靠船型</w:t>
                  </w:r>
                </w:p>
              </w:tc>
            </w:tr>
            <w:tr w14:paraId="080FB5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48" w:type="dxa"/>
                  <w:noWrap w:val="0"/>
                  <w:vAlign w:val="center"/>
                </w:tcPr>
                <w:p w14:paraId="0464EBA4">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10000吨散货船</w:t>
                  </w:r>
                </w:p>
              </w:tc>
              <w:tc>
                <w:tcPr>
                  <w:tcW w:w="1848" w:type="dxa"/>
                  <w:noWrap w:val="0"/>
                  <w:vAlign w:val="center"/>
                </w:tcPr>
                <w:p w14:paraId="62209F7C">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135</w:t>
                  </w:r>
                </w:p>
              </w:tc>
              <w:tc>
                <w:tcPr>
                  <w:tcW w:w="1848" w:type="dxa"/>
                  <w:noWrap w:val="0"/>
                  <w:vAlign w:val="center"/>
                </w:tcPr>
                <w:p w14:paraId="1332FA39">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20.5</w:t>
                  </w:r>
                </w:p>
              </w:tc>
              <w:tc>
                <w:tcPr>
                  <w:tcW w:w="1849" w:type="dxa"/>
                  <w:noWrap w:val="0"/>
                  <w:vAlign w:val="center"/>
                </w:tcPr>
                <w:p w14:paraId="74C32DBA">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8.5</w:t>
                  </w:r>
                </w:p>
              </w:tc>
              <w:tc>
                <w:tcPr>
                  <w:tcW w:w="1849" w:type="dxa"/>
                  <w:noWrap w:val="0"/>
                  <w:vAlign w:val="center"/>
                </w:tcPr>
                <w:p w14:paraId="54E14DBC">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结构预留</w:t>
                  </w:r>
                </w:p>
              </w:tc>
            </w:tr>
          </w:tbl>
          <w:p w14:paraId="69DD6E98">
            <w:pPr>
              <w:pStyle w:val="4"/>
              <w:bidi w:val="0"/>
              <w:ind w:left="567" w:leftChars="0" w:hanging="567" w:firstLineChars="0"/>
              <w:rPr>
                <w:rFonts w:hint="default"/>
                <w:lang w:val="en-US" w:eastAsia="zh-CN"/>
              </w:rPr>
            </w:pPr>
            <w:r>
              <w:rPr>
                <w:rFonts w:hint="default"/>
                <w:lang w:val="en-US" w:eastAsia="zh-CN"/>
              </w:rPr>
              <w:t>水工建筑物</w:t>
            </w:r>
          </w:p>
          <w:p w14:paraId="6837911E">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本工程中拟建水工建筑物包括防波堤、码头，其中防波堤为重要的防护型水工建筑物，其结构设计主要控制条件采用100年一遇极高水位和100年一遇设计波浪组合。</w:t>
            </w:r>
          </w:p>
          <w:p w14:paraId="15984BB7">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（1）东防波堤AB段</w:t>
            </w:r>
          </w:p>
          <w:p w14:paraId="07E170F0">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b w:val="0"/>
                <w:bCs w:val="0"/>
                <w:color w:val="000000"/>
                <w:highlight w:val="none"/>
                <w:lang w:val="en-US" w:eastAsia="zh-CN"/>
              </w:rPr>
            </w:pPr>
            <w:r>
              <w:rPr>
                <w:rFonts w:hint="default" w:ascii="Times New Roman" w:hAnsi="Times New Roman" w:cs="Times New Roman"/>
                <w:color w:val="000000"/>
                <w:highlight w:val="none"/>
                <w:lang w:val="en-US" w:eastAsia="zh-CN"/>
              </w:rPr>
              <w:t>拟建工程场地软土普遍存在，表层为淤泥层，厚度2.2~20.6m，其下为砂混淤泥层或黏土层，部分孔下有淤泥质黏土（厚度0~13.9m，底高程-18.08~-37.21m），其下为风化岩层。对于本工程的地质情况，在满足规范要求的工后沉降和稳定性、承载力的前提下应充分考虑工程造价，结合施工工期的要求，利用适宜的软基处理方案来保证后期使用要</w:t>
            </w:r>
            <w:r>
              <w:rPr>
                <w:rFonts w:hint="default" w:ascii="Times New Roman" w:hAnsi="Times New Roman" w:cs="Times New Roman"/>
                <w:b w:val="0"/>
                <w:bCs w:val="0"/>
                <w:color w:val="000000"/>
                <w:highlight w:val="none"/>
                <w:lang w:val="en-US" w:eastAsia="zh-CN"/>
              </w:rPr>
              <w:t>求。综合考虑本港区地质状况，鉴于宽肩台斜坡堤地基适应性较好，施工工艺相对简单</w:t>
            </w:r>
            <w:r>
              <w:rPr>
                <w:rFonts w:hint="eastAsia" w:cs="Times New Roman"/>
                <w:b w:val="0"/>
                <w:bCs w:val="0"/>
                <w:color w:val="000000"/>
                <w:highlight w:val="none"/>
                <w:lang w:val="en-US" w:eastAsia="zh-CN"/>
              </w:rPr>
              <w:t>且</w:t>
            </w:r>
            <w:r>
              <w:rPr>
                <w:rFonts w:hint="default" w:ascii="Times New Roman" w:hAnsi="Times New Roman" w:cs="Times New Roman"/>
                <w:b w:val="0"/>
                <w:bCs w:val="0"/>
                <w:color w:val="000000"/>
                <w:highlight w:val="none"/>
                <w:lang w:val="en-US" w:eastAsia="zh-CN"/>
              </w:rPr>
              <w:t>该地基处理方式对海洋环境污染较小，本项目东防波堤设计拟采用宽肩台斜坡堤结构。</w:t>
            </w:r>
          </w:p>
          <w:p w14:paraId="6EF49D1E">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b w:val="0"/>
                <w:bCs w:val="0"/>
                <w:color w:val="000000"/>
                <w:highlight w:val="none"/>
                <w:lang w:val="en-US" w:eastAsia="zh-CN"/>
              </w:rPr>
              <w:t>东防波堤AB段采用基础为插值塑料排水板的宽肩台式斜坡堤，外坡肩台宽15m，高程为4.0m，肩台以上</w:t>
            </w:r>
            <w:r>
              <w:rPr>
                <w:rFonts w:hint="default" w:ascii="Times New Roman" w:hAnsi="Times New Roman" w:cs="Times New Roman"/>
                <w:color w:val="000000"/>
                <w:highlight w:val="none"/>
                <w:lang w:val="en-US" w:eastAsia="zh-CN"/>
              </w:rPr>
              <w:t>坡度为1:2，肩台以下坡度为1:1.5，堤顶高程7.50m，堤顶宽度为8.0m，内坡坡度为1:1.5，内坡高程1.00m处设有一级压载平台，平台宽16.0m；内、外坡及肩台抛填0.8～2.0t块石。堤心抛填石料重量5～300kg。外坡坡脚设有25～30m宽的抛石护底，采用150~300kg块石；内坡坡脚设有20m宽的抛石护底，采用50~100kg块石。堤身和原泥面线间依次铺设0.3m厚的碎石垫层和厚度不小于1.0m砂垫层，基础为插值塑料排水板，间距1.0m，梅花形布置。</w:t>
            </w:r>
          </w:p>
          <w:p w14:paraId="3295051D">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堤头段长30m，肩台以上坡度均为1:2，内、外侧肩台宽15m，高程4.0m，肩台以下坡度为1:1.5；内、外坡脚均设25m宽的抛石护底，采用150~300kg块石。基础采用插值塑料排水板的处理方式。</w:t>
            </w:r>
          </w:p>
          <w:p w14:paraId="68816483">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（2）东防波堤BC段</w:t>
            </w:r>
          </w:p>
          <w:p w14:paraId="40ACAB3D">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拟采用基础为插值塑料排水板的宽肩台式斜坡堤，外坡肩台宽18m，高程为5.0m，肩台以上坡度为1:2，肩台以下坡度为1:1.5，堤顶高程10.0m，堤顶宽度为8.0m，内坡坡度为1:1.5；外坡设有二级压载平台，平台宽20m，高程为1.0m，外坡及肩台理砌一层2.0～2.5t块石，其下为0.8~2.0t棱体抛石；内坡及肩台采用0.8~2.0t的块石护面。堤心抛填石料重量5～300kg。外坡坡脚设有30～40m宽的抛石护底，护底面层采用0.8~1.2t块石护面，其下为150~300kg块石；内坡坡脚设有20～50m宽的抛石护底，采用50~100kg块石。堤身和原泥面线间依次铺设0.3m厚的碎石垫层和厚度不小于1.0m砂垫层，基础为插值塑料排水板，间距1.0m，梅花形布置。</w:t>
            </w:r>
          </w:p>
          <w:p w14:paraId="48D3EB81">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堤头段长30m，肩台以上坡度均为1:2，外侧肩台宽18m，高程5.0m，肩台以下坡度为1:1.5；内侧肩台宽14m，高程4.50m，肩台以下坡度为1:2.0。外坡设有二级压载平台宽20m，高程1.0m；堤头处内坡、外坡及肩台理砌一层方整石，方整石下为棱体抛石1.0~2.5t；内、外坡脚均设30~45m宽的抛石护底，护底面层采用1.0~1.5t块石护面，下为150~300kg块石。</w:t>
            </w:r>
          </w:p>
          <w:p w14:paraId="14E08652">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b w:val="0"/>
                <w:bCs w:val="0"/>
                <w:color w:val="000000"/>
                <w:highlight w:val="none"/>
                <w:lang w:val="en-US" w:eastAsia="zh-CN"/>
              </w:rPr>
              <w:t>东防波堤结构平面、断面见</w:t>
            </w:r>
            <w:r>
              <w:rPr>
                <w:rFonts w:hint="eastAsia" w:ascii="Times New Roman" w:hAnsi="Times New Roman" w:cs="Times New Roman"/>
                <w:b w:val="0"/>
                <w:bCs w:val="0"/>
                <w:color w:val="000000"/>
                <w:highlight w:val="none"/>
                <w:lang w:val="en-US" w:eastAsia="zh-CN"/>
              </w:rPr>
              <w:t>附图</w:t>
            </w:r>
            <w:r>
              <w:rPr>
                <w:rFonts w:hint="eastAsia" w:cs="Times New Roman"/>
                <w:b w:val="0"/>
                <w:bCs w:val="0"/>
                <w:color w:val="000000"/>
                <w:highlight w:val="none"/>
                <w:lang w:val="en-US" w:eastAsia="zh-CN"/>
              </w:rPr>
              <w:t>6</w:t>
            </w:r>
            <w:r>
              <w:rPr>
                <w:rFonts w:hint="default" w:ascii="Times New Roman" w:hAnsi="Times New Roman" w:cs="Times New Roman"/>
                <w:b w:val="0"/>
                <w:bCs w:val="0"/>
                <w:color w:val="000000"/>
                <w:highlight w:val="none"/>
                <w:lang w:val="en-US" w:eastAsia="zh-CN"/>
              </w:rPr>
              <w:t>。</w:t>
            </w:r>
          </w:p>
          <w:p w14:paraId="14A9FC71">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（3）南防波堤兼码头</w:t>
            </w:r>
          </w:p>
          <w:p w14:paraId="196B3866">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直立式防波堤可采用重力式直立堤（正砌方块、矩形沉箱、削角、开孔沉箱及坐床式圆筒等直立式结构）和桩式直立堤，因港区软基较厚（淤泥、淤泥质</w:t>
            </w:r>
            <w:r>
              <w:rPr>
                <w:rFonts w:hint="eastAsia" w:cs="Times New Roman"/>
                <w:color w:val="000000"/>
                <w:highlight w:val="none"/>
                <w:lang w:val="en-US" w:eastAsia="zh-CN"/>
              </w:rPr>
              <w:t>黏土</w:t>
            </w:r>
            <w:r>
              <w:rPr>
                <w:rFonts w:hint="default" w:ascii="Times New Roman" w:hAnsi="Times New Roman" w:cs="Times New Roman"/>
                <w:color w:val="000000"/>
                <w:highlight w:val="none"/>
                <w:lang w:val="en-US" w:eastAsia="zh-CN"/>
              </w:rPr>
              <w:t>），水深浪大，拟采用沉箱结构，虽开孔沉箱直立堤可有效减少墙前反射波、冲击波压力和越浪引起的传递波，但水深大，在沉箱上开孔消浪效果不明显；矩形沉箱为传统结构，施工工艺成熟，挡浪效果好，堤后波高小，但墙前反射较大，因此本项目</w:t>
            </w:r>
            <w:r>
              <w:rPr>
                <w:rFonts w:hint="default" w:ascii="Times New Roman" w:hAnsi="Times New Roman" w:cs="Times New Roman"/>
                <w:b/>
                <w:bCs/>
                <w:color w:val="000000"/>
                <w:highlight w:val="none"/>
                <w:lang w:val="en-US" w:eastAsia="zh-CN"/>
              </w:rPr>
              <w:t>直立式防波堤</w:t>
            </w:r>
            <w:r>
              <w:rPr>
                <w:rFonts w:hint="default" w:ascii="Times New Roman" w:hAnsi="Times New Roman" w:cs="Times New Roman"/>
                <w:color w:val="000000"/>
                <w:highlight w:val="none"/>
                <w:lang w:val="en-US" w:eastAsia="zh-CN"/>
              </w:rPr>
              <w:t>拟采用</w:t>
            </w:r>
            <w:r>
              <w:rPr>
                <w:rFonts w:hint="default" w:ascii="Times New Roman" w:hAnsi="Times New Roman" w:cs="Times New Roman"/>
                <w:b/>
                <w:bCs/>
                <w:color w:val="000000"/>
                <w:highlight w:val="none"/>
                <w:lang w:val="en-US" w:eastAsia="zh-CN"/>
              </w:rPr>
              <w:t>矩形沉箱结构</w:t>
            </w:r>
            <w:r>
              <w:rPr>
                <w:rFonts w:hint="default" w:ascii="Times New Roman" w:hAnsi="Times New Roman" w:cs="Times New Roman"/>
                <w:color w:val="000000"/>
                <w:highlight w:val="none"/>
                <w:lang w:val="en-US" w:eastAsia="zh-CN"/>
              </w:rPr>
              <w:t>。</w:t>
            </w:r>
          </w:p>
          <w:p w14:paraId="1CEA18F4">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南防波堤兼码头长220m，堤宽40m，直立墙由单层出水的预制钢筋砼沉箱及现浇C30砼胸墙组成；沉箱底部坐落在抛石基床上，基床顶高程为-13.7~-14.3m。单个沉箱底宽15.7m，高12m，长13.85m；沉箱单侧趾长1.0m，前、后壁厚为45cm，侧壁厚40cm，底板厚55cm，隔板厚25~30cm，方块空腔内填10～100kg块石。沉箱外侧设有预制C30砼压底块，其后设600~800kg抛石棱体，堤头处设0.8-1.0t抛石棱体。防波堤采用双侧靠泊，其中内侧160m为兼做200HP泊位，外侧150m兼做600HP泊位。外侧码头前沿设有人行踏步，踏步宽2.0m，内侧码头设斜坡道。码头内侧设有护轮坎、150KN系船柱及DA-A250H护舷等附属设施；码头外侧设有护轮坎、450KN系船柱及DA-B400H护舷等附属设施。码头顶面采用25cm厚的现浇砼面层，下设5%水泥碎石稳定层及碎石垫层。路面设双向排水横坡，坡度1%。原地面表层的软弱层——淤泥层及淤泥质</w:t>
            </w:r>
            <w:r>
              <w:rPr>
                <w:rFonts w:hint="eastAsia" w:cs="Times New Roman"/>
                <w:color w:val="000000"/>
                <w:highlight w:val="none"/>
                <w:lang w:val="en-US" w:eastAsia="zh-CN"/>
              </w:rPr>
              <w:t>黏土</w:t>
            </w:r>
            <w:r>
              <w:rPr>
                <w:rFonts w:hint="default" w:ascii="Times New Roman" w:hAnsi="Times New Roman" w:cs="Times New Roman"/>
                <w:color w:val="000000"/>
                <w:highlight w:val="none"/>
                <w:lang w:val="en-US" w:eastAsia="zh-CN"/>
              </w:rPr>
              <w:t>夹层开挖，开挖坡度1:3，基础开挖宽度为59.6~83.2m。</w:t>
            </w:r>
          </w:p>
          <w:p w14:paraId="1A585394">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u w:val="none"/>
                <w:lang w:val="en-US" w:eastAsia="zh-CN"/>
              </w:rPr>
            </w:pPr>
            <w:r>
              <w:rPr>
                <w:rFonts w:hint="default" w:ascii="Times New Roman" w:hAnsi="Times New Roman" w:cs="Times New Roman"/>
                <w:b w:val="0"/>
                <w:bCs w:val="0"/>
                <w:color w:val="000000"/>
                <w:highlight w:val="none"/>
                <w:lang w:val="en-US" w:eastAsia="zh-CN"/>
              </w:rPr>
              <w:t>南防波堤兼码头结构平面、断面见</w:t>
            </w:r>
            <w:r>
              <w:rPr>
                <w:rFonts w:hint="eastAsia" w:ascii="Times New Roman" w:hAnsi="Times New Roman" w:cs="Times New Roman"/>
                <w:b w:val="0"/>
                <w:bCs w:val="0"/>
                <w:color w:val="000000"/>
                <w:highlight w:val="none"/>
                <w:lang w:val="en-US" w:eastAsia="zh-CN"/>
              </w:rPr>
              <w:t>附图</w:t>
            </w:r>
            <w:r>
              <w:rPr>
                <w:rFonts w:hint="eastAsia" w:cs="Times New Roman"/>
                <w:b w:val="0"/>
                <w:bCs w:val="0"/>
                <w:color w:val="000000"/>
                <w:highlight w:val="none"/>
                <w:lang w:val="en-US" w:eastAsia="zh-CN"/>
              </w:rPr>
              <w:t>7</w:t>
            </w:r>
            <w:r>
              <w:rPr>
                <w:rFonts w:hint="default" w:ascii="Times New Roman" w:hAnsi="Times New Roman" w:cs="Times New Roman"/>
                <w:b w:val="0"/>
                <w:bCs w:val="0"/>
                <w:color w:val="000000"/>
                <w:highlight w:val="none"/>
                <w:lang w:val="en-US" w:eastAsia="zh-CN"/>
              </w:rPr>
              <w:t>。</w:t>
            </w:r>
          </w:p>
          <w:p w14:paraId="2B613844">
            <w:pPr>
              <w:pStyle w:val="4"/>
              <w:bidi w:val="0"/>
              <w:ind w:left="567" w:leftChars="0" w:hanging="567" w:firstLineChars="0"/>
              <w:rPr>
                <w:rFonts w:hint="default"/>
                <w:lang w:val="en-US" w:eastAsia="zh-CN"/>
              </w:rPr>
            </w:pPr>
            <w:r>
              <w:rPr>
                <w:rFonts w:hint="default"/>
                <w:lang w:val="en-US" w:eastAsia="zh-CN"/>
              </w:rPr>
              <w:t>设计主尺度</w:t>
            </w:r>
          </w:p>
          <w:p w14:paraId="2DAB15DE">
            <w:pPr>
              <w:pStyle w:val="5"/>
              <w:bidi w:val="0"/>
              <w:ind w:left="850" w:leftChars="0" w:hanging="850" w:firstLineChars="0"/>
              <w:rPr>
                <w:rFonts w:hint="default"/>
                <w:lang w:val="en-US" w:eastAsia="zh-CN"/>
              </w:rPr>
            </w:pPr>
            <w:r>
              <w:rPr>
                <w:rFonts w:hint="eastAsia"/>
                <w:lang w:val="en-US" w:eastAsia="zh-CN"/>
              </w:rPr>
              <w:t>水域主尺度</w:t>
            </w:r>
          </w:p>
          <w:p w14:paraId="65D7C340">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（1）码头泊位长度计算</w:t>
            </w:r>
          </w:p>
          <w:p w14:paraId="44A09D25">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码头长度：L</w:t>
            </w:r>
            <w:r>
              <w:rPr>
                <w:rFonts w:hint="default" w:ascii="Times New Roman" w:hAnsi="Times New Roman" w:cs="Times New Roman"/>
                <w:color w:val="000000"/>
                <w:highlight w:val="none"/>
                <w:vertAlign w:val="subscript"/>
                <w:lang w:val="en-US" w:eastAsia="zh-CN"/>
              </w:rPr>
              <w:t>b</w:t>
            </w:r>
            <w:r>
              <w:rPr>
                <w:rFonts w:hint="default" w:ascii="Times New Roman" w:hAnsi="Times New Roman" w:cs="Times New Roman"/>
                <w:color w:val="000000"/>
                <w:highlight w:val="none"/>
                <w:lang w:val="en-US" w:eastAsia="zh-CN"/>
              </w:rPr>
              <w:t>=L</w:t>
            </w:r>
            <w:r>
              <w:rPr>
                <w:rFonts w:hint="default" w:ascii="Times New Roman" w:hAnsi="Times New Roman" w:cs="Times New Roman"/>
                <w:color w:val="000000"/>
                <w:highlight w:val="none"/>
                <w:vertAlign w:val="subscript"/>
                <w:lang w:val="en-US" w:eastAsia="zh-CN"/>
              </w:rPr>
              <w:t>c</w:t>
            </w:r>
            <w:r>
              <w:rPr>
                <w:rFonts w:hint="default" w:ascii="Times New Roman" w:hAnsi="Times New Roman" w:cs="Times New Roman"/>
                <w:color w:val="000000"/>
                <w:highlight w:val="none"/>
                <w:lang w:val="en-US" w:eastAsia="zh-CN"/>
              </w:rPr>
              <w:t>+1.5d</w:t>
            </w:r>
          </w:p>
          <w:p w14:paraId="5F4FC3A5">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式中：L</w:t>
            </w:r>
            <w:r>
              <w:rPr>
                <w:rFonts w:hint="default" w:ascii="Times New Roman" w:hAnsi="Times New Roman" w:cs="Times New Roman"/>
                <w:color w:val="000000"/>
                <w:highlight w:val="none"/>
                <w:vertAlign w:val="subscript"/>
                <w:lang w:val="en-US" w:eastAsia="zh-CN"/>
              </w:rPr>
              <w:t>b</w:t>
            </w:r>
            <w:r>
              <w:rPr>
                <w:rFonts w:hint="default" w:ascii="Times New Roman" w:hAnsi="Times New Roman" w:cs="Times New Roman"/>
                <w:color w:val="000000"/>
                <w:highlight w:val="none"/>
                <w:lang w:val="en-US" w:eastAsia="zh-CN"/>
              </w:rPr>
              <w:t>—泊位长度：</w:t>
            </w:r>
          </w:p>
          <w:p w14:paraId="6786EDF0">
            <w:pPr>
              <w:keepNext w:val="0"/>
              <w:keepLines w:val="0"/>
              <w:pageBreakBefore w:val="0"/>
              <w:widowControl w:val="0"/>
              <w:kinsoku/>
              <w:wordWrap/>
              <w:overflowPunct/>
              <w:topLinePunct w:val="0"/>
              <w:autoSpaceDE/>
              <w:autoSpaceDN/>
              <w:bidi w:val="0"/>
              <w:adjustRightInd/>
              <w:snapToGrid/>
              <w:ind w:firstLine="1200" w:firstLineChars="5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L</w:t>
            </w:r>
            <w:r>
              <w:rPr>
                <w:rFonts w:hint="default" w:ascii="Times New Roman" w:hAnsi="Times New Roman" w:cs="Times New Roman"/>
                <w:color w:val="000000"/>
                <w:highlight w:val="none"/>
                <w:vertAlign w:val="subscript"/>
                <w:lang w:val="en-US" w:eastAsia="zh-CN"/>
              </w:rPr>
              <w:t>c</w:t>
            </w:r>
            <w:r>
              <w:rPr>
                <w:rFonts w:hint="default" w:ascii="Times New Roman" w:hAnsi="Times New Roman" w:cs="Times New Roman"/>
                <w:color w:val="000000"/>
                <w:highlight w:val="none"/>
                <w:lang w:val="en-US" w:eastAsia="zh-CN"/>
              </w:rPr>
              <w:t>—设计代表船型长度；</w:t>
            </w:r>
          </w:p>
          <w:p w14:paraId="3E9332E9">
            <w:pPr>
              <w:keepNext w:val="0"/>
              <w:keepLines w:val="0"/>
              <w:pageBreakBefore w:val="0"/>
              <w:widowControl w:val="0"/>
              <w:kinsoku/>
              <w:wordWrap/>
              <w:overflowPunct/>
              <w:topLinePunct w:val="0"/>
              <w:autoSpaceDE/>
              <w:autoSpaceDN/>
              <w:bidi w:val="0"/>
              <w:adjustRightInd/>
              <w:snapToGrid/>
              <w:ind w:firstLine="1200" w:firstLineChars="5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d—泊位富裕长度。</w:t>
            </w:r>
          </w:p>
          <w:p w14:paraId="1635F931">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200HP渔船泊位：L</w:t>
            </w:r>
            <w:r>
              <w:rPr>
                <w:rFonts w:hint="default" w:ascii="Times New Roman" w:hAnsi="Times New Roman" w:cs="Times New Roman"/>
                <w:color w:val="000000"/>
                <w:highlight w:val="none"/>
                <w:vertAlign w:val="subscript"/>
                <w:lang w:val="en-US" w:eastAsia="zh-CN"/>
              </w:rPr>
              <w:t>b</w:t>
            </w:r>
            <w:r>
              <w:rPr>
                <w:rFonts w:hint="default" w:ascii="Times New Roman" w:hAnsi="Times New Roman" w:cs="Times New Roman"/>
                <w:color w:val="000000"/>
                <w:highlight w:val="none"/>
                <w:lang w:val="en-US" w:eastAsia="zh-CN"/>
              </w:rPr>
              <w:t>=31.88+1.5×（3.19~4.78）=36.67~39.05m，设计取40m。</w:t>
            </w:r>
          </w:p>
          <w:p w14:paraId="7F70DBBA">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highlight w:val="none"/>
                <w:lang w:val="en-US" w:eastAsia="zh-CN"/>
              </w:rPr>
            </w:pPr>
            <w:r>
              <w:rPr>
                <w:rFonts w:hint="default" w:ascii="Times New Roman" w:hAnsi="Times New Roman" w:eastAsia="宋体" w:cs="Times New Roman"/>
                <w:color w:val="000000"/>
                <w:highlight w:val="none"/>
                <w:lang w:val="en-US" w:eastAsia="zh-CN"/>
              </w:rPr>
              <w:t>600HP渔船泊位：L</w:t>
            </w:r>
            <w:r>
              <w:rPr>
                <w:rFonts w:hint="default" w:ascii="Times New Roman" w:hAnsi="Times New Roman" w:eastAsia="宋体" w:cs="Times New Roman"/>
                <w:color w:val="000000"/>
                <w:highlight w:val="none"/>
                <w:vertAlign w:val="subscript"/>
                <w:lang w:val="en-US" w:eastAsia="zh-CN"/>
              </w:rPr>
              <w:t>b</w:t>
            </w:r>
            <w:r>
              <w:rPr>
                <w:rFonts w:hint="default" w:ascii="Times New Roman" w:hAnsi="Times New Roman" w:eastAsia="宋体" w:cs="Times New Roman"/>
                <w:color w:val="000000"/>
                <w:highlight w:val="none"/>
                <w:lang w:val="en-US" w:eastAsia="zh-CN"/>
              </w:rPr>
              <w:t>=40.5+1.5×（4.05~6.08）=46.58~49.62m，设计取50m。</w:t>
            </w:r>
          </w:p>
          <w:p w14:paraId="76E5788A">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3000t冷藏船泊位</w:t>
            </w:r>
            <w:r>
              <w:rPr>
                <w:rFonts w:hint="default" w:ascii="Times New Roman" w:hAnsi="Times New Roman" w:eastAsia="宋体" w:cs="Times New Roman"/>
                <w:color w:val="000000"/>
                <w:highlight w:val="none"/>
                <w:lang w:val="en-US" w:eastAsia="zh-CN"/>
              </w:rPr>
              <w:t>：L</w:t>
            </w:r>
            <w:r>
              <w:rPr>
                <w:rFonts w:hint="default" w:ascii="Times New Roman" w:hAnsi="Times New Roman" w:eastAsia="宋体" w:cs="Times New Roman"/>
                <w:color w:val="000000"/>
                <w:highlight w:val="none"/>
                <w:vertAlign w:val="subscript"/>
                <w:lang w:val="en-US" w:eastAsia="zh-CN"/>
              </w:rPr>
              <w:t>b</w:t>
            </w:r>
            <w:r>
              <w:rPr>
                <w:rFonts w:hint="default" w:ascii="Times New Roman" w:hAnsi="Times New Roman" w:eastAsia="宋体" w:cs="Times New Roman"/>
                <w:color w:val="000000"/>
                <w:highlight w:val="none"/>
                <w:lang w:val="en-US" w:eastAsia="zh-CN"/>
              </w:rPr>
              <w:t>=</w:t>
            </w:r>
            <w:r>
              <w:rPr>
                <w:rFonts w:hint="default" w:ascii="Times New Roman" w:hAnsi="Times New Roman" w:cs="Times New Roman"/>
                <w:color w:val="000000"/>
                <w:highlight w:val="none"/>
                <w:lang w:val="en-US" w:eastAsia="zh-CN"/>
              </w:rPr>
              <w:t>L</w:t>
            </w:r>
            <w:r>
              <w:rPr>
                <w:rFonts w:hint="default" w:ascii="Times New Roman" w:hAnsi="Times New Roman" w:cs="Times New Roman"/>
                <w:color w:val="000000"/>
                <w:highlight w:val="none"/>
                <w:vertAlign w:val="subscript"/>
                <w:lang w:val="en-US" w:eastAsia="zh-CN"/>
              </w:rPr>
              <w:t>c</w:t>
            </w:r>
            <w:r>
              <w:rPr>
                <w:rFonts w:hint="default" w:ascii="Times New Roman" w:hAnsi="Times New Roman" w:cs="Times New Roman"/>
                <w:color w:val="000000"/>
                <w:highlight w:val="none"/>
                <w:lang w:val="en-US" w:eastAsia="zh-CN"/>
              </w:rPr>
              <w:t>+2d=</w:t>
            </w:r>
            <w:r>
              <w:rPr>
                <w:rFonts w:hint="default" w:ascii="Times New Roman" w:hAnsi="Times New Roman" w:eastAsia="宋体" w:cs="Times New Roman"/>
                <w:color w:val="000000"/>
                <w:highlight w:val="none"/>
                <w:lang w:val="en-US" w:eastAsia="zh-CN"/>
              </w:rPr>
              <w:t>120+2×16.5=148m，设计取150m。</w:t>
            </w:r>
          </w:p>
          <w:p w14:paraId="7A8BAE31">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10000t散货船泊位：</w:t>
            </w:r>
            <w:r>
              <w:rPr>
                <w:rFonts w:hint="default" w:ascii="Times New Roman" w:hAnsi="Times New Roman" w:eastAsia="宋体" w:cs="Times New Roman"/>
                <w:color w:val="000000"/>
                <w:highlight w:val="none"/>
                <w:lang w:val="en-US" w:eastAsia="zh-CN"/>
              </w:rPr>
              <w:t>L</w:t>
            </w:r>
            <w:r>
              <w:rPr>
                <w:rFonts w:hint="default" w:ascii="Times New Roman" w:hAnsi="Times New Roman" w:eastAsia="宋体" w:cs="Times New Roman"/>
                <w:color w:val="000000"/>
                <w:highlight w:val="none"/>
                <w:vertAlign w:val="subscript"/>
                <w:lang w:val="en-US" w:eastAsia="zh-CN"/>
              </w:rPr>
              <w:t>b</w:t>
            </w:r>
            <w:r>
              <w:rPr>
                <w:rFonts w:hint="default" w:ascii="Times New Roman" w:hAnsi="Times New Roman" w:eastAsia="宋体" w:cs="Times New Roman"/>
                <w:color w:val="000000"/>
                <w:highlight w:val="none"/>
                <w:lang w:val="en-US" w:eastAsia="zh-CN"/>
              </w:rPr>
              <w:t>=</w:t>
            </w:r>
            <w:r>
              <w:rPr>
                <w:rFonts w:hint="default" w:ascii="Times New Roman" w:hAnsi="Times New Roman" w:cs="Times New Roman"/>
                <w:color w:val="000000"/>
                <w:highlight w:val="none"/>
                <w:lang w:val="en-US" w:eastAsia="zh-CN"/>
              </w:rPr>
              <w:t>L</w:t>
            </w:r>
            <w:r>
              <w:rPr>
                <w:rFonts w:hint="default" w:ascii="Times New Roman" w:hAnsi="Times New Roman" w:cs="Times New Roman"/>
                <w:color w:val="000000"/>
                <w:highlight w:val="none"/>
                <w:vertAlign w:val="subscript"/>
                <w:lang w:val="en-US" w:eastAsia="zh-CN"/>
              </w:rPr>
              <w:t>c</w:t>
            </w:r>
            <w:r>
              <w:rPr>
                <w:rFonts w:hint="default" w:ascii="Times New Roman" w:hAnsi="Times New Roman" w:cs="Times New Roman"/>
                <w:color w:val="000000"/>
                <w:highlight w:val="none"/>
                <w:lang w:val="en-US" w:eastAsia="zh-CN"/>
              </w:rPr>
              <w:t>+2d=</w:t>
            </w:r>
            <w:r>
              <w:rPr>
                <w:rFonts w:hint="default" w:ascii="Times New Roman" w:hAnsi="Times New Roman" w:eastAsia="宋体" w:cs="Times New Roman"/>
                <w:color w:val="000000"/>
                <w:highlight w:val="none"/>
                <w:lang w:val="en-US" w:eastAsia="zh-CN"/>
              </w:rPr>
              <w:t>135+2×20.5=176m，设计取176m。</w:t>
            </w:r>
          </w:p>
          <w:p w14:paraId="026C71D9">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本项目拟建设4个200HP泊位及3个600HP泊位，故码头长度=4×40+3×50=310m，码头采用双侧靠泊。</w:t>
            </w:r>
          </w:p>
          <w:p w14:paraId="3382B854">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（2）码头前沿设计水深</w:t>
            </w:r>
          </w:p>
          <w:p w14:paraId="31983223">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①渔船</w:t>
            </w:r>
          </w:p>
          <w:p w14:paraId="24FFFF27">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渔船泊位采用</w:t>
            </w:r>
            <w:r>
              <w:rPr>
                <w:rFonts w:hint="default" w:ascii="Times New Roman" w:hAnsi="Times New Roman" w:cs="Times New Roman"/>
                <w:color w:val="000000"/>
                <w:highlight w:val="none"/>
              </w:rPr>
              <w:t>《渔港总体设计规范》（SC/T 9010-2000）</w:t>
            </w:r>
            <w:r>
              <w:rPr>
                <w:rFonts w:hint="default" w:ascii="Times New Roman" w:hAnsi="Times New Roman" w:cs="Times New Roman"/>
                <w:color w:val="000000"/>
                <w:highlight w:val="none"/>
                <w:lang w:val="en-US" w:eastAsia="zh-CN"/>
              </w:rPr>
              <w:t>公式：</w:t>
            </w:r>
          </w:p>
          <w:p w14:paraId="662B3071">
            <w:pPr>
              <w:keepNext w:val="0"/>
              <w:keepLines w:val="0"/>
              <w:pageBreakBefore w:val="0"/>
              <w:widowControl w:val="0"/>
              <w:kinsoku/>
              <w:wordWrap/>
              <w:overflowPunct/>
              <w:topLinePunct w:val="0"/>
              <w:autoSpaceDE/>
              <w:autoSpaceDN/>
              <w:bidi w:val="0"/>
              <w:adjustRightInd/>
              <w:snapToGrid/>
              <w:ind w:left="0" w:leftChars="0" w:firstLine="480" w:firstLineChars="200"/>
              <w:jc w:val="center"/>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H=T+h</w:t>
            </w:r>
          </w:p>
          <w:p w14:paraId="40CE5ADE">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式中：H—码头前沿设计水深，m；</w:t>
            </w:r>
          </w:p>
          <w:p w14:paraId="1CA650CD">
            <w:pPr>
              <w:keepNext w:val="0"/>
              <w:keepLines w:val="0"/>
              <w:pageBreakBefore w:val="0"/>
              <w:widowControl w:val="0"/>
              <w:kinsoku/>
              <w:wordWrap/>
              <w:overflowPunct/>
              <w:topLinePunct w:val="0"/>
              <w:autoSpaceDE/>
              <w:autoSpaceDN/>
              <w:bidi w:val="0"/>
              <w:adjustRightInd/>
              <w:snapToGrid/>
              <w:ind w:firstLine="1200" w:firstLineChars="5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T—设计代表船型满载吃水，m；</w:t>
            </w:r>
          </w:p>
          <w:p w14:paraId="07F665C5">
            <w:pPr>
              <w:keepNext w:val="0"/>
              <w:keepLines w:val="0"/>
              <w:pageBreakBefore w:val="0"/>
              <w:widowControl w:val="0"/>
              <w:kinsoku/>
              <w:wordWrap/>
              <w:overflowPunct/>
              <w:topLinePunct w:val="0"/>
              <w:autoSpaceDE/>
              <w:autoSpaceDN/>
              <w:bidi w:val="0"/>
              <w:adjustRightInd/>
              <w:snapToGrid/>
              <w:ind w:firstLine="1200" w:firstLineChars="5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h—富裕水深，取为0.5m。</w:t>
            </w:r>
          </w:p>
          <w:p w14:paraId="4FB25E1E">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考虑码头建成后泥沙淤积，另增加回淤富裕量，取0.5m。</w:t>
            </w:r>
          </w:p>
          <w:p w14:paraId="4E827340">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计算结果：200HP渔船泊位：D=2.6+0.5+0.5=3.6m；</w:t>
            </w:r>
          </w:p>
          <w:p w14:paraId="0DFD2BC5">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600HP渔船泊位：D=3.3+0.5+0.5=4.3m。</w:t>
            </w:r>
          </w:p>
          <w:p w14:paraId="2E90B75F">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②3000t冷藏船及10000t散货船</w:t>
            </w:r>
          </w:p>
          <w:p w14:paraId="03E61E38">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泊位采用《海港总体设计规范》（JTS 165-2013）公式：</w:t>
            </w:r>
          </w:p>
          <w:p w14:paraId="2783AED9">
            <w:pPr>
              <w:keepNext w:val="0"/>
              <w:keepLines w:val="0"/>
              <w:pageBreakBefore w:val="0"/>
              <w:widowControl w:val="0"/>
              <w:kinsoku/>
              <w:wordWrap/>
              <w:overflowPunct/>
              <w:topLinePunct w:val="0"/>
              <w:autoSpaceDE/>
              <w:autoSpaceDN/>
              <w:bidi w:val="0"/>
              <w:adjustRightInd/>
              <w:snapToGrid/>
              <w:ind w:left="0" w:leftChars="0" w:firstLine="480" w:firstLineChars="200"/>
              <w:jc w:val="center"/>
              <w:textAlignment w:val="auto"/>
              <w:rPr>
                <w:rFonts w:hint="default" w:ascii="Times New Roman" w:hAnsi="Times New Roman" w:cs="Times New Roman"/>
                <w:color w:val="000000"/>
                <w:highlight w:val="none"/>
                <w:vertAlign w:val="subscript"/>
                <w:lang w:val="en-US" w:eastAsia="zh-CN"/>
              </w:rPr>
            </w:pPr>
            <w:r>
              <w:rPr>
                <w:rFonts w:hint="default" w:ascii="Times New Roman" w:hAnsi="Times New Roman" w:cs="Times New Roman"/>
                <w:color w:val="000000"/>
                <w:highlight w:val="none"/>
                <w:lang w:val="en-US" w:eastAsia="zh-CN"/>
              </w:rPr>
              <w:t>D=T+Z</w:t>
            </w:r>
            <w:r>
              <w:rPr>
                <w:rFonts w:hint="default" w:ascii="Times New Roman" w:hAnsi="Times New Roman" w:cs="Times New Roman"/>
                <w:color w:val="000000"/>
                <w:highlight w:val="none"/>
                <w:vertAlign w:val="subscript"/>
                <w:lang w:val="en-US" w:eastAsia="zh-CN"/>
              </w:rPr>
              <w:t>1</w:t>
            </w:r>
            <w:r>
              <w:rPr>
                <w:rFonts w:hint="default" w:ascii="Times New Roman" w:hAnsi="Times New Roman" w:cs="Times New Roman"/>
                <w:color w:val="000000"/>
                <w:highlight w:val="none"/>
                <w:lang w:val="en-US" w:eastAsia="zh-CN"/>
              </w:rPr>
              <w:t>+Z</w:t>
            </w:r>
            <w:r>
              <w:rPr>
                <w:rFonts w:hint="default" w:ascii="Times New Roman" w:hAnsi="Times New Roman" w:cs="Times New Roman"/>
                <w:color w:val="000000"/>
                <w:highlight w:val="none"/>
                <w:vertAlign w:val="subscript"/>
                <w:lang w:val="en-US" w:eastAsia="zh-CN"/>
              </w:rPr>
              <w:t>2</w:t>
            </w:r>
            <w:r>
              <w:rPr>
                <w:rFonts w:hint="default" w:ascii="Times New Roman" w:hAnsi="Times New Roman" w:cs="Times New Roman"/>
                <w:color w:val="000000"/>
                <w:highlight w:val="none"/>
                <w:lang w:val="en-US" w:eastAsia="zh-CN"/>
              </w:rPr>
              <w:t>+Z</w:t>
            </w:r>
            <w:r>
              <w:rPr>
                <w:rFonts w:hint="default" w:ascii="Times New Roman" w:hAnsi="Times New Roman" w:cs="Times New Roman"/>
                <w:color w:val="000000"/>
                <w:highlight w:val="none"/>
                <w:vertAlign w:val="subscript"/>
                <w:lang w:val="en-US" w:eastAsia="zh-CN"/>
              </w:rPr>
              <w:t>3</w:t>
            </w:r>
            <w:r>
              <w:rPr>
                <w:rFonts w:hint="default" w:ascii="Times New Roman" w:hAnsi="Times New Roman" w:cs="Times New Roman"/>
                <w:color w:val="000000"/>
                <w:highlight w:val="none"/>
                <w:lang w:val="en-US" w:eastAsia="zh-CN"/>
              </w:rPr>
              <w:t>+Z</w:t>
            </w:r>
            <w:r>
              <w:rPr>
                <w:rFonts w:hint="default" w:ascii="Times New Roman" w:hAnsi="Times New Roman" w:cs="Times New Roman"/>
                <w:color w:val="000000"/>
                <w:highlight w:val="none"/>
                <w:vertAlign w:val="subscript"/>
                <w:lang w:val="en-US" w:eastAsia="zh-CN"/>
              </w:rPr>
              <w:t>4</w:t>
            </w:r>
          </w:p>
          <w:p w14:paraId="6D6751B3">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式中：D—码头前沿设计水深，m；</w:t>
            </w:r>
          </w:p>
          <w:p w14:paraId="12F9F19D">
            <w:pPr>
              <w:keepNext w:val="0"/>
              <w:keepLines w:val="0"/>
              <w:pageBreakBefore w:val="0"/>
              <w:widowControl w:val="0"/>
              <w:kinsoku/>
              <w:wordWrap/>
              <w:overflowPunct/>
              <w:topLinePunct w:val="0"/>
              <w:autoSpaceDE/>
              <w:autoSpaceDN/>
              <w:bidi w:val="0"/>
              <w:adjustRightInd/>
              <w:snapToGrid/>
              <w:ind w:firstLine="1200" w:firstLineChars="5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T—设计代表船型满载吃水；</w:t>
            </w:r>
          </w:p>
          <w:p w14:paraId="6645DA1B">
            <w:pPr>
              <w:keepNext w:val="0"/>
              <w:keepLines w:val="0"/>
              <w:pageBreakBefore w:val="0"/>
              <w:widowControl w:val="0"/>
              <w:kinsoku/>
              <w:wordWrap/>
              <w:overflowPunct/>
              <w:topLinePunct w:val="0"/>
              <w:autoSpaceDE/>
              <w:autoSpaceDN/>
              <w:bidi w:val="0"/>
              <w:adjustRightInd/>
              <w:snapToGrid/>
              <w:ind w:firstLine="1200" w:firstLineChars="5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Z</w:t>
            </w:r>
            <w:r>
              <w:rPr>
                <w:rFonts w:hint="default" w:ascii="Times New Roman" w:hAnsi="Times New Roman" w:cs="Times New Roman"/>
                <w:color w:val="000000"/>
                <w:highlight w:val="none"/>
                <w:vertAlign w:val="subscript"/>
                <w:lang w:val="en-US" w:eastAsia="zh-CN"/>
              </w:rPr>
              <w:t>1</w:t>
            </w:r>
            <w:r>
              <w:rPr>
                <w:rFonts w:hint="default" w:ascii="Times New Roman" w:hAnsi="Times New Roman" w:cs="Times New Roman"/>
                <w:color w:val="000000"/>
                <w:highlight w:val="none"/>
                <w:lang w:val="en-US" w:eastAsia="zh-CN"/>
              </w:rPr>
              <w:t>—龙骨下富裕深度，重力式码头取0.6m；</w:t>
            </w:r>
          </w:p>
          <w:p w14:paraId="4C0A75FF">
            <w:pPr>
              <w:keepNext w:val="0"/>
              <w:keepLines w:val="0"/>
              <w:pageBreakBefore w:val="0"/>
              <w:widowControl w:val="0"/>
              <w:kinsoku/>
              <w:wordWrap/>
              <w:overflowPunct/>
              <w:topLinePunct w:val="0"/>
              <w:autoSpaceDE/>
              <w:autoSpaceDN/>
              <w:bidi w:val="0"/>
              <w:adjustRightInd/>
              <w:snapToGrid/>
              <w:ind w:firstLine="1200" w:firstLineChars="5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Z</w:t>
            </w:r>
            <w:r>
              <w:rPr>
                <w:rFonts w:hint="default" w:ascii="Times New Roman" w:hAnsi="Times New Roman" w:cs="Times New Roman"/>
                <w:color w:val="000000"/>
                <w:highlight w:val="none"/>
                <w:vertAlign w:val="subscript"/>
                <w:lang w:val="en-US" w:eastAsia="zh-CN"/>
              </w:rPr>
              <w:t>2</w:t>
            </w:r>
            <w:r>
              <w:rPr>
                <w:rFonts w:hint="default" w:ascii="Times New Roman" w:hAnsi="Times New Roman" w:cs="Times New Roman"/>
                <w:color w:val="000000"/>
                <w:highlight w:val="none"/>
                <w:lang w:val="en-US" w:eastAsia="zh-CN"/>
              </w:rPr>
              <w:t>—波浪富裕深度，取3000t冷藏船Z</w:t>
            </w:r>
            <w:r>
              <w:rPr>
                <w:rFonts w:hint="default" w:ascii="Times New Roman" w:hAnsi="Times New Roman" w:cs="Times New Roman"/>
                <w:color w:val="000000"/>
                <w:highlight w:val="none"/>
                <w:vertAlign w:val="subscript"/>
                <w:lang w:val="en-US" w:eastAsia="zh-CN"/>
              </w:rPr>
              <w:t>2</w:t>
            </w:r>
            <w:r>
              <w:rPr>
                <w:rFonts w:hint="default" w:ascii="Times New Roman" w:hAnsi="Times New Roman" w:cs="Times New Roman"/>
                <w:color w:val="000000"/>
                <w:highlight w:val="none"/>
                <w:lang w:val="en-US" w:eastAsia="zh-CN"/>
              </w:rPr>
              <w:t>=0，10000t散货船Z</w:t>
            </w:r>
            <w:r>
              <w:rPr>
                <w:rFonts w:hint="default" w:ascii="Times New Roman" w:hAnsi="Times New Roman" w:cs="Times New Roman"/>
                <w:color w:val="000000"/>
                <w:highlight w:val="none"/>
                <w:vertAlign w:val="subscript"/>
                <w:lang w:val="en-US" w:eastAsia="zh-CN"/>
              </w:rPr>
              <w:t>2</w:t>
            </w:r>
            <w:r>
              <w:rPr>
                <w:rFonts w:hint="default" w:ascii="Times New Roman" w:hAnsi="Times New Roman" w:cs="Times New Roman"/>
                <w:color w:val="000000"/>
                <w:highlight w:val="none"/>
                <w:lang w:val="en-US" w:eastAsia="zh-CN"/>
              </w:rPr>
              <w:t>=0.5；</w:t>
            </w:r>
          </w:p>
          <w:p w14:paraId="6C6516F6">
            <w:pPr>
              <w:keepNext w:val="0"/>
              <w:keepLines w:val="0"/>
              <w:pageBreakBefore w:val="0"/>
              <w:widowControl w:val="0"/>
              <w:kinsoku/>
              <w:wordWrap/>
              <w:overflowPunct/>
              <w:topLinePunct w:val="0"/>
              <w:autoSpaceDE/>
              <w:autoSpaceDN/>
              <w:bidi w:val="0"/>
              <w:adjustRightInd/>
              <w:snapToGrid/>
              <w:ind w:firstLine="1200" w:firstLineChars="5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Z</w:t>
            </w:r>
            <w:r>
              <w:rPr>
                <w:rFonts w:hint="default" w:ascii="Times New Roman" w:hAnsi="Times New Roman" w:cs="Times New Roman"/>
                <w:color w:val="000000"/>
                <w:highlight w:val="none"/>
                <w:vertAlign w:val="subscript"/>
                <w:lang w:val="en-US" w:eastAsia="zh-CN"/>
              </w:rPr>
              <w:t>3</w:t>
            </w:r>
            <w:r>
              <w:rPr>
                <w:rFonts w:hint="default" w:ascii="Times New Roman" w:hAnsi="Times New Roman" w:cs="Times New Roman"/>
                <w:color w:val="000000"/>
                <w:highlight w:val="none"/>
                <w:lang w:val="en-US" w:eastAsia="zh-CN"/>
              </w:rPr>
              <w:t>—船舶因配载不均而增加尾吃水，取Z</w:t>
            </w:r>
            <w:r>
              <w:rPr>
                <w:rFonts w:hint="default" w:ascii="Times New Roman" w:hAnsi="Times New Roman" w:cs="Times New Roman"/>
                <w:color w:val="000000"/>
                <w:highlight w:val="none"/>
                <w:vertAlign w:val="subscript"/>
                <w:lang w:val="en-US" w:eastAsia="zh-CN"/>
              </w:rPr>
              <w:t>3</w:t>
            </w:r>
            <w:r>
              <w:rPr>
                <w:rFonts w:hint="default" w:ascii="Times New Roman" w:hAnsi="Times New Roman" w:cs="Times New Roman"/>
                <w:color w:val="000000"/>
                <w:highlight w:val="none"/>
                <w:lang w:val="en-US" w:eastAsia="zh-CN"/>
              </w:rPr>
              <w:t>=0.15；</w:t>
            </w:r>
          </w:p>
          <w:p w14:paraId="267FAFDD">
            <w:pPr>
              <w:keepNext w:val="0"/>
              <w:keepLines w:val="0"/>
              <w:pageBreakBefore w:val="0"/>
              <w:widowControl w:val="0"/>
              <w:kinsoku/>
              <w:wordWrap/>
              <w:overflowPunct/>
              <w:topLinePunct w:val="0"/>
              <w:autoSpaceDE/>
              <w:autoSpaceDN/>
              <w:bidi w:val="0"/>
              <w:adjustRightInd/>
              <w:snapToGrid/>
              <w:ind w:firstLine="1200" w:firstLineChars="5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Z</w:t>
            </w:r>
            <w:r>
              <w:rPr>
                <w:rFonts w:hint="default" w:ascii="Times New Roman" w:hAnsi="Times New Roman" w:cs="Times New Roman"/>
                <w:color w:val="000000"/>
                <w:highlight w:val="none"/>
                <w:vertAlign w:val="subscript"/>
                <w:lang w:val="en-US" w:eastAsia="zh-CN"/>
              </w:rPr>
              <w:t>4</w:t>
            </w:r>
            <w:r>
              <w:rPr>
                <w:rFonts w:hint="default" w:ascii="Times New Roman" w:hAnsi="Times New Roman" w:cs="Times New Roman"/>
                <w:color w:val="000000"/>
                <w:highlight w:val="none"/>
                <w:lang w:val="en-US" w:eastAsia="zh-CN"/>
              </w:rPr>
              <w:t>—备淤富裕深度，取0.6m。</w:t>
            </w:r>
          </w:p>
          <w:p w14:paraId="2CB108E1">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计算结果：3000t冷藏船泊位：D=7.32+0.6+0+0.15+0.6=8.67m；</w:t>
            </w:r>
          </w:p>
          <w:p w14:paraId="17861EDE">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10000t散货船泊位：D=8.5+0.6+0.5+0.15+0.6=10.35m。</w:t>
            </w:r>
          </w:p>
          <w:p w14:paraId="38A3EC07">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（3）码头前沿设计底高程</w:t>
            </w:r>
          </w:p>
          <w:p w14:paraId="4565B5A0">
            <w:pPr>
              <w:keepNext w:val="0"/>
              <w:keepLines w:val="0"/>
              <w:pageBreakBefore w:val="0"/>
              <w:widowControl w:val="0"/>
              <w:kinsoku/>
              <w:wordWrap/>
              <w:overflowPunct/>
              <w:topLinePunct w:val="0"/>
              <w:autoSpaceDE/>
              <w:autoSpaceDN/>
              <w:bidi w:val="0"/>
              <w:adjustRightInd/>
              <w:snapToGrid/>
              <w:ind w:left="0" w:leftChars="0" w:firstLine="480" w:firstLineChars="200"/>
              <w:jc w:val="center"/>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H=设计低水位-D=-2.76-D</w:t>
            </w:r>
          </w:p>
          <w:p w14:paraId="40418955">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200HP渔船泊位：H=-2.76-3.6=-6.36m；</w:t>
            </w:r>
          </w:p>
          <w:p w14:paraId="737835FF">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600HP渔船泊位：H=-2.76-4.3=-7.06m；</w:t>
            </w:r>
          </w:p>
          <w:p w14:paraId="52F10F77">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3000t冷藏船：H=-2.76-8.67=-11.43m；</w:t>
            </w:r>
          </w:p>
          <w:p w14:paraId="46104842">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10000t散货船：H=-2.76-10.35=-13.21m。</w:t>
            </w:r>
          </w:p>
          <w:p w14:paraId="3DE0559D">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根据港内水深条件及码头结构型式，设计取200HP码头前沿底高程为-6.40m，600HP码头前沿底高程为-7.10m，3000t冷藏船前沿底高程为-11.50m，10000t散货船前沿底高程为-13.30m。</w:t>
            </w:r>
          </w:p>
          <w:p w14:paraId="187ED152">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（4）码头前沿停泊水域宽度</w:t>
            </w:r>
          </w:p>
          <w:p w14:paraId="75A12781">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码头前沿停泊水域宽度：</w:t>
            </w:r>
          </w:p>
          <w:p w14:paraId="10A69135">
            <w:pPr>
              <w:keepNext w:val="0"/>
              <w:keepLines w:val="0"/>
              <w:pageBreakBefore w:val="0"/>
              <w:widowControl w:val="0"/>
              <w:kinsoku/>
              <w:wordWrap/>
              <w:overflowPunct/>
              <w:topLinePunct w:val="0"/>
              <w:autoSpaceDE/>
              <w:autoSpaceDN/>
              <w:bidi w:val="0"/>
              <w:adjustRightInd/>
              <w:snapToGrid/>
              <w:ind w:left="0" w:leftChars="0" w:firstLine="480" w:firstLineChars="200"/>
              <w:jc w:val="center"/>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B=2b</w:t>
            </w:r>
          </w:p>
          <w:p w14:paraId="42D29EDB">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式中：B—停泊水域宽度；</w:t>
            </w:r>
          </w:p>
          <w:p w14:paraId="107F35B3">
            <w:pPr>
              <w:keepNext w:val="0"/>
              <w:keepLines w:val="0"/>
              <w:pageBreakBefore w:val="0"/>
              <w:widowControl w:val="0"/>
              <w:kinsoku/>
              <w:wordWrap/>
              <w:overflowPunct/>
              <w:topLinePunct w:val="0"/>
              <w:autoSpaceDE/>
              <w:autoSpaceDN/>
              <w:bidi w:val="0"/>
              <w:adjustRightInd/>
              <w:snapToGrid/>
              <w:ind w:firstLine="1200" w:firstLineChars="5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b—设计船型宽度。</w:t>
            </w:r>
          </w:p>
          <w:p w14:paraId="08A55AB2">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计算结果：</w:t>
            </w:r>
          </w:p>
          <w:p w14:paraId="2F8656E1">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200HP渔船泊位：B=2×6=12.0m；</w:t>
            </w:r>
          </w:p>
          <w:p w14:paraId="52F081FC">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600HP渔船泊位：B=2×7.2=14.4m；</w:t>
            </w:r>
          </w:p>
          <w:p w14:paraId="3F17A243">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3000t冷藏船：B=2×16.5=33.0m；</w:t>
            </w:r>
          </w:p>
          <w:p w14:paraId="2D6216D1">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10000t散货船：B=2×20.5=41m。</w:t>
            </w:r>
          </w:p>
          <w:p w14:paraId="6D360E2C">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设计取200HP渔船停泊水域宽度14m，600HP渔船泊位停泊水域宽度15m，3000t冷藏船泊位停泊水域宽度33m，10000t散货船停泊水域宽度为41m。</w:t>
            </w:r>
          </w:p>
          <w:p w14:paraId="66B0B420">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（5）回转水域尺度D</w:t>
            </w:r>
          </w:p>
          <w:p w14:paraId="7CE1722E">
            <w:pPr>
              <w:keepNext w:val="0"/>
              <w:keepLines w:val="0"/>
              <w:pageBreakBefore w:val="0"/>
              <w:widowControl w:val="0"/>
              <w:kinsoku/>
              <w:wordWrap/>
              <w:overflowPunct/>
              <w:topLinePunct w:val="0"/>
              <w:autoSpaceDE/>
              <w:autoSpaceDN/>
              <w:bidi w:val="0"/>
              <w:adjustRightInd/>
              <w:snapToGrid/>
              <w:ind w:left="0" w:leftChars="0" w:firstLine="480" w:firstLineChars="200"/>
              <w:jc w:val="center"/>
              <w:textAlignment w:val="auto"/>
              <w:rPr>
                <w:rFonts w:hint="default" w:ascii="Times New Roman" w:hAnsi="Times New Roman" w:cs="Times New Roman"/>
                <w:color w:val="000000"/>
                <w:highlight w:val="none"/>
                <w:vertAlign w:val="subscript"/>
                <w:lang w:val="en-US" w:eastAsia="zh-CN"/>
              </w:rPr>
            </w:pPr>
            <w:r>
              <w:rPr>
                <w:rFonts w:hint="default" w:ascii="Times New Roman" w:hAnsi="Times New Roman" w:cs="Times New Roman"/>
                <w:color w:val="000000"/>
                <w:highlight w:val="none"/>
                <w:lang w:val="en-US" w:eastAsia="zh-CN"/>
              </w:rPr>
              <w:t>D=（1.5～2.5）L</w:t>
            </w:r>
            <w:r>
              <w:rPr>
                <w:rFonts w:hint="default" w:ascii="Times New Roman" w:hAnsi="Times New Roman" w:cs="Times New Roman"/>
                <w:color w:val="000000"/>
                <w:highlight w:val="none"/>
                <w:vertAlign w:val="subscript"/>
                <w:lang w:val="en-US" w:eastAsia="zh-CN"/>
              </w:rPr>
              <w:t>C</w:t>
            </w:r>
          </w:p>
          <w:p w14:paraId="730719D3">
            <w:pPr>
              <w:keepNext w:val="0"/>
              <w:keepLines w:val="0"/>
              <w:pageBreakBefore w:val="0"/>
              <w:widowControl w:val="0"/>
              <w:kinsoku/>
              <w:wordWrap/>
              <w:overflowPunct/>
              <w:topLinePunct w:val="0"/>
              <w:autoSpaceDE/>
              <w:autoSpaceDN/>
              <w:bidi w:val="0"/>
              <w:adjustRightInd/>
              <w:snapToGrid/>
              <w:ind w:left="0" w:leftChars="0"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式中：L</w:t>
            </w:r>
            <w:r>
              <w:rPr>
                <w:rFonts w:hint="default" w:ascii="Times New Roman" w:hAnsi="Times New Roman" w:cs="Times New Roman"/>
                <w:color w:val="000000"/>
                <w:highlight w:val="none"/>
                <w:vertAlign w:val="subscript"/>
                <w:lang w:val="en-US" w:eastAsia="zh-CN"/>
              </w:rPr>
              <w:t>C</w:t>
            </w:r>
            <w:r>
              <w:rPr>
                <w:rFonts w:hint="default" w:ascii="Times New Roman" w:hAnsi="Times New Roman" w:cs="Times New Roman"/>
                <w:color w:val="000000"/>
                <w:highlight w:val="none"/>
                <w:lang w:val="en-US" w:eastAsia="zh-CN"/>
              </w:rPr>
              <w:t>—设计代表船型总长。</w:t>
            </w:r>
          </w:p>
          <w:p w14:paraId="775BC97D">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计算结果：</w:t>
            </w:r>
          </w:p>
          <w:p w14:paraId="4A78B31A">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200HP渔船泊位：B=（1.5～2.5）×31.88=47.8～79.7m；</w:t>
            </w:r>
          </w:p>
          <w:p w14:paraId="61E16ACB">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600HP渔船泊位：B=（1.5～2.5）×40.5=60.8～101.3m；</w:t>
            </w:r>
          </w:p>
          <w:p w14:paraId="4B069C1C">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3000t冷藏船泊位：B=（1.5～2.5）×120=180.0～300.0m；</w:t>
            </w:r>
          </w:p>
          <w:p w14:paraId="68C085FB">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10000t散货船泊位：B=（1.5～2.5）×135=202.5～337.5m；</w:t>
            </w:r>
          </w:p>
          <w:p w14:paraId="33721B8B">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由于本项目码头布置于渔港外港，受外海波浪影响，设计取200HP渔船泊位回转水域尺度为80m，沿码头全长布置；600HP渔船泊位回转水域尺度为100m，沿码头全长布置；3000t冷藏船泊位回转水域尺度为直径200m回转圆；10000t散货船泊位回转水域尺度为直径220m回转圆。</w:t>
            </w:r>
          </w:p>
          <w:p w14:paraId="0DE2A6F8">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（6）回转水域底高程</w:t>
            </w:r>
          </w:p>
          <w:p w14:paraId="7F0052C0">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根据</w:t>
            </w:r>
            <w:r>
              <w:rPr>
                <w:rFonts w:hint="default" w:ascii="Times New Roman" w:hAnsi="Times New Roman" w:cs="Times New Roman"/>
                <w:color w:val="000000"/>
                <w:highlight w:val="none"/>
              </w:rPr>
              <w:t>《渔港总体设计规范》（SC/T 9010-2000）</w:t>
            </w:r>
            <w:r>
              <w:rPr>
                <w:rFonts w:hint="default" w:ascii="Times New Roman" w:hAnsi="Times New Roman" w:cs="Times New Roman"/>
                <w:color w:val="000000"/>
                <w:highlight w:val="none"/>
                <w:lang w:val="en-US" w:eastAsia="zh-CN"/>
              </w:rPr>
              <w:t>，回转水域底高程设计取与码头前沿设计底高程一致，即200HP渔船回转水域底高程为-6.40m，600HP泊位回转水域底高程均为-7.10m；3000t冷藏船及10000t散货船泊位回转水域尺度为直径200m和220m回转圆位所在回转水域-4.20~-9.50m之间，但大部分水域-9.0~-9.5m之间，结合回转水域附近水深在-8.0~-10.0之间，考虑乘潮停靠，回转水域底高程为港池天然水深即-4.20~-9.50m，回转水域不疏浚。</w:t>
            </w:r>
          </w:p>
          <w:p w14:paraId="5FA65BCE">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（7）口门宽度设计</w:t>
            </w:r>
          </w:p>
          <w:p w14:paraId="2AEF3CFE">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口门宽度设计依据</w:t>
            </w:r>
            <w:r>
              <w:rPr>
                <w:rFonts w:hint="default" w:ascii="Times New Roman" w:hAnsi="Times New Roman" w:cs="Times New Roman"/>
                <w:color w:val="000000"/>
                <w:highlight w:val="none"/>
              </w:rPr>
              <w:t>《渔港总体设计规范》（SC/T 9010-2000）</w:t>
            </w:r>
            <w:r>
              <w:rPr>
                <w:rFonts w:hint="default" w:ascii="Times New Roman" w:hAnsi="Times New Roman" w:cs="Times New Roman"/>
                <w:color w:val="000000"/>
                <w:highlight w:val="none"/>
                <w:lang w:val="en-US" w:eastAsia="zh-CN"/>
              </w:rPr>
              <w:t>来确定。本项目设有南、北口门，南口门水深条件较好，为渔船习惯进港航线，南口门宽设120m，仅考虑600HP及以下渔船进港，因3000t冷藏船及10000t散货船主要在南堤外侧停靠卸货，不考虑其进港口门尺度，可从北口门乘潮进港，北口门较宽（244m），故口门宽度计算仅考虑南口门。</w:t>
            </w:r>
          </w:p>
          <w:p w14:paraId="3C4B1131">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①按照</w:t>
            </w:r>
            <w:r>
              <w:rPr>
                <w:rFonts w:hint="default" w:ascii="Times New Roman" w:hAnsi="Times New Roman" w:cs="Times New Roman"/>
                <w:color w:val="000000"/>
                <w:highlight w:val="none"/>
              </w:rPr>
              <w:t>《渔港总体设计规范》（SC/T 9010-2000）</w:t>
            </w:r>
            <w:r>
              <w:rPr>
                <w:rFonts w:hint="default" w:ascii="Times New Roman" w:hAnsi="Times New Roman" w:cs="Times New Roman"/>
                <w:color w:val="000000"/>
                <w:highlight w:val="none"/>
                <w:lang w:val="en-US" w:eastAsia="zh-CN"/>
              </w:rPr>
              <w:t>8.9.4条规定“口门有效宽度应取1.5~2.0倍设计代表船型全长，大船取小值，小船取大值”。口门宽度计算如下：</w:t>
            </w:r>
          </w:p>
          <w:p w14:paraId="3D6AFB73">
            <w:pPr>
              <w:keepNext w:val="0"/>
              <w:keepLines w:val="0"/>
              <w:pageBreakBefore w:val="0"/>
              <w:widowControl w:val="0"/>
              <w:kinsoku/>
              <w:wordWrap/>
              <w:overflowPunct/>
              <w:topLinePunct w:val="0"/>
              <w:autoSpaceDE/>
              <w:autoSpaceDN/>
              <w:bidi w:val="0"/>
              <w:adjustRightInd/>
              <w:snapToGrid/>
              <w:ind w:left="0" w:leftChars="0" w:firstLine="480" w:firstLineChars="200"/>
              <w:jc w:val="center"/>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B</w:t>
            </w:r>
            <w:r>
              <w:rPr>
                <w:rFonts w:hint="default" w:ascii="Times New Roman" w:hAnsi="Times New Roman" w:cs="Times New Roman"/>
                <w:color w:val="000000"/>
                <w:highlight w:val="none"/>
                <w:vertAlign w:val="subscript"/>
                <w:lang w:val="en-US" w:eastAsia="zh-CN"/>
              </w:rPr>
              <w:t>1</w:t>
            </w:r>
            <w:r>
              <w:rPr>
                <w:rFonts w:hint="default" w:ascii="Times New Roman" w:hAnsi="Times New Roman" w:cs="Times New Roman"/>
                <w:color w:val="000000"/>
                <w:highlight w:val="none"/>
                <w:lang w:val="en-US" w:eastAsia="zh-CN"/>
              </w:rPr>
              <w:t>=（1.5~2.0）L</w:t>
            </w:r>
            <w:r>
              <w:rPr>
                <w:rFonts w:hint="default" w:ascii="Times New Roman" w:hAnsi="Times New Roman" w:cs="Times New Roman"/>
                <w:color w:val="000000"/>
                <w:highlight w:val="none"/>
                <w:vertAlign w:val="subscript"/>
                <w:lang w:val="en-US" w:eastAsia="zh-CN"/>
              </w:rPr>
              <w:t>C</w:t>
            </w:r>
          </w:p>
          <w:p w14:paraId="5DBD90E2">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式中：L</w:t>
            </w:r>
            <w:r>
              <w:rPr>
                <w:rFonts w:hint="default" w:ascii="Times New Roman" w:hAnsi="Times New Roman" w:cs="Times New Roman"/>
                <w:color w:val="000000"/>
                <w:highlight w:val="none"/>
                <w:vertAlign w:val="subscript"/>
                <w:lang w:val="en-US" w:eastAsia="zh-CN"/>
              </w:rPr>
              <w:t>C</w:t>
            </w:r>
            <w:r>
              <w:rPr>
                <w:rFonts w:hint="default" w:ascii="Times New Roman" w:hAnsi="Times New Roman" w:cs="Times New Roman"/>
                <w:color w:val="000000"/>
                <w:highlight w:val="none"/>
                <w:lang w:val="en-US" w:eastAsia="zh-CN"/>
              </w:rPr>
              <w:t>—设计代表船型全长；</w:t>
            </w:r>
          </w:p>
          <w:p w14:paraId="0F0FD36D">
            <w:pPr>
              <w:keepNext w:val="0"/>
              <w:keepLines w:val="0"/>
              <w:pageBreakBefore w:val="0"/>
              <w:widowControl w:val="0"/>
              <w:kinsoku/>
              <w:wordWrap/>
              <w:overflowPunct/>
              <w:topLinePunct w:val="0"/>
              <w:autoSpaceDE/>
              <w:autoSpaceDN/>
              <w:bidi w:val="0"/>
              <w:adjustRightInd/>
              <w:snapToGrid/>
              <w:ind w:firstLine="1200" w:firstLineChars="5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B</w:t>
            </w:r>
            <w:r>
              <w:rPr>
                <w:rFonts w:hint="default" w:ascii="Times New Roman" w:hAnsi="Times New Roman" w:cs="Times New Roman"/>
                <w:color w:val="000000"/>
                <w:highlight w:val="none"/>
                <w:vertAlign w:val="subscript"/>
                <w:lang w:val="en-US" w:eastAsia="zh-CN"/>
              </w:rPr>
              <w:t>1</w:t>
            </w:r>
            <w:r>
              <w:rPr>
                <w:rFonts w:hint="default" w:ascii="Times New Roman" w:hAnsi="Times New Roman" w:cs="Times New Roman"/>
                <w:color w:val="000000"/>
                <w:highlight w:val="none"/>
                <w:lang w:val="en-US" w:eastAsia="zh-CN"/>
              </w:rPr>
              <w:t>—口门有效宽度。</w:t>
            </w:r>
          </w:p>
          <w:p w14:paraId="50CCE663">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经计算：B</w:t>
            </w:r>
            <w:r>
              <w:rPr>
                <w:rFonts w:hint="default" w:ascii="Times New Roman" w:hAnsi="Times New Roman" w:cs="Times New Roman"/>
                <w:color w:val="000000"/>
                <w:highlight w:val="none"/>
                <w:vertAlign w:val="subscript"/>
                <w:lang w:val="en-US" w:eastAsia="zh-CN"/>
              </w:rPr>
              <w:t>1</w:t>
            </w:r>
            <w:r>
              <w:rPr>
                <w:rFonts w:hint="default" w:ascii="Times New Roman" w:hAnsi="Times New Roman" w:cs="Times New Roman"/>
                <w:color w:val="000000"/>
                <w:highlight w:val="none"/>
                <w:lang w:val="en-US" w:eastAsia="zh-CN"/>
              </w:rPr>
              <w:t>=（1.5~2.0）×40.5=60.75~81m。</w:t>
            </w:r>
          </w:p>
          <w:p w14:paraId="2879F117">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②按《海港总体设计规范》（JTS 165-2013）口门有效宽度按照不小于1.0倍的设计船长计算。因此，本项目口门宽度应不小于600HP渔船全长，即口门有效宽度不小于40.5m。</w:t>
            </w:r>
          </w:p>
          <w:p w14:paraId="07E6DFD7">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u w:val="none"/>
                <w:lang w:val="en-US" w:eastAsia="zh-CN"/>
              </w:rPr>
            </w:pPr>
            <w:r>
              <w:rPr>
                <w:rFonts w:hint="default" w:ascii="Times New Roman" w:hAnsi="Times New Roman" w:cs="Times New Roman"/>
                <w:color w:val="000000"/>
                <w:highlight w:val="none"/>
                <w:lang w:val="en-US" w:eastAsia="zh-CN"/>
              </w:rPr>
              <w:t>本项目南侧通航口门有效宽度为65m，大于600HP渔船进港口门有效宽度，能满足渔船安全通行的要求。</w:t>
            </w:r>
          </w:p>
          <w:p w14:paraId="652320F6">
            <w:pPr>
              <w:pStyle w:val="5"/>
              <w:bidi w:val="0"/>
              <w:ind w:left="850" w:leftChars="0" w:hanging="850" w:firstLineChars="0"/>
              <w:rPr>
                <w:rFonts w:hint="default"/>
                <w:lang w:val="en-US" w:eastAsia="zh-CN"/>
              </w:rPr>
            </w:pPr>
            <w:r>
              <w:rPr>
                <w:rFonts w:hint="default"/>
                <w:lang w:val="en-US" w:eastAsia="zh-CN"/>
              </w:rPr>
              <w:t>航道和锚地</w:t>
            </w:r>
          </w:p>
          <w:p w14:paraId="1F8DA096">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本港区主要考虑200HP、600HP渔船双线通航进港。</w:t>
            </w:r>
          </w:p>
          <w:p w14:paraId="32D8F9C2">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（1）航道现状</w:t>
            </w:r>
          </w:p>
          <w:p w14:paraId="6F739202">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本港口门及冷藏船泊位处天然底高程为-7.00m~-9.00m之间，基本可满足600HP渔船全天候进出港需要。</w:t>
            </w:r>
          </w:p>
          <w:p w14:paraId="4BEA5B20">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（2）航道宽度</w:t>
            </w:r>
          </w:p>
          <w:p w14:paraId="2FFA5E78">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①根据</w:t>
            </w:r>
            <w:r>
              <w:rPr>
                <w:rFonts w:hint="default" w:ascii="Times New Roman" w:hAnsi="Times New Roman" w:cs="Times New Roman"/>
                <w:color w:val="000000"/>
                <w:highlight w:val="none"/>
              </w:rPr>
              <w:t>《渔港总体设计规范》（SC/T 9010-2000）</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工程考虑采用双向航道设计，航道宽度计算如下：</w:t>
            </w:r>
          </w:p>
          <w:p w14:paraId="521A000B">
            <w:pPr>
              <w:keepNext w:val="0"/>
              <w:keepLines w:val="0"/>
              <w:pageBreakBefore w:val="0"/>
              <w:widowControl w:val="0"/>
              <w:kinsoku/>
              <w:wordWrap/>
              <w:overflowPunct/>
              <w:topLinePunct w:val="0"/>
              <w:autoSpaceDE/>
              <w:autoSpaceDN/>
              <w:bidi w:val="0"/>
              <w:adjustRightInd/>
              <w:snapToGrid/>
              <w:ind w:left="0" w:leftChars="0" w:firstLine="480" w:firstLineChars="200"/>
              <w:jc w:val="center"/>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B</w:t>
            </w:r>
            <w:r>
              <w:rPr>
                <w:rFonts w:hint="default" w:ascii="Times New Roman" w:hAnsi="Times New Roman" w:cs="Times New Roman"/>
                <w:color w:val="000000"/>
                <w:highlight w:val="none"/>
                <w:vertAlign w:val="subscript"/>
                <w:lang w:val="en-US" w:eastAsia="zh-CN"/>
              </w:rPr>
              <w:t>1</w:t>
            </w:r>
            <w:r>
              <w:rPr>
                <w:rFonts w:hint="default" w:ascii="Times New Roman" w:hAnsi="Times New Roman" w:cs="Times New Roman"/>
                <w:color w:val="000000"/>
                <w:highlight w:val="none"/>
                <w:lang w:val="en-US" w:eastAsia="zh-CN"/>
              </w:rPr>
              <w:t>=（6~8）Bc</w:t>
            </w:r>
          </w:p>
          <w:p w14:paraId="5618E8F1">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式中：B</w:t>
            </w:r>
            <w:r>
              <w:rPr>
                <w:rFonts w:hint="default" w:ascii="Times New Roman" w:hAnsi="Times New Roman" w:cs="Times New Roman"/>
                <w:color w:val="000000"/>
                <w:highlight w:val="none"/>
                <w:vertAlign w:val="subscript"/>
                <w:lang w:val="en-US" w:eastAsia="zh-CN"/>
              </w:rPr>
              <w:t>1</w:t>
            </w:r>
            <w:r>
              <w:rPr>
                <w:rFonts w:hint="default" w:ascii="Times New Roman" w:hAnsi="Times New Roman" w:cs="Times New Roman"/>
                <w:color w:val="000000"/>
                <w:highlight w:val="none"/>
                <w:lang w:val="en-US" w:eastAsia="zh-CN"/>
              </w:rPr>
              <w:t>—航道有效宽度；</w:t>
            </w:r>
          </w:p>
          <w:p w14:paraId="6FB1C270">
            <w:pPr>
              <w:keepNext w:val="0"/>
              <w:keepLines w:val="0"/>
              <w:pageBreakBefore w:val="0"/>
              <w:widowControl w:val="0"/>
              <w:kinsoku/>
              <w:wordWrap/>
              <w:overflowPunct/>
              <w:topLinePunct w:val="0"/>
              <w:autoSpaceDE/>
              <w:autoSpaceDN/>
              <w:bidi w:val="0"/>
              <w:adjustRightInd/>
              <w:snapToGrid/>
              <w:ind w:firstLine="1200" w:firstLineChars="5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Bc—设计代表船型宽度。</w:t>
            </w:r>
          </w:p>
          <w:p w14:paraId="0B29141F">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计算结果：600HP渔船航道宽度=43.2~57.6m。</w:t>
            </w:r>
          </w:p>
          <w:p w14:paraId="66E8A79B">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②根据《海港总体设计规范》（JTS 165-2013）：</w:t>
            </w:r>
          </w:p>
          <w:p w14:paraId="6ED8DAC1">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单线航道：W=A+2c；</w:t>
            </w:r>
          </w:p>
          <w:p w14:paraId="486845EF">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双线航道：W=2A+b+2c，A=n（Lsinγ+B）。</w:t>
            </w:r>
          </w:p>
          <w:p w14:paraId="2C16D405">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式中：A—航迹带宽度；</w:t>
            </w:r>
          </w:p>
          <w:p w14:paraId="4C90BBB1">
            <w:pPr>
              <w:keepNext w:val="0"/>
              <w:keepLines w:val="0"/>
              <w:pageBreakBefore w:val="0"/>
              <w:widowControl w:val="0"/>
              <w:kinsoku/>
              <w:wordWrap/>
              <w:overflowPunct/>
              <w:topLinePunct w:val="0"/>
              <w:autoSpaceDE/>
              <w:autoSpaceDN/>
              <w:bidi w:val="0"/>
              <w:adjustRightInd/>
              <w:snapToGrid/>
              <w:ind w:firstLine="1200" w:firstLineChars="5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n—船舶漂移倍数；</w:t>
            </w:r>
          </w:p>
          <w:p w14:paraId="7FF66CB6">
            <w:pPr>
              <w:keepNext w:val="0"/>
              <w:keepLines w:val="0"/>
              <w:pageBreakBefore w:val="0"/>
              <w:widowControl w:val="0"/>
              <w:kinsoku/>
              <w:wordWrap/>
              <w:overflowPunct/>
              <w:topLinePunct w:val="0"/>
              <w:autoSpaceDE/>
              <w:autoSpaceDN/>
              <w:bidi w:val="0"/>
              <w:adjustRightInd/>
              <w:snapToGrid/>
              <w:ind w:firstLine="1200" w:firstLineChars="5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γ—风、流压偏角；</w:t>
            </w:r>
          </w:p>
          <w:p w14:paraId="500EAE8F">
            <w:pPr>
              <w:keepNext w:val="0"/>
              <w:keepLines w:val="0"/>
              <w:pageBreakBefore w:val="0"/>
              <w:widowControl w:val="0"/>
              <w:kinsoku/>
              <w:wordWrap/>
              <w:overflowPunct/>
              <w:topLinePunct w:val="0"/>
              <w:autoSpaceDE/>
              <w:autoSpaceDN/>
              <w:bidi w:val="0"/>
              <w:adjustRightInd/>
              <w:snapToGrid/>
              <w:ind w:firstLine="1200" w:firstLineChars="5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b—船舶间富裕宽度，取设计船宽B；</w:t>
            </w:r>
          </w:p>
          <w:p w14:paraId="4BAC5F69">
            <w:pPr>
              <w:keepNext w:val="0"/>
              <w:keepLines w:val="0"/>
              <w:pageBreakBefore w:val="0"/>
              <w:widowControl w:val="0"/>
              <w:kinsoku/>
              <w:wordWrap/>
              <w:overflowPunct/>
              <w:topLinePunct w:val="0"/>
              <w:autoSpaceDE/>
              <w:autoSpaceDN/>
              <w:bidi w:val="0"/>
              <w:adjustRightInd/>
              <w:snapToGrid/>
              <w:ind w:firstLine="1200" w:firstLineChars="5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c—船舶与航道底边间的富裕宽度，渔船取0.5B；</w:t>
            </w:r>
          </w:p>
          <w:p w14:paraId="11EEB078">
            <w:pPr>
              <w:keepNext w:val="0"/>
              <w:keepLines w:val="0"/>
              <w:pageBreakBefore w:val="0"/>
              <w:widowControl w:val="0"/>
              <w:kinsoku/>
              <w:wordWrap/>
              <w:overflowPunct/>
              <w:topLinePunct w:val="0"/>
              <w:autoSpaceDE/>
              <w:autoSpaceDN/>
              <w:bidi w:val="0"/>
              <w:adjustRightInd/>
              <w:snapToGrid/>
              <w:ind w:firstLine="1200" w:firstLineChars="5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L—设计船长；</w:t>
            </w:r>
          </w:p>
          <w:p w14:paraId="54CD0D1D">
            <w:pPr>
              <w:keepNext w:val="0"/>
              <w:keepLines w:val="0"/>
              <w:pageBreakBefore w:val="0"/>
              <w:widowControl w:val="0"/>
              <w:kinsoku/>
              <w:wordWrap/>
              <w:overflowPunct/>
              <w:topLinePunct w:val="0"/>
              <w:autoSpaceDE/>
              <w:autoSpaceDN/>
              <w:bidi w:val="0"/>
              <w:adjustRightInd/>
              <w:snapToGrid/>
              <w:ind w:firstLine="1200" w:firstLineChars="5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B—设计船宽。</w:t>
            </w:r>
          </w:p>
          <w:p w14:paraId="375122DA">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计算结果：600HP双线航行W=63.7m；</w:t>
            </w:r>
          </w:p>
          <w:p w14:paraId="0E2D8EED">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综合考虑，进港航道宽度设计取65m。</w:t>
            </w:r>
          </w:p>
          <w:p w14:paraId="72FBF97B">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（3）锚地</w:t>
            </w:r>
          </w:p>
          <w:p w14:paraId="1362692E">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u w:val="none"/>
                <w:lang w:val="en-US" w:eastAsia="zh-CN"/>
              </w:rPr>
            </w:pPr>
            <w:r>
              <w:rPr>
                <w:rFonts w:hint="default" w:ascii="Times New Roman" w:hAnsi="Times New Roman" w:cs="Times New Roman"/>
                <w:color w:val="000000"/>
                <w:highlight w:val="none"/>
                <w:lang w:val="en-US" w:eastAsia="zh-CN"/>
              </w:rPr>
              <w:t>项目建成后形成港内水域（有防浪设施圈围的渔港港池所使用的海域）面积约59.2公顷，其中有效避风水域面积（设计高水位时50年一遇波浪作用下港内波高H</w:t>
            </w:r>
            <w:r>
              <w:rPr>
                <w:rFonts w:hint="default" w:ascii="Times New Roman" w:hAnsi="Times New Roman" w:cs="Times New Roman"/>
                <w:color w:val="000000"/>
                <w:highlight w:val="none"/>
                <w:vertAlign w:val="subscript"/>
                <w:lang w:val="en-US" w:eastAsia="zh-CN"/>
              </w:rPr>
              <w:t>1%</w:t>
            </w:r>
            <w:r>
              <w:rPr>
                <w:rFonts w:hint="default" w:ascii="Times New Roman" w:hAnsi="Times New Roman" w:cs="Times New Roman"/>
                <w:color w:val="000000"/>
                <w:highlight w:val="none"/>
                <w:lang w:val="en-US" w:eastAsia="zh-CN"/>
              </w:rPr>
              <w:t>≤1.0m的掩护面积）约39.24公顷，该避风水域面积能够满足本港渔船的避风需求。</w:t>
            </w:r>
          </w:p>
          <w:p w14:paraId="7EE886F8">
            <w:pPr>
              <w:pStyle w:val="5"/>
              <w:bidi w:val="0"/>
              <w:ind w:left="850" w:leftChars="0" w:hanging="850" w:firstLineChars="0"/>
              <w:rPr>
                <w:rFonts w:hint="default"/>
                <w:lang w:val="en-US" w:eastAsia="zh-CN"/>
              </w:rPr>
            </w:pPr>
            <w:r>
              <w:rPr>
                <w:rFonts w:hint="eastAsia"/>
                <w:lang w:val="en-US" w:eastAsia="zh-CN"/>
              </w:rPr>
              <w:t>高程设计</w:t>
            </w:r>
          </w:p>
          <w:p w14:paraId="4AADF747">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（1）码头面高程</w:t>
            </w:r>
          </w:p>
          <w:p w14:paraId="3E8ECF14">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码头面高程：E=D</w:t>
            </w:r>
            <w:r>
              <w:rPr>
                <w:rFonts w:hint="default" w:ascii="Times New Roman" w:hAnsi="Times New Roman" w:cs="Times New Roman"/>
                <w:color w:val="000000"/>
                <w:highlight w:val="none"/>
                <w:vertAlign w:val="subscript"/>
                <w:lang w:val="en-US" w:eastAsia="zh-CN"/>
              </w:rPr>
              <w:t>WL</w:t>
            </w:r>
            <w:r>
              <w:rPr>
                <w:rFonts w:hint="default" w:ascii="Times New Roman" w:hAnsi="Times New Roman" w:cs="Times New Roman"/>
                <w:color w:val="000000"/>
                <w:highlight w:val="none"/>
                <w:lang w:val="en-US" w:eastAsia="zh-CN"/>
              </w:rPr>
              <w:t>+Δw</w:t>
            </w:r>
          </w:p>
          <w:p w14:paraId="374C1DCB">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式中：E—码头前沿高程，m；</w:t>
            </w:r>
          </w:p>
          <w:p w14:paraId="65266495">
            <w:pPr>
              <w:keepNext w:val="0"/>
              <w:keepLines w:val="0"/>
              <w:pageBreakBefore w:val="0"/>
              <w:widowControl w:val="0"/>
              <w:kinsoku/>
              <w:wordWrap/>
              <w:overflowPunct/>
              <w:topLinePunct w:val="0"/>
              <w:autoSpaceDE/>
              <w:autoSpaceDN/>
              <w:bidi w:val="0"/>
              <w:adjustRightInd/>
              <w:snapToGrid/>
              <w:ind w:firstLine="1200" w:firstLineChars="5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D</w:t>
            </w:r>
            <w:r>
              <w:rPr>
                <w:rFonts w:hint="default" w:ascii="Times New Roman" w:hAnsi="Times New Roman" w:cs="Times New Roman"/>
                <w:color w:val="000000"/>
                <w:highlight w:val="none"/>
                <w:vertAlign w:val="subscript"/>
                <w:lang w:val="en-US" w:eastAsia="zh-CN"/>
              </w:rPr>
              <w:t>WL</w:t>
            </w:r>
            <w:r>
              <w:rPr>
                <w:rFonts w:hint="default" w:ascii="Times New Roman" w:hAnsi="Times New Roman" w:cs="Times New Roman"/>
                <w:color w:val="000000"/>
                <w:highlight w:val="none"/>
                <w:lang w:val="en-US" w:eastAsia="zh-CN"/>
              </w:rPr>
              <w:t>—设计水位，取设计高水位3.15m，极端高水位4.52m；</w:t>
            </w:r>
          </w:p>
          <w:p w14:paraId="2809BF70">
            <w:pPr>
              <w:keepNext w:val="0"/>
              <w:keepLines w:val="0"/>
              <w:pageBreakBefore w:val="0"/>
              <w:widowControl w:val="0"/>
              <w:kinsoku/>
              <w:wordWrap/>
              <w:overflowPunct/>
              <w:topLinePunct w:val="0"/>
              <w:autoSpaceDE/>
              <w:autoSpaceDN/>
              <w:bidi w:val="0"/>
              <w:adjustRightInd/>
              <w:snapToGrid/>
              <w:ind w:firstLine="1200" w:firstLineChars="5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Δw—上水标准富裕高度，m。</w:t>
            </w:r>
          </w:p>
          <w:p w14:paraId="1407B41D">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计算结果：E=3.15+3.14=6.29 m；复核标准：极端高水位+Δw=4.52+2.65=7.17m；</w:t>
            </w:r>
          </w:p>
          <w:p w14:paraId="39B76B03">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设计码头面高程取+7.0m。</w:t>
            </w:r>
          </w:p>
          <w:p w14:paraId="3840059D">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（2）防波堤顶高程</w:t>
            </w:r>
          </w:p>
          <w:p w14:paraId="5CB577F0">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根据《防波堤与护岸设计规范》（JTS 154-2018），防波堤顶高程按基本不越浪设计：</w:t>
            </w:r>
          </w:p>
          <w:p w14:paraId="10181448">
            <w:pPr>
              <w:keepNext w:val="0"/>
              <w:keepLines w:val="0"/>
              <w:pageBreakBefore w:val="0"/>
              <w:widowControl w:val="0"/>
              <w:kinsoku/>
              <w:wordWrap/>
              <w:overflowPunct/>
              <w:topLinePunct w:val="0"/>
              <w:autoSpaceDE/>
              <w:autoSpaceDN/>
              <w:bidi w:val="0"/>
              <w:adjustRightInd/>
              <w:snapToGrid/>
              <w:ind w:left="0" w:leftChars="0" w:firstLine="480" w:firstLineChars="200"/>
              <w:jc w:val="center"/>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Z</w:t>
            </w:r>
            <w:r>
              <w:rPr>
                <w:rFonts w:hint="default" w:ascii="Times New Roman" w:hAnsi="Times New Roman" w:cs="Times New Roman"/>
                <w:color w:val="000000"/>
                <w:highlight w:val="none"/>
                <w:vertAlign w:val="subscript"/>
                <w:lang w:val="en-US" w:eastAsia="zh-CN"/>
              </w:rPr>
              <w:t>1</w:t>
            </w:r>
            <w:r>
              <w:rPr>
                <w:rFonts w:hint="default" w:ascii="Times New Roman" w:hAnsi="Times New Roman" w:cs="Times New Roman"/>
                <w:color w:val="000000"/>
                <w:highlight w:val="none"/>
                <w:lang w:val="en-US" w:eastAsia="zh-CN"/>
              </w:rPr>
              <w:t>≥H</w:t>
            </w:r>
            <w:r>
              <w:rPr>
                <w:rFonts w:hint="default" w:ascii="Times New Roman" w:hAnsi="Times New Roman" w:cs="Times New Roman"/>
                <w:color w:val="000000"/>
                <w:highlight w:val="none"/>
                <w:vertAlign w:val="subscript"/>
                <w:lang w:val="en-US" w:eastAsia="zh-CN"/>
              </w:rPr>
              <w:t>WL</w:t>
            </w:r>
            <w:r>
              <w:rPr>
                <w:rFonts w:hint="default" w:ascii="Times New Roman" w:hAnsi="Times New Roman" w:cs="Times New Roman"/>
                <w:color w:val="000000"/>
                <w:highlight w:val="none"/>
                <w:lang w:val="en-US" w:eastAsia="zh-CN"/>
              </w:rPr>
              <w:t>+1.0H</w:t>
            </w:r>
          </w:p>
          <w:p w14:paraId="7D9A974A">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式中：Z</w:t>
            </w:r>
            <w:r>
              <w:rPr>
                <w:rFonts w:hint="default" w:ascii="Times New Roman" w:hAnsi="Times New Roman" w:cs="Times New Roman"/>
                <w:color w:val="000000"/>
                <w:highlight w:val="none"/>
                <w:vertAlign w:val="subscript"/>
                <w:lang w:val="en-US" w:eastAsia="zh-CN"/>
              </w:rPr>
              <w:t>1</w:t>
            </w:r>
            <w:r>
              <w:rPr>
                <w:rFonts w:hint="default" w:ascii="Times New Roman" w:hAnsi="Times New Roman" w:cs="Times New Roman"/>
                <w:color w:val="000000"/>
                <w:highlight w:val="none"/>
                <w:lang w:val="en-US" w:eastAsia="zh-CN"/>
              </w:rPr>
              <w:t>—防波堤顶高程（m）；</w:t>
            </w:r>
          </w:p>
          <w:p w14:paraId="1863941F">
            <w:pPr>
              <w:keepNext w:val="0"/>
              <w:keepLines w:val="0"/>
              <w:pageBreakBefore w:val="0"/>
              <w:widowControl w:val="0"/>
              <w:kinsoku/>
              <w:wordWrap/>
              <w:overflowPunct/>
              <w:topLinePunct w:val="0"/>
              <w:autoSpaceDE/>
              <w:autoSpaceDN/>
              <w:bidi w:val="0"/>
              <w:adjustRightInd/>
              <w:snapToGrid/>
              <w:ind w:firstLine="1200" w:firstLineChars="5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H</w:t>
            </w:r>
            <w:r>
              <w:rPr>
                <w:rFonts w:hint="default" w:ascii="Times New Roman" w:hAnsi="Times New Roman" w:cs="Times New Roman"/>
                <w:color w:val="000000"/>
                <w:highlight w:val="none"/>
                <w:vertAlign w:val="subscript"/>
                <w:lang w:val="en-US" w:eastAsia="zh-CN"/>
              </w:rPr>
              <w:t>WL</w:t>
            </w:r>
            <w:r>
              <w:rPr>
                <w:rFonts w:hint="default" w:ascii="Times New Roman" w:hAnsi="Times New Roman" w:cs="Times New Roman"/>
                <w:color w:val="000000"/>
                <w:highlight w:val="none"/>
                <w:lang w:val="en-US" w:eastAsia="zh-CN"/>
              </w:rPr>
              <w:t>—设计高水位（3.15m）；</w:t>
            </w:r>
          </w:p>
          <w:p w14:paraId="346FB555">
            <w:pPr>
              <w:keepNext w:val="0"/>
              <w:keepLines w:val="0"/>
              <w:pageBreakBefore w:val="0"/>
              <w:widowControl w:val="0"/>
              <w:kinsoku/>
              <w:wordWrap/>
              <w:overflowPunct/>
              <w:topLinePunct w:val="0"/>
              <w:autoSpaceDE/>
              <w:autoSpaceDN/>
              <w:bidi w:val="0"/>
              <w:adjustRightInd/>
              <w:snapToGrid/>
              <w:ind w:firstLine="1200" w:firstLineChars="5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H—取100年一遇有效设计波高H</w:t>
            </w:r>
            <w:r>
              <w:rPr>
                <w:rFonts w:hint="default" w:ascii="Times New Roman" w:hAnsi="Times New Roman" w:cs="Times New Roman"/>
                <w:color w:val="000000"/>
                <w:highlight w:val="none"/>
                <w:vertAlign w:val="subscript"/>
                <w:lang w:val="en-US" w:eastAsia="zh-CN"/>
              </w:rPr>
              <w:t>13%</w:t>
            </w:r>
            <w:r>
              <w:rPr>
                <w:rFonts w:hint="default" w:ascii="Times New Roman" w:hAnsi="Times New Roman" w:cs="Times New Roman"/>
                <w:color w:val="000000"/>
                <w:highlight w:val="none"/>
                <w:lang w:val="en-US" w:eastAsia="zh-CN"/>
              </w:rPr>
              <w:t>。</w:t>
            </w:r>
          </w:p>
          <w:p w14:paraId="6F8036B5">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东防波堤AB段：按基本不越浪设计，防波堤顶高程≥3.15+1.0×3.40=6.55m；</w:t>
            </w:r>
          </w:p>
          <w:p w14:paraId="5971C9DF">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东防波堤BC段：按基本不越浪设计，防波堤顶高程≥3.15+1.0×5.05＝8.2m。</w:t>
            </w:r>
          </w:p>
          <w:p w14:paraId="05E52909">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考虑到防波堤结构稳定性及堤顶越浪等因素，设计暂取东防波堤AB段堤顶高程为+7.50m，东防波堤BC段堤顶高程+10.00m，待下一阶段结合防波堤断面模型试验成果进一步优化防波堤顶高程。</w:t>
            </w:r>
          </w:p>
          <w:p w14:paraId="5A3E265B">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南防波堤兼做码头，设计考虑堤顶高程按照允许越浪标准进行计算：</w:t>
            </w:r>
          </w:p>
          <w:p w14:paraId="1CBB9690">
            <w:pPr>
              <w:keepNext w:val="0"/>
              <w:keepLines w:val="0"/>
              <w:pageBreakBefore w:val="0"/>
              <w:widowControl w:val="0"/>
              <w:kinsoku/>
              <w:wordWrap/>
              <w:overflowPunct/>
              <w:topLinePunct w:val="0"/>
              <w:autoSpaceDE/>
              <w:autoSpaceDN/>
              <w:bidi w:val="0"/>
              <w:adjustRightInd/>
              <w:snapToGrid/>
              <w:ind w:left="0" w:leftChars="0" w:firstLine="480" w:firstLineChars="200"/>
              <w:jc w:val="center"/>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Z</w:t>
            </w:r>
            <w:r>
              <w:rPr>
                <w:rFonts w:hint="default" w:ascii="Times New Roman" w:hAnsi="Times New Roman" w:cs="Times New Roman"/>
                <w:color w:val="000000"/>
                <w:highlight w:val="none"/>
                <w:vertAlign w:val="subscript"/>
                <w:lang w:val="en-US" w:eastAsia="zh-CN"/>
              </w:rPr>
              <w:t>1</w:t>
            </w:r>
            <w:r>
              <w:rPr>
                <w:rFonts w:hint="default" w:ascii="Times New Roman" w:hAnsi="Times New Roman" w:cs="Times New Roman"/>
                <w:color w:val="000000"/>
                <w:highlight w:val="none"/>
                <w:lang w:val="en-US" w:eastAsia="zh-CN"/>
              </w:rPr>
              <w:t>≥H</w:t>
            </w:r>
            <w:r>
              <w:rPr>
                <w:rFonts w:hint="default" w:ascii="Times New Roman" w:hAnsi="Times New Roman" w:cs="Times New Roman"/>
                <w:color w:val="000000"/>
                <w:highlight w:val="none"/>
                <w:vertAlign w:val="subscript"/>
                <w:lang w:val="en-US" w:eastAsia="zh-CN"/>
              </w:rPr>
              <w:t>WL</w:t>
            </w:r>
            <w:r>
              <w:rPr>
                <w:rFonts w:hint="default" w:ascii="Times New Roman" w:hAnsi="Times New Roman" w:cs="Times New Roman"/>
                <w:color w:val="000000"/>
                <w:highlight w:val="none"/>
                <w:lang w:val="en-US" w:eastAsia="zh-CN"/>
              </w:rPr>
              <w:t>+0.6H</w:t>
            </w:r>
          </w:p>
          <w:p w14:paraId="1C440409">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式中：Z</w:t>
            </w:r>
            <w:r>
              <w:rPr>
                <w:rFonts w:hint="default" w:ascii="Times New Roman" w:hAnsi="Times New Roman" w:cs="Times New Roman"/>
                <w:color w:val="000000"/>
                <w:highlight w:val="none"/>
                <w:vertAlign w:val="subscript"/>
                <w:lang w:val="en-US" w:eastAsia="zh-CN"/>
              </w:rPr>
              <w:t>1</w:t>
            </w:r>
            <w:r>
              <w:rPr>
                <w:rFonts w:hint="default" w:ascii="Times New Roman" w:hAnsi="Times New Roman" w:cs="Times New Roman"/>
                <w:color w:val="000000"/>
                <w:highlight w:val="none"/>
                <w:lang w:val="en-US" w:eastAsia="zh-CN"/>
              </w:rPr>
              <w:t>—防波堤顶高程（m）；</w:t>
            </w:r>
          </w:p>
          <w:p w14:paraId="62517610">
            <w:pPr>
              <w:keepNext w:val="0"/>
              <w:keepLines w:val="0"/>
              <w:pageBreakBefore w:val="0"/>
              <w:widowControl w:val="0"/>
              <w:kinsoku/>
              <w:wordWrap/>
              <w:overflowPunct/>
              <w:topLinePunct w:val="0"/>
              <w:autoSpaceDE/>
              <w:autoSpaceDN/>
              <w:bidi w:val="0"/>
              <w:adjustRightInd/>
              <w:snapToGrid/>
              <w:ind w:firstLine="1200" w:firstLineChars="5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H</w:t>
            </w:r>
            <w:r>
              <w:rPr>
                <w:rFonts w:hint="default" w:ascii="Times New Roman" w:hAnsi="Times New Roman" w:cs="Times New Roman"/>
                <w:color w:val="000000"/>
                <w:highlight w:val="none"/>
                <w:vertAlign w:val="subscript"/>
                <w:lang w:val="en-US" w:eastAsia="zh-CN"/>
              </w:rPr>
              <w:t>WL</w:t>
            </w:r>
            <w:r>
              <w:rPr>
                <w:rFonts w:hint="default" w:ascii="Times New Roman" w:hAnsi="Times New Roman" w:cs="Times New Roman"/>
                <w:color w:val="000000"/>
                <w:highlight w:val="none"/>
                <w:lang w:val="en-US" w:eastAsia="zh-CN"/>
              </w:rPr>
              <w:t>—设计高水位（3.15m）；</w:t>
            </w:r>
          </w:p>
          <w:p w14:paraId="5FB9BB80">
            <w:pPr>
              <w:keepNext w:val="0"/>
              <w:keepLines w:val="0"/>
              <w:pageBreakBefore w:val="0"/>
              <w:widowControl w:val="0"/>
              <w:kinsoku/>
              <w:wordWrap/>
              <w:overflowPunct/>
              <w:topLinePunct w:val="0"/>
              <w:autoSpaceDE/>
              <w:autoSpaceDN/>
              <w:bidi w:val="0"/>
              <w:adjustRightInd/>
              <w:snapToGrid/>
              <w:ind w:firstLine="1200" w:firstLineChars="5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H—取100年一遇有效设计波高H</w:t>
            </w:r>
            <w:r>
              <w:rPr>
                <w:rFonts w:hint="default" w:ascii="Times New Roman" w:hAnsi="Times New Roman" w:cs="Times New Roman"/>
                <w:color w:val="000000"/>
                <w:highlight w:val="none"/>
                <w:vertAlign w:val="subscript"/>
                <w:lang w:val="en-US" w:eastAsia="zh-CN"/>
              </w:rPr>
              <w:t>1%</w:t>
            </w:r>
            <w:r>
              <w:rPr>
                <w:rFonts w:hint="default" w:ascii="Times New Roman" w:hAnsi="Times New Roman" w:cs="Times New Roman"/>
                <w:color w:val="000000"/>
                <w:highlight w:val="none"/>
                <w:lang w:val="en-US" w:eastAsia="zh-CN"/>
              </w:rPr>
              <w:t>。</w:t>
            </w:r>
          </w:p>
          <w:p w14:paraId="5C19A4FA">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u w:val="none"/>
                <w:lang w:val="en-US" w:eastAsia="zh-CN"/>
              </w:rPr>
            </w:pPr>
            <w:r>
              <w:rPr>
                <w:rFonts w:hint="default" w:ascii="Times New Roman" w:hAnsi="Times New Roman" w:cs="Times New Roman"/>
                <w:color w:val="000000"/>
                <w:highlight w:val="none"/>
                <w:lang w:val="en-US" w:eastAsia="zh-CN"/>
              </w:rPr>
              <w:t>南防波堤：根据防波堤顶面高程水上标准，综合基本标准及复核标准，顶面高程取+7.00m。</w:t>
            </w:r>
          </w:p>
          <w:p w14:paraId="6DB97E23">
            <w:pPr>
              <w:pStyle w:val="5"/>
              <w:bidi w:val="0"/>
              <w:ind w:left="850" w:leftChars="0" w:hanging="850" w:firstLineChars="0"/>
              <w:rPr>
                <w:rFonts w:hint="default"/>
                <w:lang w:val="en-US" w:eastAsia="zh-CN"/>
              </w:rPr>
            </w:pPr>
            <w:r>
              <w:rPr>
                <w:rFonts w:hint="default"/>
                <w:lang w:val="en-US" w:eastAsia="zh-CN"/>
              </w:rPr>
              <w:t>陆域形成和道路</w:t>
            </w:r>
          </w:p>
          <w:p w14:paraId="3B8D5237">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（1）陆域形成与地基处理</w:t>
            </w:r>
          </w:p>
          <w:p w14:paraId="1792D50B">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本项目陆域形成面积25.32万m</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lang w:val="en-US" w:eastAsia="zh-CN"/>
              </w:rPr>
              <w:t>，其中利用现有二级渔港陆域1.83万m</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lang w:val="en-US" w:eastAsia="zh-CN"/>
              </w:rPr>
              <w:t>，拟利用港区后方土地平整新形成陆域面积23.49万m</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lang w:val="en-US" w:eastAsia="zh-CN"/>
              </w:rPr>
              <w:t>。根据《福清市人民政府关于印发福清市建设工程项目涉及砂石资源处置监管工作方案（试行）的通知》（融政发〔2022〕6号），后方陆域山体开挖整平由福清市自然资源和规划局委托相关单位进行，剩余砂石资源（含淤泥）由属地政府进行公开有偿化处置，所得收益全部缴入市财政。</w:t>
            </w:r>
            <w:r>
              <w:rPr>
                <w:rFonts w:hint="default" w:ascii="Times New Roman" w:hAnsi="Times New Roman" w:cs="Times New Roman"/>
                <w:b/>
                <w:bCs/>
                <w:color w:val="000000"/>
                <w:highlight w:val="none"/>
                <w:lang w:val="en-US" w:eastAsia="zh-CN"/>
              </w:rPr>
              <w:t>因此，陆域山体开挖整平不在本次评价范围内。</w:t>
            </w:r>
          </w:p>
          <w:p w14:paraId="37713169">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①设计条件</w:t>
            </w:r>
          </w:p>
          <w:p w14:paraId="391EA4B8">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A、设计荷载</w:t>
            </w:r>
          </w:p>
          <w:p w14:paraId="4365C3A2">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恒载：结构物自重</w:t>
            </w:r>
          </w:p>
          <w:p w14:paraId="2186002C">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均布荷载：40kN/m</w:t>
            </w:r>
            <w:r>
              <w:rPr>
                <w:rFonts w:hint="default" w:ascii="Times New Roman" w:hAnsi="Times New Roman" w:cs="Times New Roman"/>
                <w:color w:val="000000"/>
                <w:highlight w:val="none"/>
                <w:vertAlign w:val="superscript"/>
                <w:lang w:val="en-US" w:eastAsia="zh-CN"/>
              </w:rPr>
              <w:t>2</w:t>
            </w:r>
          </w:p>
          <w:p w14:paraId="5B16D175">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集中荷载：16t轮胎吊，15t汽车</w:t>
            </w:r>
          </w:p>
          <w:p w14:paraId="10D77AB4">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地震荷载：按7度抗震设防烈度设计</w:t>
            </w:r>
          </w:p>
          <w:p w14:paraId="101A69D7">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B、设计高程</w:t>
            </w:r>
          </w:p>
          <w:p w14:paraId="6712A481">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陆域场地地表设计标高取+5.50m。</w:t>
            </w:r>
          </w:p>
          <w:p w14:paraId="6CFD4A8C">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②陆域形成方案</w:t>
            </w:r>
          </w:p>
          <w:p w14:paraId="2F265906">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本工程石料来源于陆域土地平整，根据陆域钻探报告，陆域土地平整开挖料中风化花岗岩可作为防波堤建设石料，开挖石料中风化岩含量约为28.34%。港区内陆域纵深20~240m，陆域土地平整至高程+4.10~+4.50m，因陆域前沿临海，陆域顶面高程不宜过低，考虑港内涌浪影响，并结合现有二级渔港陆域高程+5.00m，本次陆域形成顶面标高为+5.50m。</w:t>
            </w:r>
          </w:p>
          <w:p w14:paraId="64F750EE">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③陆域回填料</w:t>
            </w:r>
          </w:p>
          <w:p w14:paraId="1BB82E04">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将陆域土地平整至+4.10~+4.50m，后回填除中风化岩外其他开挖料（坡残积土、全风化岩、碎块状风化岩等）。</w:t>
            </w:r>
          </w:p>
          <w:p w14:paraId="1458F100">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④地基处理方案</w:t>
            </w:r>
          </w:p>
          <w:p w14:paraId="2B030C76">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本工程陆域土地平整后回填陆域本身开挖料，只需回填过程进行分层碾压即可。</w:t>
            </w:r>
          </w:p>
          <w:p w14:paraId="411C5F88">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⑤边坡方案</w:t>
            </w:r>
          </w:p>
          <w:p w14:paraId="718CC7C9">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A、锚固加固工程</w:t>
            </w:r>
          </w:p>
          <w:p w14:paraId="74005588">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拟设置陆域边坡总长约2210m，边坡最大高度约50~55m，地质主体为碎块状强风化-中风化花岗岩。为保证边坡整体稳定性及局部稳定性，各阶坡面采取“系统锚杆+锚喷”或“非预应力锚杆框架”的锚固措施，防止岩体浅层掉块、护坡体沿岩土交界面坍塌破坏。同时结合平台种植爬山虎和葛藤等攀岩植物，使边坡景观得到最大程度的恢复。</w:t>
            </w:r>
          </w:p>
          <w:p w14:paraId="49379961">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B、排水措施</w:t>
            </w:r>
          </w:p>
          <w:p w14:paraId="3F052E88">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具体措施包括以下内容：</w:t>
            </w:r>
          </w:p>
          <w:p w14:paraId="4D9CC296">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a、每阶平台设置挡水埂，汇集坡面地表水；</w:t>
            </w:r>
          </w:p>
          <w:p w14:paraId="5BDB78CF">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b、每隔70～80m设置坡面竖向流水槽，汇集平台排水进入坡脚排水沟，流水槽净宽设置为1.2m，根据现场需要调整；</w:t>
            </w:r>
          </w:p>
          <w:p w14:paraId="248472B0">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c、坡脚设置排水沟，排水沟位置结合建设单位对该区域规划综合考虑，大小以保证暴雨条件下的排洪要求；</w:t>
            </w:r>
          </w:p>
          <w:p w14:paraId="63E8754F">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d、坡顶根据汇水情况设置截水沟，截水沟通过两端以及中部流水槽等竖向排水通道汇入边坡坡脚排水沟，集中汇入场地排水系统。</w:t>
            </w:r>
          </w:p>
          <w:p w14:paraId="20F14FEB">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C、绿化景观设计</w:t>
            </w:r>
          </w:p>
          <w:p w14:paraId="492FFB0B">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考虑到渔港陆域边坡地质主要为碎块状强风化-中风化岩</w:t>
            </w:r>
            <w:r>
              <w:rPr>
                <w:rFonts w:hint="eastAsia" w:cs="Times New Roman"/>
                <w:color w:val="000000"/>
                <w:highlight w:val="none"/>
                <w:lang w:val="en-US" w:eastAsia="zh-CN"/>
              </w:rPr>
              <w:t>且</w:t>
            </w:r>
            <w:r>
              <w:rPr>
                <w:rFonts w:hint="default" w:ascii="Times New Roman" w:hAnsi="Times New Roman" w:cs="Times New Roman"/>
                <w:color w:val="000000"/>
                <w:highlight w:val="none"/>
                <w:lang w:val="en-US" w:eastAsia="zh-CN"/>
              </w:rPr>
              <w:t>边坡坡度大，坡面覆土难度大，土壤很难留存于坡面，边坡覆绿成本高，综合经济、覆绿效果等，本次绿化设计采用各级平台设置花池，池内覆耕植土，采用种植攀岩和悬垂植物（爬山虎和葛藤）绿化。</w:t>
            </w:r>
          </w:p>
          <w:p w14:paraId="37F96E0E">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（2）道路</w:t>
            </w:r>
          </w:p>
          <w:p w14:paraId="7A599E98">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本项目港区内陆域纵深20~240m，陆域设有宽为10m的道路。港区道路面层采用现浇混凝土铺面，现浇混凝土面层具有强度高，稳定性好、平整度高，感观好，寿命长的特点，但对沉降适应性不强。考虑本陆域土地平整后基础为岩石，地质条件较好，同时考虑本码头主要货种为海产品，采用混凝土面层便于清洁，因此推荐采用现浇砼铺面。其中：现浇砼铺面250mm，5%水泥稳定碎石基层150mm，级配碎石垫层200mm。港内道路主要技术指标见</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REF _Ref25355 \h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2.3</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3</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val="en-US" w:eastAsia="zh-CN"/>
              </w:rPr>
              <w:t>。</w:t>
            </w:r>
          </w:p>
          <w:p w14:paraId="6F35FEBF">
            <w:pPr>
              <w:pStyle w:val="30"/>
              <w:bidi w:val="0"/>
              <w:rPr>
                <w:rFonts w:hint="default" w:ascii="Times New Roman" w:hAnsi="Times New Roman" w:cs="Times New Roman"/>
                <w:color w:val="000000"/>
                <w:highlight w:val="none"/>
                <w:lang w:val="en-US" w:eastAsia="zh-CN"/>
              </w:rPr>
            </w:pPr>
            <w:bookmarkStart w:id="153" w:name="_Ref25355"/>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2.3</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表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w:t>
            </w:r>
            <w:r>
              <w:rPr>
                <w:rFonts w:hint="default" w:ascii="Times New Roman" w:hAnsi="Times New Roman" w:cs="Times New Roman"/>
                <w:color w:val="000000"/>
                <w:highlight w:val="none"/>
              </w:rPr>
              <w:fldChar w:fldCharType="end"/>
            </w:r>
            <w:bookmarkEnd w:id="153"/>
            <w:r>
              <w:rPr>
                <w:rFonts w:hint="default" w:ascii="Times New Roman" w:hAnsi="Times New Roman" w:cs="Times New Roman"/>
                <w:color w:val="000000"/>
                <w:highlight w:val="none"/>
                <w:lang w:val="en-US" w:eastAsia="zh-CN"/>
              </w:rPr>
              <w:t xml:space="preserve"> 港内道路主要技术指标</w:t>
            </w:r>
          </w:p>
          <w:tbl>
            <w:tblPr>
              <w:tblStyle w:val="2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35"/>
              <w:gridCol w:w="3428"/>
            </w:tblGrid>
            <w:tr w14:paraId="03FFB0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5366" w:type="dxa"/>
                  <w:noWrap w:val="0"/>
                  <w:vAlign w:val="top"/>
                </w:tcPr>
                <w:p w14:paraId="142B8F07">
                  <w:pPr>
                    <w:pStyle w:val="31"/>
                    <w:bidi w:val="0"/>
                    <w:rPr>
                      <w:rFonts w:hint="default" w:ascii="Times New Roman" w:hAnsi="Times New Roman" w:cs="Times New Roman"/>
                      <w:b/>
                      <w:bCs/>
                      <w:color w:val="000000"/>
                      <w:highlight w:val="none"/>
                      <w:vertAlign w:val="baseline"/>
                      <w:lang w:val="en-US" w:eastAsia="zh-CN"/>
                    </w:rPr>
                  </w:pPr>
                  <w:r>
                    <w:rPr>
                      <w:rFonts w:hint="default" w:ascii="Times New Roman" w:hAnsi="Times New Roman" w:cs="Times New Roman"/>
                      <w:b/>
                      <w:bCs/>
                      <w:color w:val="000000"/>
                      <w:highlight w:val="none"/>
                      <w:vertAlign w:val="baseline"/>
                      <w:lang w:val="en-US" w:eastAsia="zh-CN"/>
                    </w:rPr>
                    <w:t>指标名称</w:t>
                  </w:r>
                </w:p>
              </w:tc>
              <w:tc>
                <w:tcPr>
                  <w:tcW w:w="3876" w:type="dxa"/>
                  <w:noWrap w:val="0"/>
                  <w:vAlign w:val="top"/>
                </w:tcPr>
                <w:p w14:paraId="71E77CD7">
                  <w:pPr>
                    <w:pStyle w:val="31"/>
                    <w:bidi w:val="0"/>
                    <w:rPr>
                      <w:rFonts w:hint="default" w:ascii="Times New Roman" w:hAnsi="Times New Roman" w:cs="Times New Roman"/>
                      <w:b/>
                      <w:bCs/>
                      <w:color w:val="000000"/>
                      <w:highlight w:val="none"/>
                      <w:vertAlign w:val="baseline"/>
                      <w:lang w:val="en-US" w:eastAsia="zh-CN"/>
                    </w:rPr>
                  </w:pPr>
                  <w:r>
                    <w:rPr>
                      <w:rFonts w:hint="default" w:ascii="Times New Roman" w:hAnsi="Times New Roman" w:cs="Times New Roman"/>
                      <w:b/>
                      <w:bCs/>
                      <w:color w:val="000000"/>
                      <w:highlight w:val="none"/>
                      <w:vertAlign w:val="baseline"/>
                      <w:lang w:val="en-US" w:eastAsia="zh-CN"/>
                    </w:rPr>
                    <w:t>主干道</w:t>
                  </w:r>
                </w:p>
              </w:tc>
            </w:tr>
            <w:tr w14:paraId="4017E8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66" w:type="dxa"/>
                  <w:noWrap w:val="0"/>
                  <w:vAlign w:val="top"/>
                </w:tcPr>
                <w:p w14:paraId="2FA4284B">
                  <w:pPr>
                    <w:pStyle w:val="31"/>
                    <w:bidi w:val="0"/>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计算行车速度（km/h）</w:t>
                  </w:r>
                </w:p>
              </w:tc>
              <w:tc>
                <w:tcPr>
                  <w:tcW w:w="3876" w:type="dxa"/>
                  <w:noWrap w:val="0"/>
                  <w:vAlign w:val="top"/>
                </w:tcPr>
                <w:p w14:paraId="0E633D52">
                  <w:pPr>
                    <w:pStyle w:val="31"/>
                    <w:bidi w:val="0"/>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15</w:t>
                  </w:r>
                </w:p>
              </w:tc>
            </w:tr>
            <w:tr w14:paraId="540FE3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66" w:type="dxa"/>
                  <w:noWrap w:val="0"/>
                  <w:vAlign w:val="top"/>
                </w:tcPr>
                <w:p w14:paraId="3A5504E0">
                  <w:pPr>
                    <w:pStyle w:val="31"/>
                    <w:bidi w:val="0"/>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路面宽度（m）</w:t>
                  </w:r>
                </w:p>
              </w:tc>
              <w:tc>
                <w:tcPr>
                  <w:tcW w:w="3876" w:type="dxa"/>
                  <w:noWrap w:val="0"/>
                  <w:vAlign w:val="top"/>
                </w:tcPr>
                <w:p w14:paraId="5DEA336B">
                  <w:pPr>
                    <w:pStyle w:val="31"/>
                    <w:bidi w:val="0"/>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10</w:t>
                  </w:r>
                </w:p>
              </w:tc>
            </w:tr>
            <w:tr w14:paraId="59B023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66" w:type="dxa"/>
                  <w:noWrap w:val="0"/>
                  <w:vAlign w:val="top"/>
                </w:tcPr>
                <w:p w14:paraId="644F8D17">
                  <w:pPr>
                    <w:pStyle w:val="31"/>
                    <w:bidi w:val="0"/>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最小圆曲线半径（m）</w:t>
                  </w:r>
                </w:p>
              </w:tc>
              <w:tc>
                <w:tcPr>
                  <w:tcW w:w="3876" w:type="dxa"/>
                  <w:noWrap w:val="0"/>
                  <w:vAlign w:val="top"/>
                </w:tcPr>
                <w:p w14:paraId="683B2560">
                  <w:pPr>
                    <w:pStyle w:val="31"/>
                    <w:bidi w:val="0"/>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12</w:t>
                  </w:r>
                </w:p>
              </w:tc>
            </w:tr>
            <w:tr w14:paraId="465338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66" w:type="dxa"/>
                  <w:noWrap w:val="0"/>
                  <w:vAlign w:val="top"/>
                </w:tcPr>
                <w:p w14:paraId="60A5FF0E">
                  <w:pPr>
                    <w:pStyle w:val="31"/>
                    <w:bidi w:val="0"/>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交叉口路面内缘最小转弯半径（m）</w:t>
                  </w:r>
                </w:p>
              </w:tc>
              <w:tc>
                <w:tcPr>
                  <w:tcW w:w="3876" w:type="dxa"/>
                  <w:noWrap w:val="0"/>
                  <w:vAlign w:val="top"/>
                </w:tcPr>
                <w:p w14:paraId="1094DECD">
                  <w:pPr>
                    <w:pStyle w:val="31"/>
                    <w:bidi w:val="0"/>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12</w:t>
                  </w:r>
                </w:p>
              </w:tc>
            </w:tr>
            <w:tr w14:paraId="4B30C6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66" w:type="dxa"/>
                  <w:noWrap w:val="0"/>
                  <w:vAlign w:val="top"/>
                </w:tcPr>
                <w:p w14:paraId="7E58B20F">
                  <w:pPr>
                    <w:pStyle w:val="31"/>
                    <w:bidi w:val="0"/>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停车视距（m）</w:t>
                  </w:r>
                </w:p>
              </w:tc>
              <w:tc>
                <w:tcPr>
                  <w:tcW w:w="3876" w:type="dxa"/>
                  <w:noWrap w:val="0"/>
                  <w:vAlign w:val="top"/>
                </w:tcPr>
                <w:p w14:paraId="32647AF9">
                  <w:pPr>
                    <w:pStyle w:val="31"/>
                    <w:bidi w:val="0"/>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15</w:t>
                  </w:r>
                </w:p>
              </w:tc>
            </w:tr>
            <w:tr w14:paraId="31B8B4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66" w:type="dxa"/>
                  <w:noWrap w:val="0"/>
                  <w:vAlign w:val="top"/>
                </w:tcPr>
                <w:p w14:paraId="320ED6C3">
                  <w:pPr>
                    <w:pStyle w:val="31"/>
                    <w:bidi w:val="0"/>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会车视距（m）</w:t>
                  </w:r>
                </w:p>
              </w:tc>
              <w:tc>
                <w:tcPr>
                  <w:tcW w:w="3876" w:type="dxa"/>
                  <w:noWrap w:val="0"/>
                  <w:vAlign w:val="top"/>
                </w:tcPr>
                <w:p w14:paraId="7016DC45">
                  <w:pPr>
                    <w:pStyle w:val="31"/>
                    <w:bidi w:val="0"/>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30</w:t>
                  </w:r>
                </w:p>
              </w:tc>
            </w:tr>
            <w:tr w14:paraId="67D68A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66" w:type="dxa"/>
                  <w:noWrap w:val="0"/>
                  <w:vAlign w:val="top"/>
                </w:tcPr>
                <w:p w14:paraId="2E980A5F">
                  <w:pPr>
                    <w:pStyle w:val="31"/>
                    <w:bidi w:val="0"/>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交叉口停车视距</w:t>
                  </w:r>
                </w:p>
              </w:tc>
              <w:tc>
                <w:tcPr>
                  <w:tcW w:w="3876" w:type="dxa"/>
                  <w:noWrap w:val="0"/>
                  <w:vAlign w:val="top"/>
                </w:tcPr>
                <w:p w14:paraId="7782E96F">
                  <w:pPr>
                    <w:pStyle w:val="31"/>
                    <w:bidi w:val="0"/>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20</w:t>
                  </w:r>
                </w:p>
              </w:tc>
            </w:tr>
            <w:tr w14:paraId="57E876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66" w:type="dxa"/>
                  <w:noWrap w:val="0"/>
                  <w:vAlign w:val="top"/>
                </w:tcPr>
                <w:p w14:paraId="0A71FD28">
                  <w:pPr>
                    <w:pStyle w:val="31"/>
                    <w:bidi w:val="0"/>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最大纵坡（%）</w:t>
                  </w:r>
                </w:p>
              </w:tc>
              <w:tc>
                <w:tcPr>
                  <w:tcW w:w="3876" w:type="dxa"/>
                  <w:noWrap w:val="0"/>
                  <w:vAlign w:val="top"/>
                </w:tcPr>
                <w:p w14:paraId="33F133CD">
                  <w:pPr>
                    <w:pStyle w:val="31"/>
                    <w:bidi w:val="0"/>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5</w:t>
                  </w:r>
                </w:p>
              </w:tc>
            </w:tr>
            <w:tr w14:paraId="028FDC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66" w:type="dxa"/>
                  <w:noWrap w:val="0"/>
                  <w:vAlign w:val="top"/>
                </w:tcPr>
                <w:p w14:paraId="394227C5">
                  <w:pPr>
                    <w:pStyle w:val="31"/>
                    <w:bidi w:val="0"/>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竖曲线最小半径（m）</w:t>
                  </w:r>
                </w:p>
              </w:tc>
              <w:tc>
                <w:tcPr>
                  <w:tcW w:w="3876" w:type="dxa"/>
                  <w:noWrap w:val="0"/>
                  <w:vAlign w:val="top"/>
                </w:tcPr>
                <w:p w14:paraId="7FF2D21D">
                  <w:pPr>
                    <w:pStyle w:val="31"/>
                    <w:bidi w:val="0"/>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100</w:t>
                  </w:r>
                </w:p>
              </w:tc>
            </w:tr>
          </w:tbl>
          <w:p w14:paraId="10DE09B1">
            <w:pPr>
              <w:pStyle w:val="5"/>
              <w:bidi w:val="0"/>
              <w:ind w:left="850" w:leftChars="0" w:hanging="850" w:firstLineChars="0"/>
              <w:rPr>
                <w:rFonts w:hint="default"/>
                <w:lang w:val="en-US" w:eastAsia="zh-CN"/>
              </w:rPr>
            </w:pPr>
            <w:r>
              <w:rPr>
                <w:rFonts w:hint="eastAsia"/>
                <w:lang w:val="en-US" w:eastAsia="zh-CN"/>
              </w:rPr>
              <w:t>土石方平衡及去向</w:t>
            </w:r>
          </w:p>
          <w:p w14:paraId="37E3EDE0">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本项目陆域部分已取得福清市自然资源和规划局出具的建设项目用地预审与选址意见书和国家林业和草原局使用林地审核同意书（附件</w:t>
            </w:r>
            <w:r>
              <w:rPr>
                <w:rFonts w:hint="eastAsia" w:cs="Times New Roman"/>
                <w:color w:val="000000"/>
                <w:highlight w:val="none"/>
                <w:lang w:val="en-US" w:eastAsia="zh-CN"/>
              </w:rPr>
              <w:t>8</w:t>
            </w:r>
            <w:r>
              <w:rPr>
                <w:rFonts w:hint="default" w:ascii="Times New Roman" w:hAnsi="Times New Roman" w:cs="Times New Roman"/>
                <w:color w:val="000000"/>
                <w:highlight w:val="none"/>
                <w:lang w:val="en-US" w:eastAsia="zh-CN"/>
              </w:rPr>
              <w:t>），并于2024年12月4日取得建设用地规划许可证（附件</w:t>
            </w:r>
            <w:r>
              <w:rPr>
                <w:rFonts w:hint="eastAsia" w:cs="Times New Roman"/>
                <w:color w:val="000000"/>
                <w:highlight w:val="none"/>
                <w:lang w:val="en-US" w:eastAsia="zh-CN"/>
              </w:rPr>
              <w:t>9</w:t>
            </w:r>
            <w:r>
              <w:rPr>
                <w:rFonts w:hint="default" w:ascii="Times New Roman" w:hAnsi="Times New Roman" w:cs="Times New Roman"/>
                <w:color w:val="000000"/>
                <w:highlight w:val="none"/>
                <w:lang w:val="en-US" w:eastAsia="zh-CN"/>
              </w:rPr>
              <w:t>）。2020年9月，建设单位委托陕西杨凌绿诚生态技术咨询有限公司编制《福建省福清海亮沃口一级渔港工程水土保持方案报告书》，并于2021年3月31日取得了福州市水利局的批复文件（榕水利批〔2021〕27号，附件</w:t>
            </w:r>
            <w:r>
              <w:rPr>
                <w:rFonts w:hint="eastAsia" w:cs="Times New Roman"/>
                <w:color w:val="000000"/>
                <w:highlight w:val="none"/>
                <w:lang w:val="en-US" w:eastAsia="zh-CN"/>
              </w:rPr>
              <w:t>16</w:t>
            </w:r>
            <w:r>
              <w:rPr>
                <w:rFonts w:hint="default" w:ascii="Times New Roman" w:hAnsi="Times New Roman" w:cs="Times New Roman"/>
                <w:color w:val="000000"/>
                <w:highlight w:val="none"/>
                <w:lang w:val="en-US" w:eastAsia="zh-CN"/>
              </w:rPr>
              <w:t>），根据水土保持方案报告书及其批复，本项目土石方平衡情况如下：</w:t>
            </w:r>
          </w:p>
          <w:p w14:paraId="2443D14F">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（1）主体工程区</w:t>
            </w:r>
          </w:p>
          <w:p w14:paraId="04A9EDAA">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本项目土石方工程主要包括：场地平整、南防波堤工程、东防波堤工程和港池疏浚工程等。</w:t>
            </w:r>
          </w:p>
          <w:p w14:paraId="5851D499">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①陆域形成</w:t>
            </w:r>
          </w:p>
          <w:p w14:paraId="0167CD6A">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本项目陆域形成主要为陆域场地平整、建构筑物基础挖填、表土挖填、管网及附属工程挖填等。陆域占地整体起伏较大，现状地面标高介于0.20m~62.54m之间，本工程陆域开挖至高程+4.00~+4.50m，</w:t>
            </w:r>
            <w:r>
              <w:rPr>
                <w:rFonts w:hint="default" w:ascii="Times New Roman" w:hAnsi="Times New Roman" w:cs="Times New Roman"/>
                <w:b/>
                <w:bCs/>
                <w:color w:val="000000"/>
                <w:highlight w:val="none"/>
                <w:lang w:val="en-US" w:eastAsia="zh-CN"/>
              </w:rPr>
              <w:t>陆域开挖整平不在本次评价范围内</w:t>
            </w:r>
            <w:r>
              <w:rPr>
                <w:rFonts w:hint="default" w:ascii="Times New Roman" w:hAnsi="Times New Roman" w:cs="Times New Roman"/>
                <w:color w:val="000000"/>
                <w:highlight w:val="none"/>
                <w:lang w:val="en-US" w:eastAsia="zh-CN"/>
              </w:rPr>
              <w:t>。因陆域前沿临海，陆域顶面高程不宜过低，考虑港内涌浪影响，并结合现有二级渔港陆域高程+5.00m，本次陆域形成顶面标高为+5.50m，即将陆域开挖至高程+4.00~+4.50m后，回填除中风化岩外其他开挖料（坡残积土、全风化岩、碎块状风化岩等）。</w:t>
            </w:r>
          </w:p>
          <w:p w14:paraId="50E556A0">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陆域形成共计土石方开挖753.15万m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（其中土方26.38万m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，石方726.77万m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）；土石方回填22.67万m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（全部为土方），调出方219.04万m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（全部为石方，其中29.80万m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调往南防波堤工程用于堤身回填，189.24万m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调往东防波堤工程用于堤身回填）；余方511.44万m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（其中石方507.73万m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，土方3.71万m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w:t>
            </w:r>
          </w:p>
          <w:p w14:paraId="26F62FAF">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②南防波堤</w:t>
            </w:r>
          </w:p>
          <w:p w14:paraId="16887436">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本项目南防波堤工程土石方开挖主要为堤身基槽开挖以及堤头开挖，土石方回填主要为基础回填块石、基槽回填块石、基床抛石、沉箱内填石以及堤心填石，本项目南防波堤工程共计土石方开挖13.76万m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（其中淤泥13.58万m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，石方0.18万m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）；土石方回填29.98万m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（全部为石方）；调入方29.80万m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（来源于陆域开挖石方）；余方13.58万m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（全部为淤泥）。</w:t>
            </w:r>
          </w:p>
          <w:p w14:paraId="6EF65CEB">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③东防波堤</w:t>
            </w:r>
          </w:p>
          <w:p w14:paraId="7CAE9E09">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本项目东防波堤工程土石方开挖主要为堤头开挖，土石方回填主要为堤心填石、护底块石回填、棱体块石回填以及护面块石回填，本项目东防波堤工程共计土石方开挖5.28万m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（全部为淤泥）；土石方回填189.24万m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（全部为石方）；调入方189.24万m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（来源于陆域开挖石方）；余方5.28万m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（全部为淤泥）。</w:t>
            </w:r>
          </w:p>
          <w:p w14:paraId="2CA1C455">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④港池疏浚</w:t>
            </w:r>
          </w:p>
          <w:p w14:paraId="46871A39">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本项目拟将海亮二级渔港码头</w:t>
            </w:r>
            <w:r>
              <w:rPr>
                <w:rFonts w:hint="default" w:ascii="Times New Roman" w:hAnsi="Times New Roman" w:cs="Times New Roman"/>
                <w:color w:val="000000"/>
                <w:highlight w:val="none"/>
              </w:rPr>
              <w:t>前沿疏浚至4.50m，疏浚坡底面积1.47万</w:t>
            </w:r>
            <w:r>
              <w:rPr>
                <w:rFonts w:hint="default" w:ascii="Times New Roman" w:hAnsi="Times New Roman" w:cs="Times New Roman"/>
                <w:color w:val="000000"/>
                <w:highlight w:val="none"/>
                <w:lang w:val="en-US" w:eastAsia="zh-CN"/>
              </w:rPr>
              <w:t>m</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rPr>
              <w:t>，坡比1:8，疏浚方量为4.84万</w:t>
            </w:r>
            <w:r>
              <w:rPr>
                <w:rFonts w:hint="default" w:ascii="Times New Roman" w:hAnsi="Times New Roman" w:cs="Times New Roman"/>
                <w:color w:val="000000"/>
                <w:highlight w:val="none"/>
                <w:lang w:val="en-US" w:eastAsia="zh-CN"/>
              </w:rPr>
              <w:t>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w:t>
            </w:r>
          </w:p>
          <w:p w14:paraId="22B31080">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b w:val="0"/>
                <w:bCs w:val="0"/>
                <w:color w:val="000000"/>
                <w:highlight w:val="none"/>
                <w:lang w:val="en-US" w:eastAsia="zh-CN"/>
              </w:rPr>
            </w:pPr>
            <w:r>
              <w:rPr>
                <w:rFonts w:hint="default" w:ascii="Times New Roman" w:hAnsi="Times New Roman" w:cs="Times New Roman"/>
                <w:b w:val="0"/>
                <w:bCs w:val="0"/>
                <w:color w:val="000000"/>
                <w:highlight w:val="none"/>
                <w:lang w:val="en-US" w:eastAsia="zh-CN"/>
              </w:rPr>
              <w:t>根据《福清市人民政府关于印发福清市建设工程项目涉及砂石资源处置监管工作方案（试行）的通知》（融政发〔2022〕6号），后方陆域山体开挖整平由福清市自然资源和规划局委托相关单位进行，剩余砂石资源（含淤泥）由属地政府进行公开有偿化处置，所得收益全部缴入市财政。</w:t>
            </w:r>
          </w:p>
          <w:p w14:paraId="3FB90723">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（2）施工生产区</w:t>
            </w:r>
          </w:p>
          <w:p w14:paraId="1900F8D6">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本项目施工生产区在施工前采取平整措施，共计土石方总挖方量0.03</w:t>
            </w:r>
            <w:r>
              <w:rPr>
                <w:rFonts w:hint="default" w:ascii="Times New Roman" w:hAnsi="Times New Roman" w:cs="Times New Roman"/>
                <w:color w:val="000000"/>
                <w:highlight w:val="none"/>
              </w:rPr>
              <w:t>万</w:t>
            </w:r>
            <w:r>
              <w:rPr>
                <w:rFonts w:hint="default" w:ascii="Times New Roman" w:hAnsi="Times New Roman" w:cs="Times New Roman"/>
                <w:color w:val="000000"/>
                <w:highlight w:val="none"/>
                <w:lang w:val="en-US" w:eastAsia="zh-CN"/>
              </w:rPr>
              <w:t>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；土石方总填方量0.03</w:t>
            </w:r>
            <w:r>
              <w:rPr>
                <w:rFonts w:hint="default" w:ascii="Times New Roman" w:hAnsi="Times New Roman" w:cs="Times New Roman"/>
                <w:color w:val="000000"/>
                <w:highlight w:val="none"/>
              </w:rPr>
              <w:t>万</w:t>
            </w:r>
            <w:r>
              <w:rPr>
                <w:rFonts w:hint="default" w:ascii="Times New Roman" w:hAnsi="Times New Roman" w:cs="Times New Roman"/>
                <w:color w:val="000000"/>
                <w:highlight w:val="none"/>
                <w:lang w:val="en-US" w:eastAsia="zh-CN"/>
              </w:rPr>
              <w:t>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w:t>
            </w:r>
          </w:p>
          <w:p w14:paraId="7ED38E2E">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（3）表土堆场区</w:t>
            </w:r>
          </w:p>
          <w:p w14:paraId="1B26F1D3">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本项目表土堆场区在表土堆放前采取平整措施，共计土石方总挖方量0.02</w:t>
            </w:r>
            <w:r>
              <w:rPr>
                <w:rFonts w:hint="default" w:ascii="Times New Roman" w:hAnsi="Times New Roman" w:cs="Times New Roman"/>
                <w:color w:val="000000"/>
                <w:highlight w:val="none"/>
              </w:rPr>
              <w:t>万</w:t>
            </w:r>
            <w:r>
              <w:rPr>
                <w:rFonts w:hint="default" w:ascii="Times New Roman" w:hAnsi="Times New Roman" w:cs="Times New Roman"/>
                <w:color w:val="000000"/>
                <w:highlight w:val="none"/>
                <w:lang w:val="en-US" w:eastAsia="zh-CN"/>
              </w:rPr>
              <w:t>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；土石方总填方量0.02</w:t>
            </w:r>
            <w:r>
              <w:rPr>
                <w:rFonts w:hint="default" w:ascii="Times New Roman" w:hAnsi="Times New Roman" w:cs="Times New Roman"/>
                <w:color w:val="000000"/>
                <w:highlight w:val="none"/>
              </w:rPr>
              <w:t>万</w:t>
            </w:r>
            <w:r>
              <w:rPr>
                <w:rFonts w:hint="default" w:ascii="Times New Roman" w:hAnsi="Times New Roman" w:cs="Times New Roman"/>
                <w:color w:val="000000"/>
                <w:highlight w:val="none"/>
                <w:lang w:val="en-US" w:eastAsia="zh-CN"/>
              </w:rPr>
              <w:t>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w:t>
            </w:r>
          </w:p>
          <w:p w14:paraId="568CBD55">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（4）淤泥晾干场</w:t>
            </w:r>
          </w:p>
          <w:p w14:paraId="0016CF3C">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本项目淤泥晾干场在淤泥堆放前采取平整措施，共计土石方总挖方量0.02</w:t>
            </w:r>
            <w:r>
              <w:rPr>
                <w:rFonts w:hint="default" w:ascii="Times New Roman" w:hAnsi="Times New Roman" w:cs="Times New Roman"/>
                <w:color w:val="000000"/>
                <w:highlight w:val="none"/>
              </w:rPr>
              <w:t>万</w:t>
            </w:r>
            <w:r>
              <w:rPr>
                <w:rFonts w:hint="default" w:ascii="Times New Roman" w:hAnsi="Times New Roman" w:cs="Times New Roman"/>
                <w:color w:val="000000"/>
                <w:highlight w:val="none"/>
                <w:lang w:val="en-US" w:eastAsia="zh-CN"/>
              </w:rPr>
              <w:t>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；土石方总填方量0.02</w:t>
            </w:r>
            <w:r>
              <w:rPr>
                <w:rFonts w:hint="default" w:ascii="Times New Roman" w:hAnsi="Times New Roman" w:cs="Times New Roman"/>
                <w:color w:val="000000"/>
                <w:highlight w:val="none"/>
              </w:rPr>
              <w:t>万</w:t>
            </w:r>
            <w:r>
              <w:rPr>
                <w:rFonts w:hint="default" w:ascii="Times New Roman" w:hAnsi="Times New Roman" w:cs="Times New Roman"/>
                <w:color w:val="000000"/>
                <w:highlight w:val="none"/>
                <w:lang w:val="en-US" w:eastAsia="zh-CN"/>
              </w:rPr>
              <w:t>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w:t>
            </w:r>
          </w:p>
          <w:p w14:paraId="06C96F94">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（5）土石方中转场</w:t>
            </w:r>
          </w:p>
          <w:p w14:paraId="46A7FD51">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本项目土石方中转场在土石方堆放前采取平整措施，共计土石方总挖方量0.05</w:t>
            </w:r>
            <w:r>
              <w:rPr>
                <w:rFonts w:hint="default" w:ascii="Times New Roman" w:hAnsi="Times New Roman" w:cs="Times New Roman"/>
                <w:color w:val="000000"/>
                <w:highlight w:val="none"/>
              </w:rPr>
              <w:t>万</w:t>
            </w:r>
            <w:r>
              <w:rPr>
                <w:rFonts w:hint="default" w:ascii="Times New Roman" w:hAnsi="Times New Roman" w:cs="Times New Roman"/>
                <w:color w:val="000000"/>
                <w:highlight w:val="none"/>
                <w:lang w:val="en-US" w:eastAsia="zh-CN"/>
              </w:rPr>
              <w:t>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；土石方总填方量0.05</w:t>
            </w:r>
            <w:r>
              <w:rPr>
                <w:rFonts w:hint="default" w:ascii="Times New Roman" w:hAnsi="Times New Roman" w:cs="Times New Roman"/>
                <w:color w:val="000000"/>
                <w:highlight w:val="none"/>
              </w:rPr>
              <w:t>万</w:t>
            </w:r>
            <w:r>
              <w:rPr>
                <w:rFonts w:hint="default" w:ascii="Times New Roman" w:hAnsi="Times New Roman" w:cs="Times New Roman"/>
                <w:color w:val="000000"/>
                <w:highlight w:val="none"/>
                <w:lang w:val="en-US" w:eastAsia="zh-CN"/>
              </w:rPr>
              <w:t>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w:t>
            </w:r>
          </w:p>
          <w:p w14:paraId="0C72542A">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（6）施工便道区</w:t>
            </w:r>
          </w:p>
          <w:p w14:paraId="60200728">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本项目施工便道区在施工前后采取平整措施，共计土石方总挖方量0.01</w:t>
            </w:r>
            <w:r>
              <w:rPr>
                <w:rFonts w:hint="default" w:ascii="Times New Roman" w:hAnsi="Times New Roman" w:cs="Times New Roman"/>
                <w:color w:val="000000"/>
                <w:highlight w:val="none"/>
              </w:rPr>
              <w:t>万</w:t>
            </w:r>
            <w:r>
              <w:rPr>
                <w:rFonts w:hint="default" w:ascii="Times New Roman" w:hAnsi="Times New Roman" w:cs="Times New Roman"/>
                <w:color w:val="000000"/>
                <w:highlight w:val="none"/>
                <w:lang w:val="en-US" w:eastAsia="zh-CN"/>
              </w:rPr>
              <w:t>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；土石方总填方量0.01</w:t>
            </w:r>
            <w:r>
              <w:rPr>
                <w:rFonts w:hint="default" w:ascii="Times New Roman" w:hAnsi="Times New Roman" w:cs="Times New Roman"/>
                <w:color w:val="000000"/>
                <w:highlight w:val="none"/>
              </w:rPr>
              <w:t>万</w:t>
            </w:r>
            <w:r>
              <w:rPr>
                <w:rFonts w:hint="default" w:ascii="Times New Roman" w:hAnsi="Times New Roman" w:cs="Times New Roman"/>
                <w:color w:val="000000"/>
                <w:highlight w:val="none"/>
                <w:lang w:val="en-US" w:eastAsia="zh-CN"/>
              </w:rPr>
              <w:t>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w:t>
            </w:r>
          </w:p>
          <w:p w14:paraId="0014D5C7">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u w:val="none"/>
                <w:lang w:val="en-US" w:eastAsia="zh-CN"/>
              </w:rPr>
            </w:pPr>
            <w:r>
              <w:rPr>
                <w:rFonts w:hint="default" w:ascii="Times New Roman" w:hAnsi="Times New Roman" w:cs="Times New Roman"/>
                <w:color w:val="000000"/>
                <w:highlight w:val="none"/>
                <w:lang w:val="en-US" w:eastAsia="zh-CN"/>
              </w:rPr>
              <w:t>项目土石方平衡流向框图见</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REF _Ref6993 \h </w:instrText>
            </w:r>
            <w:r>
              <w:rPr>
                <w:rFonts w:hint="default" w:ascii="Times New Roman" w:hAnsi="Times New Roman" w:cs="Times New Roman"/>
                <w:color w:val="000000"/>
                <w:highlight w:val="none"/>
                <w:lang w:val="en-US" w:eastAsia="zh-CN"/>
              </w:rPr>
              <w:fldChar w:fldCharType="separate"/>
            </w:r>
            <w:r>
              <w:rPr>
                <w:rFonts w:hint="default"/>
              </w:rPr>
              <w:t>图</w:t>
            </w:r>
            <w:r>
              <w:rPr>
                <w:rFonts w:hint="default"/>
              </w:rPr>
              <w:fldChar w:fldCharType="begin"/>
            </w:r>
            <w:r>
              <w:rPr>
                <w:rFonts w:hint="default"/>
              </w:rPr>
              <w:instrText xml:space="preserve"> STYLEREF 2 \s </w:instrText>
            </w:r>
            <w:r>
              <w:rPr>
                <w:rFonts w:hint="default"/>
              </w:rPr>
              <w:fldChar w:fldCharType="separate"/>
            </w:r>
            <w:r>
              <w:rPr>
                <w:rFonts w:hint="default"/>
              </w:rPr>
              <w:t>2.3</w:t>
            </w:r>
            <w:r>
              <w:rPr>
                <w:rFonts w:hint="default"/>
              </w:rPr>
              <w:fldChar w:fldCharType="end"/>
            </w:r>
            <w:r>
              <w:rPr>
                <w:rFonts w:hint="default"/>
                <w:lang w:eastAsia="zh-CN"/>
              </w:rPr>
              <w:t>-</w:t>
            </w:r>
            <w:r>
              <w:rPr>
                <w:rFonts w:hint="default"/>
              </w:rPr>
              <w:t>1</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val="en-US" w:eastAsia="zh-CN"/>
              </w:rPr>
              <w:t>，项目土石方平衡及流向表见</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REF _Ref7045 \h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2.3</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4</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val="en-US" w:eastAsia="zh-CN"/>
              </w:rPr>
              <w:t>。</w:t>
            </w:r>
          </w:p>
          <w:p w14:paraId="6910AC0C">
            <w:pPr>
              <w:pStyle w:val="31"/>
              <w:bidi w:val="0"/>
              <w:rPr>
                <w:rFonts w:hint="default"/>
                <w:lang w:val="en-US" w:eastAsia="zh-CN"/>
              </w:rPr>
            </w:pPr>
            <w:r>
              <w:rPr>
                <w:rFonts w:hint="eastAsia"/>
                <w:lang w:val="en-US" w:eastAsia="zh-CN"/>
              </w:rPr>
              <w:t>（涉密删除）</w:t>
            </w:r>
          </w:p>
          <w:p w14:paraId="40C8985B">
            <w:pPr>
              <w:pStyle w:val="30"/>
              <w:bidi w:val="0"/>
              <w:rPr>
                <w:rFonts w:hint="eastAsia"/>
                <w:vertAlign w:val="superscript"/>
                <w:lang w:val="en-US" w:eastAsia="zh-CN"/>
              </w:rPr>
            </w:pPr>
            <w:bookmarkStart w:id="154" w:name="_Ref6993"/>
            <w:r>
              <w:rPr>
                <w:rFonts w:hint="default"/>
              </w:rPr>
              <w:t>图</w:t>
            </w:r>
            <w:r>
              <w:rPr>
                <w:rFonts w:hint="default"/>
              </w:rPr>
              <w:fldChar w:fldCharType="begin"/>
            </w:r>
            <w:r>
              <w:rPr>
                <w:rFonts w:hint="default"/>
              </w:rPr>
              <w:instrText xml:space="preserve"> STYLEREF 2 \s </w:instrText>
            </w:r>
            <w:r>
              <w:rPr>
                <w:rFonts w:hint="default"/>
              </w:rPr>
              <w:fldChar w:fldCharType="separate"/>
            </w:r>
            <w:r>
              <w:rPr>
                <w:rFonts w:hint="default"/>
              </w:rPr>
              <w:t>2.3</w:t>
            </w:r>
            <w:r>
              <w:rPr>
                <w:rFonts w:hint="default"/>
              </w:rPr>
              <w:fldChar w:fldCharType="end"/>
            </w:r>
            <w:r>
              <w:rPr>
                <w:rFonts w:hint="default"/>
                <w:lang w:eastAsia="zh-CN"/>
              </w:rPr>
              <w:t>-</w:t>
            </w:r>
            <w:r>
              <w:rPr>
                <w:rFonts w:hint="default"/>
              </w:rPr>
              <w:fldChar w:fldCharType="begin"/>
            </w:r>
            <w:r>
              <w:rPr>
                <w:rFonts w:hint="default"/>
              </w:rPr>
              <w:instrText xml:space="preserve"> SEQ 图 \* ARABIC \s 2 </w:instrText>
            </w:r>
            <w:r>
              <w:rPr>
                <w:rFonts w:hint="default"/>
              </w:rPr>
              <w:fldChar w:fldCharType="separate"/>
            </w:r>
            <w:r>
              <w:rPr>
                <w:rFonts w:hint="default"/>
              </w:rPr>
              <w:t>1</w:t>
            </w:r>
            <w:r>
              <w:rPr>
                <w:rFonts w:hint="default"/>
              </w:rPr>
              <w:fldChar w:fldCharType="end"/>
            </w:r>
            <w:bookmarkEnd w:id="154"/>
            <w:r>
              <w:rPr>
                <w:rFonts w:hint="default"/>
                <w:lang w:val="en-US" w:eastAsia="zh-CN"/>
              </w:rPr>
              <w:t xml:space="preserve"> 项目土石方平衡流向框图    单位：万m</w:t>
            </w:r>
            <w:r>
              <w:rPr>
                <w:rFonts w:hint="eastAsia"/>
                <w:vertAlign w:val="superscript"/>
                <w:lang w:val="en-US" w:eastAsia="zh-CN"/>
              </w:rPr>
              <w:t>3</w:t>
            </w:r>
          </w:p>
          <w:p w14:paraId="5FDD6985">
            <w:pPr>
              <w:pStyle w:val="30"/>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2.3</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表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val="en-US" w:eastAsia="zh-CN"/>
              </w:rPr>
              <w:t xml:space="preserve"> 项目土石方平衡及流向表    单位：万m</w:t>
            </w:r>
            <w:r>
              <w:rPr>
                <w:rFonts w:hint="default" w:ascii="Times New Roman" w:hAnsi="Times New Roman" w:cs="Times New Roman"/>
                <w:color w:val="000000"/>
                <w:highlight w:val="none"/>
                <w:vertAlign w:val="superscript"/>
                <w:lang w:val="en-US" w:eastAsia="zh-CN"/>
              </w:rPr>
              <w:t>3</w:t>
            </w:r>
          </w:p>
          <w:p w14:paraId="5018E595">
            <w:pPr>
              <w:pStyle w:val="31"/>
              <w:bidi w:val="0"/>
              <w:rPr>
                <w:rFonts w:hint="default"/>
                <w:lang w:val="en-US" w:eastAsia="zh-CN"/>
              </w:rPr>
            </w:pPr>
            <w:r>
              <w:rPr>
                <w:rFonts w:hint="eastAsia"/>
                <w:lang w:val="en-US" w:eastAsia="zh-CN"/>
              </w:rPr>
              <w:t>（涉密删除）</w:t>
            </w:r>
          </w:p>
          <w:p w14:paraId="00C02636">
            <w:pPr>
              <w:pStyle w:val="31"/>
              <w:bidi w:val="0"/>
              <w:rPr>
                <w:rFonts w:hint="default"/>
                <w:lang w:val="en-US" w:eastAsia="zh-CN"/>
              </w:rPr>
            </w:pPr>
          </w:p>
          <w:p w14:paraId="30286613">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lang w:val="en-US" w:eastAsia="zh-CN"/>
              </w:rPr>
            </w:pPr>
          </w:p>
          <w:p w14:paraId="5BA0DEF8">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lang w:val="en-US" w:eastAsia="zh-CN"/>
              </w:rPr>
            </w:pPr>
          </w:p>
          <w:p w14:paraId="12D55980">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lang w:val="en-US" w:eastAsia="zh-CN"/>
              </w:rPr>
            </w:pPr>
          </w:p>
          <w:p w14:paraId="4F6222E3">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lang w:val="en-US" w:eastAsia="zh-CN"/>
              </w:rPr>
            </w:pPr>
          </w:p>
          <w:p w14:paraId="5DEBD3C0">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lang w:val="en-US" w:eastAsia="zh-CN"/>
              </w:rPr>
            </w:pPr>
          </w:p>
          <w:p w14:paraId="19EFB241">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lang w:val="en-US" w:eastAsia="zh-CN"/>
              </w:rPr>
            </w:pPr>
          </w:p>
          <w:p w14:paraId="35D31A43">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lang w:val="en-US" w:eastAsia="zh-CN"/>
              </w:rPr>
            </w:pPr>
          </w:p>
          <w:p w14:paraId="1D73DB66">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lang w:val="en-US" w:eastAsia="zh-CN"/>
              </w:rPr>
            </w:pPr>
          </w:p>
          <w:p w14:paraId="0ADFB46E">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lang w:val="en-US" w:eastAsia="zh-CN"/>
              </w:rPr>
            </w:pPr>
          </w:p>
          <w:p w14:paraId="3E4FEC4E">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lang w:val="en-US" w:eastAsia="zh-CN"/>
              </w:rPr>
            </w:pPr>
          </w:p>
          <w:p w14:paraId="6B880753">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lang w:val="en-US" w:eastAsia="zh-CN"/>
              </w:rPr>
            </w:pPr>
          </w:p>
          <w:p w14:paraId="3419FA32">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lang w:val="en-US" w:eastAsia="zh-CN"/>
              </w:rPr>
            </w:pPr>
          </w:p>
          <w:p w14:paraId="799361C2">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lang w:val="en-US" w:eastAsia="zh-CN"/>
              </w:rPr>
            </w:pPr>
          </w:p>
          <w:p w14:paraId="392E2402">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lang w:val="en-US" w:eastAsia="zh-CN"/>
              </w:rPr>
            </w:pPr>
          </w:p>
          <w:p w14:paraId="733506D8">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lang w:val="en-US" w:eastAsia="zh-CN"/>
              </w:rPr>
            </w:pPr>
          </w:p>
        </w:tc>
      </w:tr>
    </w:tbl>
    <w:p w14:paraId="11CCD441">
      <w:pPr>
        <w:bidi w:val="0"/>
        <w:rPr>
          <w:rFonts w:hint="default"/>
        </w:rPr>
        <w:sectPr>
          <w:pgSz w:w="11906" w:h="16838"/>
          <w:pgMar w:top="1701" w:right="1531" w:bottom="1701" w:left="1531" w:header="851" w:footer="1077" w:gutter="0"/>
          <w:pgNumType w:fmt="decimal"/>
          <w:cols w:space="720" w:num="1"/>
          <w:docGrid w:linePitch="312" w:charSpace="0"/>
        </w:sectPr>
      </w:pPr>
    </w:p>
    <w:tbl>
      <w:tblPr>
        <w:tblStyle w:val="21"/>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08" w:type="dxa"/>
          <w:left w:w="108" w:type="dxa"/>
          <w:bottom w:w="108" w:type="dxa"/>
          <w:right w:w="108" w:type="dxa"/>
        </w:tblCellMar>
      </w:tblPr>
      <w:tblGrid>
        <w:gridCol w:w="710"/>
        <w:gridCol w:w="8380"/>
      </w:tblGrid>
      <w:tr w14:paraId="6F2E7E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8" w:type="dxa"/>
            <w:left w:w="108" w:type="dxa"/>
            <w:bottom w:w="108" w:type="dxa"/>
            <w:right w:w="108" w:type="dxa"/>
          </w:tblCellMar>
        </w:tblPrEx>
        <w:trPr>
          <w:trHeight w:val="516" w:hRule="atLeast"/>
          <w:jc w:val="center"/>
        </w:trPr>
        <w:tc>
          <w:tcPr>
            <w:tcW w:w="710" w:type="dxa"/>
            <w:noWrap w:val="0"/>
            <w:vAlign w:val="center"/>
          </w:tcPr>
          <w:p w14:paraId="65004CD4">
            <w:pPr>
              <w:bidi w:val="0"/>
              <w:spacing w:line="360" w:lineRule="auto"/>
              <w:jc w:val="center"/>
              <w:rPr>
                <w:rFonts w:hint="default" w:ascii="Times New Roman" w:hAnsi="Times New Roman" w:cs="Times New Roman"/>
                <w:color w:val="000000"/>
                <w:u w:val="none"/>
              </w:rPr>
            </w:pPr>
            <w:r>
              <w:rPr>
                <w:rFonts w:hint="default" w:ascii="Times New Roman" w:hAnsi="Times New Roman" w:eastAsia="宋体" w:cs="Times New Roman"/>
                <w:color w:val="000000"/>
                <w:kern w:val="0"/>
                <w:szCs w:val="21"/>
                <w:u w:val="none"/>
              </w:rPr>
              <w:t>项目组成及规模</w:t>
            </w:r>
          </w:p>
        </w:tc>
        <w:tc>
          <w:tcPr>
            <w:tcW w:w="8380" w:type="dxa"/>
            <w:noWrap w:val="0"/>
            <w:vAlign w:val="top"/>
          </w:tcPr>
          <w:p w14:paraId="640CF8F8">
            <w:pPr>
              <w:pStyle w:val="4"/>
              <w:bidi w:val="0"/>
              <w:ind w:left="567" w:leftChars="0" w:hanging="567" w:firstLineChars="0"/>
              <w:rPr>
                <w:rFonts w:hint="default"/>
                <w:lang w:val="en-US" w:eastAsia="zh-CN"/>
              </w:rPr>
            </w:pPr>
            <w:r>
              <w:rPr>
                <w:rFonts w:hint="eastAsia"/>
                <w:lang w:val="en-US" w:eastAsia="zh-CN"/>
              </w:rPr>
              <w:t>配套工程</w:t>
            </w:r>
          </w:p>
          <w:p w14:paraId="4A02DF63">
            <w:pPr>
              <w:keepNext w:val="0"/>
              <w:keepLines w:val="0"/>
              <w:pageBreakBefore w:val="0"/>
              <w:widowControl w:val="0"/>
              <w:numPr>
                <w:ilvl w:val="0"/>
                <w:numId w:val="4"/>
              </w:numPr>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港外道路</w:t>
            </w:r>
          </w:p>
          <w:p w14:paraId="1FA9948A">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目前已有沿海公路可直通港区，本工程进港道路不需另作设计。</w:t>
            </w:r>
          </w:p>
          <w:p w14:paraId="20C82A65">
            <w:pPr>
              <w:keepNext w:val="0"/>
              <w:keepLines w:val="0"/>
              <w:pageBreakBefore w:val="0"/>
              <w:widowControl w:val="0"/>
              <w:numPr>
                <w:ilvl w:val="0"/>
                <w:numId w:val="4"/>
              </w:numPr>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供电、照明</w:t>
            </w:r>
          </w:p>
          <w:p w14:paraId="4A84A3C2">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①供电</w:t>
            </w:r>
          </w:p>
          <w:p w14:paraId="5C4A8F13">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本工程供电电源由就近变电所引接1路380V低压线路，沿港区主干道敷设至码头配电箱。配电房采用一路0.4KV电源进线，采用阻燃铜芯电力电缆引自就近的10KV变电站，配电房考虑设置于陆域后方综合管理区、晒网区、卸渔区内。</w:t>
            </w:r>
          </w:p>
          <w:p w14:paraId="0FB1B978">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②照明</w:t>
            </w:r>
          </w:p>
          <w:p w14:paraId="1FC1E6E6">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本工程码头前沿照度设为10~15LX，道路照度设为5~10LX。码头及室外路灯灯源均采用显色性较高的金属卤化物灯或LED灯，码头高杆灯灯源采用高压钠灯，安装高度为18m，室外路灯安装高度为10米水平倾角不大于5度。</w:t>
            </w:r>
          </w:p>
          <w:p w14:paraId="6A0AAADE">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③防雷与接地</w:t>
            </w:r>
          </w:p>
          <w:p w14:paraId="25FAE970">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由于本工程电源引入形式待定，接地系统暂按TN-C-S形式设计，PEN线重复接地后PE线与N线严格分开，接地电阻不大于4欧姆。</w:t>
            </w:r>
          </w:p>
          <w:p w14:paraId="208FB091">
            <w:pPr>
              <w:keepNext w:val="0"/>
              <w:keepLines w:val="0"/>
              <w:pageBreakBefore w:val="0"/>
              <w:widowControl w:val="0"/>
              <w:numPr>
                <w:ilvl w:val="0"/>
                <w:numId w:val="4"/>
              </w:numPr>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给排水</w:t>
            </w:r>
          </w:p>
          <w:p w14:paraId="5E2F49B5">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①给水</w:t>
            </w:r>
          </w:p>
          <w:p w14:paraId="35F55258">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码头给水水源由现有市政给水管道引入，供水水压不小于0.25MPa，码头及陆域场区分别引入一个DN150的给水口，接入点位置位于现有二级渔港码头后方场地。</w:t>
            </w:r>
          </w:p>
          <w:p w14:paraId="1CC47ADE">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②排水</w:t>
            </w:r>
          </w:p>
          <w:p w14:paraId="28E00924">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港区排水系统采用雨污分流制，主要排放雨水、生活污水和生产污水。</w:t>
            </w:r>
          </w:p>
          <w:p w14:paraId="68A23B0A">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A、雨水排水系统</w:t>
            </w:r>
          </w:p>
          <w:p w14:paraId="6F322A6B">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本项目拟在码头、卸渔区布设雨水收集沟，收集的初期雨水进入收集池，</w:t>
            </w:r>
            <w:r>
              <w:rPr>
                <w:rFonts w:hint="default" w:ascii="Times New Roman" w:hAnsi="Times New Roman" w:cs="Times New Roman"/>
                <w:color w:val="000000"/>
                <w:highlight w:val="none"/>
              </w:rPr>
              <w:t>经港区污水处理</w:t>
            </w:r>
            <w:r>
              <w:rPr>
                <w:rFonts w:hint="default" w:ascii="Times New Roman" w:hAnsi="Times New Roman" w:cs="Times New Roman"/>
                <w:color w:val="000000"/>
                <w:highlight w:val="none"/>
                <w:lang w:val="en-US" w:eastAsia="zh-CN"/>
              </w:rPr>
              <w:t>站</w:t>
            </w:r>
            <w:r>
              <w:rPr>
                <w:rFonts w:hint="default" w:ascii="Times New Roman" w:hAnsi="Times New Roman" w:cs="Times New Roman"/>
                <w:color w:val="000000"/>
                <w:highlight w:val="none"/>
              </w:rPr>
              <w:t>处理后</w:t>
            </w:r>
            <w:r>
              <w:rPr>
                <w:rFonts w:hint="default" w:ascii="Times New Roman" w:hAnsi="Times New Roman" w:cs="Times New Roman"/>
                <w:color w:val="000000"/>
                <w:highlight w:val="none"/>
                <w:lang w:val="en-US" w:eastAsia="zh-CN"/>
              </w:rPr>
              <w:t>回用于港区绿化灌溉、洒水及冲洗用水</w:t>
            </w:r>
            <w:r>
              <w:rPr>
                <w:rFonts w:hint="default" w:ascii="Times New Roman" w:hAnsi="Times New Roman" w:cs="Times New Roman"/>
                <w:color w:val="000000"/>
                <w:highlight w:val="none"/>
              </w:rPr>
              <w:t>。收集池用于收集初期雨水</w:t>
            </w:r>
            <w:r>
              <w:rPr>
                <w:rFonts w:hint="default" w:ascii="Times New Roman" w:hAnsi="Times New Roman" w:cs="Times New Roman"/>
                <w:color w:val="000000"/>
                <w:highlight w:val="none"/>
                <w:lang w:val="en-US" w:eastAsia="zh-CN"/>
              </w:rPr>
              <w:t>或冲洗废水</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收集池前设置转换闸门，雨天收集前15分钟初期雨水后，转换闸门，15分钟后干净的雨水可通过收集管排放入海。</w:t>
            </w:r>
          </w:p>
          <w:p w14:paraId="422F937C">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B、污水处理及排放系统</w:t>
            </w:r>
          </w:p>
          <w:p w14:paraId="29B39CD4">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rPr>
              <w:t>码头区</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卸渔区</w:t>
            </w:r>
            <w:r>
              <w:rPr>
                <w:rFonts w:hint="default" w:ascii="Times New Roman" w:hAnsi="Times New Roman" w:cs="Times New Roman"/>
                <w:color w:val="000000"/>
                <w:highlight w:val="none"/>
              </w:rPr>
              <w:t>设置废水收集沟，清洗废水经收集后接入港区自建污水处理站处理</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食堂废水经隔油池沉淀后，与生活污水一同经过化粪池处理后，</w:t>
            </w:r>
            <w:r>
              <w:rPr>
                <w:rFonts w:hint="default" w:ascii="Times New Roman" w:hAnsi="Times New Roman" w:cs="Times New Roman"/>
                <w:color w:val="000000"/>
                <w:highlight w:val="none"/>
              </w:rPr>
              <w:t>接入港区自建污水处理站处理。</w:t>
            </w:r>
            <w:r>
              <w:rPr>
                <w:rFonts w:hint="default" w:ascii="Times New Roman" w:hAnsi="Times New Roman" w:cs="Times New Roman"/>
                <w:color w:val="000000"/>
                <w:highlight w:val="none"/>
                <w:lang w:val="en-US" w:eastAsia="zh-CN"/>
              </w:rPr>
              <w:t>各类废水经</w:t>
            </w:r>
            <w:r>
              <w:rPr>
                <w:rFonts w:hint="default" w:ascii="Times New Roman" w:hAnsi="Times New Roman" w:cs="Times New Roman"/>
                <w:color w:val="000000"/>
                <w:highlight w:val="none"/>
                <w:vertAlign w:val="baseline"/>
                <w:lang w:val="en-US" w:eastAsia="zh-CN"/>
              </w:rPr>
              <w:t>污水处理站处理后</w:t>
            </w:r>
            <w:r>
              <w:rPr>
                <w:rFonts w:hint="default" w:ascii="Times New Roman" w:hAnsi="Times New Roman" w:cs="Times New Roman"/>
                <w:color w:val="000000"/>
                <w:highlight w:val="none"/>
              </w:rPr>
              <w:t>回用于港区绿化灌溉、洒水及冲洗用水</w:t>
            </w:r>
            <w:r>
              <w:rPr>
                <w:rFonts w:hint="default" w:ascii="Times New Roman" w:hAnsi="Times New Roman" w:cs="Times New Roman"/>
                <w:color w:val="000000"/>
                <w:highlight w:val="none"/>
                <w:lang w:val="en-US" w:eastAsia="zh-CN"/>
              </w:rPr>
              <w:t>。</w:t>
            </w:r>
          </w:p>
          <w:p w14:paraId="331D9B75">
            <w:pPr>
              <w:keepNext w:val="0"/>
              <w:keepLines w:val="0"/>
              <w:pageBreakBefore w:val="0"/>
              <w:widowControl w:val="0"/>
              <w:numPr>
                <w:ilvl w:val="0"/>
                <w:numId w:val="4"/>
              </w:numPr>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消防</w:t>
            </w:r>
          </w:p>
          <w:p w14:paraId="0CD9EE51">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本工程设计渔货卸港量4.24万吨，工程主要装卸的货种为各类水产品，防火对象为码头、执法办证中心等渔港配套基础设施。根据《建筑设计防火规范》（GB50016-2014）规定：堆场火灾危险性为戊类，建筑物最低耐火等级为二级。拟建渔港总占地面积&lt;100公顷，根据《建筑设计防火规范》（GB50016-2014）要求，港区同一时间内的火灾次数按一次考虑。</w:t>
            </w:r>
          </w:p>
          <w:p w14:paraId="63F68D34">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本工程灭火剂主要采用水，本工程码头范围内消防依托港区陆域消防设施，消火栓的间距120m，消火栓的保护范围在150m之内。室外消火栓消防用水量采用15L/s，港区一次消防水量为108m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。室外消防给水由现有市政水源供给，成之状布置。消防管道≥DN100采用HDPE钢丝网骨架复合管，热熔连接&lt;DN100采用衬塑钢塑复合管，螺纹连接，工作压力1.0MPa。</w:t>
            </w:r>
          </w:p>
          <w:p w14:paraId="00A110B0">
            <w:pPr>
              <w:keepNext w:val="0"/>
              <w:keepLines w:val="0"/>
              <w:pageBreakBefore w:val="0"/>
              <w:widowControl w:val="0"/>
              <w:numPr>
                <w:ilvl w:val="0"/>
                <w:numId w:val="4"/>
              </w:numPr>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智慧渔港系统</w:t>
            </w:r>
          </w:p>
          <w:p w14:paraId="5AA1F7CC">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本次智慧渔港建设项目，主要以渔港行政管理部门的业务为主线，提供满足渔港船只进出港管理——上岸后的渔获物管理——水产品的交易管理和渔船的供给、维护等综合管理服务。同时针对智慧渔港的业务支线，例如：渔港执法中队、渔港运营管理单位，智慧渔港平台还将提供数据共享服务。该平台结合渔港行政管理部门业务，主要提供以下10个业务子系统功能，搭建智慧渔港完整信息化体系。</w:t>
            </w:r>
          </w:p>
          <w:p w14:paraId="464F383E">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①视频监控网：包括渔港综合可视化大屏系统、渔船进出港管理系统。</w:t>
            </w:r>
          </w:p>
          <w:p w14:paraId="77D9A430">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②数据资源中心：包括渔港数据中心、渔港指挥调度系统。</w:t>
            </w:r>
          </w:p>
          <w:p w14:paraId="3329FF35">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③智慧渔港一体化综合管理平台：包括渔获物综合管理系统、渔港公众服务平台、渔港业务系统集成服务、后台管理系统。</w:t>
            </w:r>
          </w:p>
          <w:p w14:paraId="430D6D97">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④硬件资源：为保障整个平台的正常运行，基于渔港行政管理单位的机房网络基础，为该平台配备必要的机房服务器。为实现渔港监测的全面覆盖，于渔港港区、渔船和重点保护工程或区域配备必要的监测传感设备，主要包括：固态连续波雷达、定位光电设备、AIS接收基站等。</w:t>
            </w:r>
          </w:p>
          <w:p w14:paraId="0443B319">
            <w:pPr>
              <w:pStyle w:val="4"/>
              <w:bidi w:val="0"/>
              <w:ind w:left="567" w:leftChars="0" w:hanging="567" w:firstLineChars="0"/>
              <w:rPr>
                <w:rFonts w:hint="default"/>
                <w:lang w:val="en-US" w:eastAsia="zh-CN"/>
              </w:rPr>
            </w:pPr>
            <w:r>
              <w:rPr>
                <w:rFonts w:hint="eastAsia"/>
                <w:lang w:val="en-US" w:eastAsia="zh-CN"/>
              </w:rPr>
              <w:t>渔港工艺</w:t>
            </w:r>
          </w:p>
          <w:p w14:paraId="4F6CB56E">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（1）渔船港内作业流程</w:t>
            </w:r>
          </w:p>
          <w:p w14:paraId="5CCC027F">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渔船进港→卸渔码头→渔船出港</w:t>
            </w:r>
          </w:p>
          <w:p w14:paraId="34EE3B8F">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2</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水产品港内流向</w:t>
            </w:r>
          </w:p>
          <w:p w14:paraId="60388637">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rPr>
              <w:drawing>
                <wp:inline distT="0" distB="0" distL="114300" distR="114300">
                  <wp:extent cx="2552700" cy="1362075"/>
                  <wp:effectExtent l="0" t="0" r="0" b="9525"/>
                  <wp:docPr id="187" name="图片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058"/>
                          <pic:cNvPicPr>
                            <a:picLocks noChangeAspect="1"/>
                          </pic:cNvPicPr>
                        </pic:nvPicPr>
                        <pic:blipFill>
                          <a:blip r:embed="rId15"/>
                          <a:stretch>
                            <a:fillRect/>
                          </a:stretch>
                        </pic:blipFill>
                        <pic:spPr>
                          <a:xfrm>
                            <a:off x="0" y="0"/>
                            <a:ext cx="2552700" cy="1362075"/>
                          </a:xfrm>
                          <a:prstGeom prst="rect">
                            <a:avLst/>
                          </a:prstGeom>
                          <a:noFill/>
                          <a:ln>
                            <a:noFill/>
                          </a:ln>
                        </pic:spPr>
                      </pic:pic>
                    </a:graphicData>
                  </a:graphic>
                </wp:inline>
              </w:drawing>
            </w:r>
          </w:p>
          <w:p w14:paraId="65558794">
            <w:pPr>
              <w:pStyle w:val="30"/>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rPr>
              <w:t>图</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2.3</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图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2</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val="en-US" w:eastAsia="zh-CN"/>
              </w:rPr>
              <w:t xml:space="preserve"> 水产品港内流向示意图</w:t>
            </w:r>
          </w:p>
          <w:p w14:paraId="1709146E">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b w:val="0"/>
                <w:bCs w:val="0"/>
                <w:color w:val="000000"/>
                <w:highlight w:val="none"/>
                <w:lang w:val="en-US" w:eastAsia="zh-CN"/>
              </w:rPr>
            </w:pPr>
            <w:r>
              <w:rPr>
                <w:rFonts w:hint="default" w:ascii="Times New Roman" w:hAnsi="Times New Roman" w:cs="Times New Roman"/>
                <w:b w:val="0"/>
                <w:bCs w:val="0"/>
                <w:color w:val="000000"/>
                <w:highlight w:val="none"/>
                <w:lang w:val="en-US" w:eastAsia="zh-CN"/>
              </w:rPr>
              <w:t>本项目建设不包含理鱼间和水产品加工区。</w:t>
            </w:r>
          </w:p>
          <w:p w14:paraId="09203D50">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（3）码头装卸工艺</w:t>
            </w:r>
          </w:p>
          <w:p w14:paraId="67B67085">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lang w:val="en-US" w:eastAsia="zh-CN"/>
              </w:rPr>
            </w:pPr>
            <w:r>
              <w:rPr>
                <w:rFonts w:hint="default" w:ascii="Times New Roman" w:hAnsi="Times New Roman" w:cs="Times New Roman"/>
                <w:color w:val="000000"/>
                <w:highlight w:val="none"/>
                <w:lang w:val="en-US" w:eastAsia="zh-CN"/>
              </w:rPr>
              <w:t>渔货和渔需物资的垂直运输采用机械作业为主，配合人力作业上岸，水平运输以汽车、农用车作业为主。卸渔码头按每泊位配置1台5t汽车吊或轮胎吊，新建码头每个泊位设踏步，方便人力装卸零星的鱼货和渔需物资。港内鱼货和物资水平运输采用农用车（由货主自行配置）进行运输。</w:t>
            </w:r>
          </w:p>
        </w:tc>
      </w:tr>
      <w:tr w14:paraId="3A9CEF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8" w:type="dxa"/>
            <w:left w:w="108" w:type="dxa"/>
            <w:bottom w:w="108" w:type="dxa"/>
            <w:right w:w="108" w:type="dxa"/>
          </w:tblCellMar>
        </w:tblPrEx>
        <w:trPr>
          <w:trHeight w:val="516" w:hRule="atLeast"/>
          <w:jc w:val="center"/>
        </w:trPr>
        <w:tc>
          <w:tcPr>
            <w:tcW w:w="710" w:type="dxa"/>
            <w:noWrap w:val="0"/>
            <w:vAlign w:val="center"/>
          </w:tcPr>
          <w:p w14:paraId="11F173D5">
            <w:pPr>
              <w:bidi w:val="0"/>
              <w:spacing w:line="360" w:lineRule="auto"/>
              <w:jc w:val="center"/>
              <w:rPr>
                <w:rFonts w:hint="default" w:ascii="Times New Roman" w:hAnsi="Times New Roman" w:cs="Times New Roman"/>
                <w:color w:val="000000"/>
                <w:u w:val="none"/>
              </w:rPr>
            </w:pPr>
            <w:r>
              <w:rPr>
                <w:rFonts w:hint="default" w:ascii="Times New Roman" w:hAnsi="Times New Roman" w:cs="Times New Roman"/>
                <w:color w:val="000000"/>
                <w:u w:val="none"/>
              </w:rPr>
              <w:t>总平面及现场布置</w:t>
            </w:r>
          </w:p>
        </w:tc>
        <w:tc>
          <w:tcPr>
            <w:tcW w:w="8380" w:type="dxa"/>
            <w:noWrap w:val="0"/>
            <w:vAlign w:val="top"/>
          </w:tcPr>
          <w:p w14:paraId="4D2B86F4">
            <w:pPr>
              <w:pStyle w:val="3"/>
              <w:bidi w:val="0"/>
              <w:ind w:left="567" w:leftChars="0" w:hanging="567" w:firstLineChars="0"/>
              <w:rPr>
                <w:rFonts w:hint="default"/>
                <w:lang w:val="en-US" w:eastAsia="zh-CN"/>
              </w:rPr>
            </w:pPr>
            <w:bookmarkStart w:id="155" w:name="_Toc15396"/>
            <w:bookmarkStart w:id="156" w:name="_Toc11929"/>
            <w:bookmarkStart w:id="157" w:name="_Toc15700"/>
            <w:r>
              <w:rPr>
                <w:rFonts w:hint="default"/>
                <w:lang w:val="en-US" w:eastAsia="zh-CN"/>
              </w:rPr>
              <w:t>总平面及现场布置</w:t>
            </w:r>
            <w:bookmarkEnd w:id="155"/>
            <w:bookmarkEnd w:id="156"/>
            <w:bookmarkEnd w:id="157"/>
          </w:p>
          <w:p w14:paraId="7E7236F3">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本项目总平面布置概念图见</w:t>
            </w:r>
            <w:r>
              <w:rPr>
                <w:rFonts w:hint="eastAsia" w:ascii="Times New Roman" w:hAnsi="Times New Roman" w:cs="Times New Roman"/>
                <w:color w:val="000000"/>
                <w:highlight w:val="none"/>
                <w:lang w:val="en-US" w:eastAsia="zh-CN"/>
              </w:rPr>
              <w:t>附图</w:t>
            </w:r>
            <w:r>
              <w:rPr>
                <w:rFonts w:hint="eastAsia" w:cs="Times New Roman"/>
                <w:color w:val="000000"/>
                <w:highlight w:val="none"/>
                <w:lang w:val="en-US" w:eastAsia="zh-CN"/>
              </w:rPr>
              <w:t>2</w:t>
            </w:r>
            <w:r>
              <w:rPr>
                <w:rFonts w:hint="default" w:ascii="Times New Roman" w:hAnsi="Times New Roman" w:cs="Times New Roman"/>
                <w:color w:val="000000"/>
                <w:highlight w:val="none"/>
                <w:lang w:val="en-US" w:eastAsia="zh-CN"/>
              </w:rPr>
              <w:t>。根据本项目初设推荐的总平面布置方案一及项目海域使用论证报告内容，本项目总平面布置见</w:t>
            </w:r>
            <w:r>
              <w:rPr>
                <w:rFonts w:hint="eastAsia" w:ascii="Times New Roman" w:hAnsi="Times New Roman" w:cs="Times New Roman"/>
                <w:color w:val="000000"/>
                <w:highlight w:val="none"/>
                <w:lang w:val="en-US" w:eastAsia="zh-CN"/>
              </w:rPr>
              <w:t>附图</w:t>
            </w:r>
            <w:r>
              <w:rPr>
                <w:rFonts w:hint="eastAsia" w:cs="Times New Roman"/>
                <w:color w:val="000000"/>
                <w:highlight w:val="none"/>
                <w:lang w:val="en-US" w:eastAsia="zh-CN"/>
              </w:rPr>
              <w:t>3</w:t>
            </w:r>
            <w:r>
              <w:rPr>
                <w:rFonts w:hint="default" w:ascii="Times New Roman" w:hAnsi="Times New Roman" w:cs="Times New Roman"/>
                <w:color w:val="000000"/>
                <w:highlight w:val="none"/>
                <w:lang w:val="en-US" w:eastAsia="zh-CN"/>
              </w:rPr>
              <w:t>。根据《福清市自然资源和规划局关于福建省福清市海亮沃口一级渔港工程陆域平面规划审核意见的报告》（融自然综〔2024〕1527号，附件13）及工程设计方案规划许可意见书（附件14），本项目陆域具体布置见</w:t>
            </w:r>
            <w:r>
              <w:rPr>
                <w:rFonts w:hint="eastAsia" w:ascii="Times New Roman" w:hAnsi="Times New Roman" w:cs="Times New Roman"/>
                <w:color w:val="000000"/>
                <w:highlight w:val="none"/>
                <w:lang w:val="en-US" w:eastAsia="zh-CN"/>
              </w:rPr>
              <w:t>附图</w:t>
            </w:r>
            <w:r>
              <w:rPr>
                <w:rFonts w:hint="eastAsia" w:cs="Times New Roman"/>
                <w:color w:val="000000"/>
                <w:highlight w:val="none"/>
                <w:lang w:val="en-US" w:eastAsia="zh-CN"/>
              </w:rPr>
              <w:t>5</w:t>
            </w:r>
            <w:r>
              <w:rPr>
                <w:rFonts w:hint="default" w:ascii="Times New Roman" w:hAnsi="Times New Roman" w:cs="Times New Roman"/>
                <w:color w:val="000000"/>
                <w:highlight w:val="none"/>
                <w:lang w:val="en-US" w:eastAsia="zh-CN"/>
              </w:rPr>
              <w:t>。</w:t>
            </w:r>
          </w:p>
          <w:p w14:paraId="2347D4BC">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（1）水域布置</w:t>
            </w:r>
          </w:p>
          <w:p w14:paraId="4E09089A">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根据海亮沃口渔港港区的港湾形态、水深地形及风浪条件，本方案拟建防波堤全长1770m，其中东防波堤拟从港区离岸300m处（王马仔岛西侧）自西北向东南建设防波堤AB段长425m，随后拐向东南侧建设防波堤BC段长1125m，形成东防波堤长1550m；在二级渔港所在澳口口门附近山体突出部建设南防波堤兼码头长220m，其中防波堤内侧160m兼做4个200HP渔船泊位，外侧150m兼做3个600HP渔船泊位（兼靠3000吨冷藏船，结构预留10000吨散货船）；东防波堤北侧与近岸山体间形成朝向北、宽244m口门，东防波堤与南防波堤间形成朝向南侧、宽65m的口门，</w:t>
            </w:r>
            <w:r>
              <w:rPr>
                <w:rFonts w:hint="default" w:ascii="Times New Roman" w:hAnsi="Times New Roman" w:cs="Times New Roman"/>
                <w:color w:val="000000"/>
                <w:highlight w:val="none"/>
              </w:rPr>
              <w:t>形成港内水域面积约为</w:t>
            </w:r>
            <w:r>
              <w:rPr>
                <w:rFonts w:hint="default" w:ascii="Times New Roman" w:hAnsi="Times New Roman" w:cs="Times New Roman"/>
                <w:color w:val="000000"/>
                <w:highlight w:val="none"/>
                <w:lang w:val="en-US" w:eastAsia="zh-CN"/>
              </w:rPr>
              <w:t>59.24</w:t>
            </w:r>
            <w:r>
              <w:rPr>
                <w:rFonts w:hint="default" w:ascii="Times New Roman" w:hAnsi="Times New Roman" w:cs="Times New Roman"/>
                <w:color w:val="000000"/>
                <w:highlight w:val="none"/>
              </w:rPr>
              <w:t>万</w:t>
            </w:r>
            <w:r>
              <w:rPr>
                <w:rFonts w:hint="default" w:ascii="Times New Roman" w:hAnsi="Times New Roman" w:cs="Times New Roman"/>
                <w:color w:val="000000"/>
                <w:highlight w:val="none"/>
                <w:lang w:val="en-US" w:eastAsia="zh-CN"/>
              </w:rPr>
              <w:t>m</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lang w:val="en-US" w:eastAsia="zh-CN"/>
              </w:rPr>
              <w:t>。另外，为满足东防波堤施工需要，拟从南防波堤东侧中部架立长119.5m的钢便桥至东防波堤南侧近堤头处。</w:t>
            </w:r>
          </w:p>
          <w:p w14:paraId="3D2F35B8">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此外，</w:t>
            </w:r>
            <w:r>
              <w:rPr>
                <w:rFonts w:hint="default" w:ascii="Times New Roman" w:hAnsi="Times New Roman" w:cs="Times New Roman"/>
                <w:color w:val="000000"/>
                <w:highlight w:val="none"/>
              </w:rPr>
              <w:t>考虑海亮</w:t>
            </w:r>
            <w:r>
              <w:rPr>
                <w:rFonts w:hint="default" w:ascii="Times New Roman" w:hAnsi="Times New Roman" w:cs="Times New Roman"/>
                <w:color w:val="000000"/>
                <w:highlight w:val="none"/>
                <w:lang w:val="en-US" w:eastAsia="zh-CN"/>
              </w:rPr>
              <w:t>沃口</w:t>
            </w:r>
            <w:r>
              <w:rPr>
                <w:rFonts w:hint="default" w:ascii="Times New Roman" w:hAnsi="Times New Roman" w:cs="Times New Roman"/>
                <w:color w:val="000000"/>
                <w:highlight w:val="none"/>
              </w:rPr>
              <w:t>二级渔港码头前沿水深</w:t>
            </w:r>
            <w:r>
              <w:rPr>
                <w:rFonts w:hint="default" w:ascii="Times New Roman" w:hAnsi="Times New Roman" w:cs="Times New Roman"/>
                <w:color w:val="000000"/>
                <w:highlight w:val="none"/>
                <w:lang w:val="en-US" w:eastAsia="zh-CN"/>
              </w:rPr>
              <w:t>较浅，现状水深为-1.50~-4.34m</w:t>
            </w:r>
            <w:r>
              <w:rPr>
                <w:rFonts w:hint="default" w:ascii="Times New Roman" w:hAnsi="Times New Roman" w:cs="Times New Roman"/>
                <w:color w:val="000000"/>
                <w:highlight w:val="none"/>
              </w:rPr>
              <w:t>，中、小型渔船需乘潮进港，结合已建重力式码头基床顶面高程为-4.50m，故拟将二级渔港码头前沿疏浚至4.50m，疏浚坡底面积1.47万</w:t>
            </w:r>
            <w:r>
              <w:rPr>
                <w:rFonts w:hint="default" w:ascii="Times New Roman" w:hAnsi="Times New Roman" w:cs="Times New Roman"/>
                <w:color w:val="000000"/>
                <w:highlight w:val="none"/>
                <w:lang w:val="en-US" w:eastAsia="zh-CN"/>
              </w:rPr>
              <w:t>m</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rPr>
              <w:t>，坡比1:8，疏浚方量为4.84万</w:t>
            </w:r>
            <w:r>
              <w:rPr>
                <w:rFonts w:hint="default" w:ascii="Times New Roman" w:hAnsi="Times New Roman" w:cs="Times New Roman"/>
                <w:color w:val="000000"/>
                <w:highlight w:val="none"/>
                <w:lang w:val="en-US" w:eastAsia="zh-CN"/>
              </w:rPr>
              <w:t>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rPr>
              <w:t>。</w:t>
            </w:r>
            <w:r>
              <w:rPr>
                <w:rFonts w:hint="default" w:ascii="Times New Roman" w:hAnsi="Times New Roman" w:cs="Times New Roman"/>
                <w:color w:val="000000"/>
                <w:highlight w:val="none"/>
                <w:lang w:val="en-US" w:eastAsia="zh-CN"/>
              </w:rPr>
              <w:t>疏浚平面布置见</w:t>
            </w:r>
            <w:r>
              <w:rPr>
                <w:rFonts w:hint="eastAsia" w:ascii="Times New Roman" w:hAnsi="Times New Roman" w:cs="Times New Roman"/>
                <w:color w:val="000000"/>
                <w:highlight w:val="none"/>
                <w:lang w:val="en-US" w:eastAsia="zh-CN"/>
              </w:rPr>
              <w:t>附图</w:t>
            </w:r>
            <w:r>
              <w:rPr>
                <w:rFonts w:hint="eastAsia" w:cs="Times New Roman"/>
                <w:color w:val="000000"/>
                <w:highlight w:val="none"/>
                <w:lang w:val="en-US" w:eastAsia="zh-CN"/>
              </w:rPr>
              <w:t>4</w:t>
            </w:r>
            <w:r>
              <w:rPr>
                <w:rFonts w:hint="default" w:ascii="Times New Roman" w:hAnsi="Times New Roman" w:cs="Times New Roman"/>
                <w:color w:val="000000"/>
                <w:highlight w:val="none"/>
                <w:lang w:val="en-US" w:eastAsia="zh-CN"/>
              </w:rPr>
              <w:t>。</w:t>
            </w:r>
          </w:p>
          <w:p w14:paraId="669736BD">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（2）陆域布置</w:t>
            </w:r>
          </w:p>
          <w:p w14:paraId="09728994">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u w:val="none"/>
                <w:lang w:val="en-US" w:eastAsia="zh-CN"/>
              </w:rPr>
            </w:pPr>
            <w:r>
              <w:rPr>
                <w:rFonts w:hint="default" w:ascii="Times New Roman" w:hAnsi="Times New Roman" w:cs="Times New Roman"/>
                <w:color w:val="000000"/>
                <w:highlight w:val="none"/>
              </w:rPr>
              <w:t>结合渔港经济区发展需求，本工程陆域面积25.32万</w:t>
            </w:r>
            <w:r>
              <w:rPr>
                <w:rFonts w:hint="default" w:ascii="Times New Roman" w:hAnsi="Times New Roman" w:cs="Times New Roman"/>
                <w:color w:val="000000"/>
                <w:highlight w:val="none"/>
                <w:lang w:val="en-US" w:eastAsia="zh-CN"/>
              </w:rPr>
              <w:t>m</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rPr>
              <w:t>，其中现有二级渔港陆域1.83万</w:t>
            </w:r>
            <w:r>
              <w:rPr>
                <w:rFonts w:hint="default" w:ascii="Times New Roman" w:hAnsi="Times New Roman" w:cs="Times New Roman"/>
                <w:color w:val="000000"/>
                <w:highlight w:val="none"/>
                <w:lang w:val="en-US" w:eastAsia="zh-CN"/>
              </w:rPr>
              <w:t>m</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rPr>
              <w:t>，</w:t>
            </w:r>
            <w:r>
              <w:rPr>
                <w:rFonts w:hint="default" w:ascii="Times New Roman" w:hAnsi="Times New Roman" w:cs="Times New Roman"/>
                <w:color w:val="000000"/>
                <w:highlight w:val="none"/>
                <w:lang w:val="en-US" w:eastAsia="zh-CN"/>
              </w:rPr>
              <w:t>新增</w:t>
            </w:r>
            <w:r>
              <w:rPr>
                <w:rFonts w:hint="default" w:ascii="Times New Roman" w:hAnsi="Times New Roman" w:cs="Times New Roman"/>
                <w:color w:val="000000"/>
                <w:highlight w:val="none"/>
              </w:rPr>
              <w:t>陆域面积23.49万</w:t>
            </w:r>
            <w:r>
              <w:rPr>
                <w:rFonts w:hint="default" w:ascii="Times New Roman" w:hAnsi="Times New Roman" w:cs="Times New Roman"/>
                <w:color w:val="000000"/>
                <w:highlight w:val="none"/>
                <w:lang w:val="en-US" w:eastAsia="zh-CN"/>
              </w:rPr>
              <w:t>m</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rPr>
              <w:t>。</w:t>
            </w:r>
            <w:r>
              <w:rPr>
                <w:rFonts w:hint="default" w:ascii="Times New Roman" w:hAnsi="Times New Roman" w:cs="Times New Roman"/>
                <w:color w:val="000000"/>
                <w:highlight w:val="none"/>
                <w:lang w:val="en-US" w:eastAsia="zh-CN"/>
              </w:rPr>
              <w:t>根据《福清市自然资源和规划局关于福建省福清市海亮沃口一级渔港工程陆域平面规划审核意见的报告》（融自然综〔2024〕1527号，附件13）及工程设计方案规划许可意见书（附件14），渔港陆域规划建设渔港综合管理大楼、避灾安置房、公共停车区、海上救援中心、检测中心、网具堆场、室外晒网场、配电房、污水处理站、挡墙护坡等符合一级渔港功能规划布局和初设批复要求，建设内容不涉及经营性用途，均为公益性用途。</w:t>
            </w:r>
          </w:p>
        </w:tc>
      </w:tr>
      <w:tr w14:paraId="02678E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8" w:type="dxa"/>
            <w:left w:w="108" w:type="dxa"/>
            <w:bottom w:w="108" w:type="dxa"/>
            <w:right w:w="108" w:type="dxa"/>
          </w:tblCellMar>
        </w:tblPrEx>
        <w:trPr>
          <w:trHeight w:val="516" w:hRule="atLeast"/>
          <w:jc w:val="center"/>
        </w:trPr>
        <w:tc>
          <w:tcPr>
            <w:tcW w:w="710" w:type="dxa"/>
            <w:noWrap w:val="0"/>
            <w:vAlign w:val="center"/>
          </w:tcPr>
          <w:p w14:paraId="6E3828D1">
            <w:pPr>
              <w:bidi w:val="0"/>
              <w:spacing w:line="360" w:lineRule="auto"/>
              <w:jc w:val="center"/>
              <w:rPr>
                <w:rFonts w:hint="default" w:ascii="Times New Roman" w:hAnsi="Times New Roman" w:cs="Times New Roman"/>
                <w:color w:val="000000"/>
                <w:u w:val="none"/>
              </w:rPr>
            </w:pPr>
            <w:r>
              <w:rPr>
                <w:rFonts w:hint="default" w:ascii="Times New Roman" w:hAnsi="Times New Roman" w:cs="Times New Roman"/>
                <w:color w:val="000000"/>
                <w:u w:val="none"/>
              </w:rPr>
              <w:t>施工方案</w:t>
            </w:r>
          </w:p>
        </w:tc>
        <w:tc>
          <w:tcPr>
            <w:tcW w:w="8380" w:type="dxa"/>
            <w:noWrap w:val="0"/>
            <w:vAlign w:val="top"/>
          </w:tcPr>
          <w:p w14:paraId="19E32D96">
            <w:pPr>
              <w:pStyle w:val="3"/>
              <w:bidi w:val="0"/>
              <w:ind w:left="567" w:leftChars="0" w:hanging="567" w:firstLineChars="0"/>
              <w:rPr>
                <w:rFonts w:hint="default"/>
              </w:rPr>
            </w:pPr>
            <w:bookmarkStart w:id="158" w:name="_Toc17882"/>
            <w:bookmarkStart w:id="159" w:name="_Toc30740"/>
            <w:bookmarkStart w:id="160" w:name="_Toc19074"/>
            <w:r>
              <w:rPr>
                <w:rFonts w:hint="default"/>
                <w:lang w:val="en-US" w:eastAsia="zh-CN"/>
              </w:rPr>
              <w:t>施工方案</w:t>
            </w:r>
            <w:bookmarkEnd w:id="158"/>
            <w:bookmarkEnd w:id="159"/>
            <w:bookmarkEnd w:id="160"/>
          </w:p>
          <w:p w14:paraId="451AE657">
            <w:pPr>
              <w:pStyle w:val="4"/>
              <w:bidi w:val="0"/>
              <w:ind w:left="567" w:leftChars="0" w:hanging="567" w:firstLineChars="0"/>
              <w:rPr>
                <w:rFonts w:hint="default"/>
                <w:lang w:val="en-US" w:eastAsia="zh-CN"/>
              </w:rPr>
            </w:pPr>
            <w:r>
              <w:rPr>
                <w:rFonts w:hint="eastAsia"/>
                <w:lang w:val="en-US" w:eastAsia="zh-CN"/>
              </w:rPr>
              <w:t>施工条件</w:t>
            </w:r>
          </w:p>
          <w:p w14:paraId="68D4390E">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（1）施工环境</w:t>
            </w:r>
          </w:p>
          <w:p w14:paraId="17D49BB3">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拟建工程位于海坛海峡南部，防波堤所在区域的水深在-3.0m~-9.0m之间，根据港区波浪推算结果，工程建设将受到外海ENE~S向波浪的影响，港区H</w:t>
            </w:r>
            <w:r>
              <w:rPr>
                <w:rFonts w:hint="default" w:ascii="Times New Roman" w:hAnsi="Times New Roman" w:cs="Times New Roman"/>
                <w:color w:val="000000"/>
                <w:highlight w:val="none"/>
                <w:vertAlign w:val="subscript"/>
                <w:lang w:val="en-US" w:eastAsia="zh-CN"/>
              </w:rPr>
              <w:t>1%</w:t>
            </w:r>
            <w:r>
              <w:rPr>
                <w:rFonts w:hint="default" w:ascii="Times New Roman" w:hAnsi="Times New Roman" w:cs="Times New Roman"/>
                <w:color w:val="000000"/>
                <w:highlight w:val="none"/>
                <w:lang w:val="en-US" w:eastAsia="zh-CN"/>
              </w:rPr>
              <w:t>波高最大6.76m（D点SE向），H</w:t>
            </w:r>
            <w:r>
              <w:rPr>
                <w:rFonts w:hint="default" w:ascii="Times New Roman" w:hAnsi="Times New Roman" w:cs="Times New Roman"/>
                <w:color w:val="000000"/>
                <w:highlight w:val="none"/>
                <w:vertAlign w:val="subscript"/>
                <w:lang w:val="en-US" w:eastAsia="zh-CN"/>
              </w:rPr>
              <w:t>5%</w:t>
            </w:r>
            <w:r>
              <w:rPr>
                <w:rFonts w:hint="default" w:ascii="Times New Roman" w:hAnsi="Times New Roman" w:cs="Times New Roman"/>
                <w:color w:val="000000"/>
                <w:highlight w:val="none"/>
                <w:lang w:val="en-US" w:eastAsia="zh-CN"/>
              </w:rPr>
              <w:t>波高最大5.73m（F点ESE向），H</w:t>
            </w:r>
            <w:r>
              <w:rPr>
                <w:rFonts w:hint="default" w:ascii="Times New Roman" w:hAnsi="Times New Roman" w:cs="Times New Roman"/>
                <w:color w:val="000000"/>
                <w:highlight w:val="none"/>
                <w:vertAlign w:val="subscript"/>
                <w:lang w:val="en-US" w:eastAsia="zh-CN"/>
              </w:rPr>
              <w:t>13%</w:t>
            </w:r>
            <w:r>
              <w:rPr>
                <w:rFonts w:hint="default" w:ascii="Times New Roman" w:hAnsi="Times New Roman" w:cs="Times New Roman"/>
                <w:color w:val="000000"/>
                <w:highlight w:val="none"/>
                <w:lang w:val="en-US" w:eastAsia="zh-CN"/>
              </w:rPr>
              <w:t>波高最大5.05m（F点ESE向）。同时，根据工程海域的地质勘查资料，拟建防波堤区域表层主要为淤泥层，厚度2.2~20.6m，其下为砂混淤泥层或</w:t>
            </w:r>
            <w:r>
              <w:rPr>
                <w:rFonts w:hint="eastAsia" w:cs="Times New Roman"/>
                <w:color w:val="000000"/>
                <w:highlight w:val="none"/>
                <w:lang w:val="en-US" w:eastAsia="zh-CN"/>
              </w:rPr>
              <w:t>黏土</w:t>
            </w:r>
            <w:r>
              <w:rPr>
                <w:rFonts w:hint="default" w:ascii="Times New Roman" w:hAnsi="Times New Roman" w:cs="Times New Roman"/>
                <w:color w:val="000000"/>
                <w:highlight w:val="none"/>
                <w:lang w:val="en-US" w:eastAsia="zh-CN"/>
              </w:rPr>
              <w:t>层，部分孔下有淤泥质黏土（厚度0~13.9m，底高程-18.08~-37.21m）等软弱下卧层。地基天然承载力较低，工程地质性能较差，需进行软基处理。</w:t>
            </w:r>
          </w:p>
          <w:p w14:paraId="6DE10919">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根据南京水利科学研究院2020年4月编制的《福建省福清市海亮沃口一级渔港东防波堤波浪断面物理模型试验》，本项目东防波堤采用插值塑料排水板的宽肩台式斜坡堤结构，可满足规范要求的工后沉降和稳定性、承载力。宽肩台斜坡堤地基适应性较好，施工工艺相对简单</w:t>
            </w:r>
            <w:r>
              <w:rPr>
                <w:rFonts w:hint="eastAsia" w:cs="Times New Roman"/>
                <w:color w:val="000000"/>
                <w:highlight w:val="none"/>
                <w:lang w:val="en-US" w:eastAsia="zh-CN"/>
              </w:rPr>
              <w:t>且</w:t>
            </w:r>
            <w:r>
              <w:rPr>
                <w:rFonts w:hint="default" w:ascii="Times New Roman" w:hAnsi="Times New Roman" w:cs="Times New Roman"/>
                <w:color w:val="000000"/>
                <w:highlight w:val="none"/>
                <w:lang w:val="en-US" w:eastAsia="zh-CN"/>
              </w:rPr>
              <w:t>该地基处理方式对海洋环境污染较小，可与项目区所处海域施工环境相适宜。</w:t>
            </w:r>
          </w:p>
          <w:p w14:paraId="046F751D">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（2）交通条件</w:t>
            </w:r>
          </w:p>
          <w:p w14:paraId="225707AB">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本工程的用电、给排水及通信均可通过海亮村实现，目前已有一条村道直通本港，施工用的三大材料（水泥、钢材、木材）均可由附近村镇外购后运进工地。石料、砂料可向邻近石料场、砂场购买后再用汽车运至工地。综上所述，本工程建设的外部协作条件已基本具备。</w:t>
            </w:r>
          </w:p>
          <w:p w14:paraId="4B6F6ED6">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（3）供水、供电</w:t>
            </w:r>
          </w:p>
          <w:p w14:paraId="164CA4DA">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本工程用水、用电由当地供水管网、供电所提供，可直接从海亮村接入。</w:t>
            </w:r>
          </w:p>
          <w:p w14:paraId="45250992">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（4）通讯</w:t>
            </w:r>
          </w:p>
          <w:p w14:paraId="1BDB9EF0">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本工程位于东瀚镇海亮村，目前已建成中国电信、中国移动、中国联通基站等多种通讯设施，通讯设备齐全，能满足各种通讯要求。</w:t>
            </w:r>
          </w:p>
          <w:p w14:paraId="2721CD80">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（5）施工自然条件</w:t>
            </w:r>
          </w:p>
          <w:p w14:paraId="2B79C76C">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jc w:val="left"/>
              <w:textAlignment w:val="auto"/>
              <w:rPr>
                <w:rFonts w:hint="default" w:ascii="Times New Roman" w:hAnsi="Times New Roman" w:cs="Times New Roman"/>
                <w:color w:val="000000"/>
                <w:u w:val="none"/>
                <w:lang w:val="en-US" w:eastAsia="zh-CN"/>
              </w:rPr>
            </w:pPr>
            <w:r>
              <w:rPr>
                <w:rFonts w:hint="default" w:ascii="Times New Roman" w:hAnsi="Times New Roman" w:cs="Times New Roman"/>
                <w:color w:val="000000"/>
                <w:highlight w:val="none"/>
                <w:lang w:val="en-US" w:eastAsia="zh-CN"/>
              </w:rPr>
              <w:t>本工程位于东瀚镇东南部海域，港区水域开阔，水深条件较好，是理想的渔港建港地点。港区西南~西北为陆地环抱，有一定的天然掩护条件，但掩护条件不完善，港区东北~南向的风浪或涌浪将对工程施工造成一定影响。因此，工程要做好防台抗浪计划，做好施工组织设计。</w:t>
            </w:r>
          </w:p>
          <w:p w14:paraId="10C32861">
            <w:pPr>
              <w:pStyle w:val="4"/>
              <w:bidi w:val="0"/>
              <w:ind w:left="567" w:leftChars="0" w:hanging="567" w:firstLineChars="0"/>
              <w:rPr>
                <w:rFonts w:hint="default"/>
                <w:lang w:val="en-US" w:eastAsia="zh-CN"/>
              </w:rPr>
            </w:pPr>
            <w:r>
              <w:rPr>
                <w:rFonts w:hint="eastAsia"/>
                <w:lang w:val="en-US" w:eastAsia="zh-CN"/>
              </w:rPr>
              <w:t>施工布置</w:t>
            </w:r>
          </w:p>
          <w:p w14:paraId="6E38C457">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eastAsia" w:cs="Times New Roman"/>
                <w:color w:val="000000"/>
                <w:highlight w:val="none"/>
                <w:lang w:val="en-US" w:eastAsia="zh-CN"/>
              </w:rPr>
              <w:t>（1）</w:t>
            </w:r>
            <w:r>
              <w:rPr>
                <w:rFonts w:hint="default" w:ascii="Times New Roman" w:hAnsi="Times New Roman" w:cs="Times New Roman"/>
                <w:color w:val="000000"/>
                <w:highlight w:val="none"/>
                <w:lang w:val="en-US" w:eastAsia="zh-CN"/>
              </w:rPr>
              <w:t>施工场地</w:t>
            </w:r>
          </w:p>
          <w:p w14:paraId="701A5C9D">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本工程拟利用现有二级渔港后方陆域作为施工场地，施工场地布置料场、设备冲洗区、隔油沉淀池、泥水分离（多级沉淀池）、堆渣场、回用水池等。本工程施工期间施工人员租住在周边民房作为施工营地，施工期生活污水依托居民区已有化粪池处理。待施工结束后，拆除临建设施，恢复主体工程规划用途。</w:t>
            </w:r>
          </w:p>
          <w:p w14:paraId="505B03C7">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eastAsia" w:cs="Times New Roman"/>
                <w:color w:val="000000"/>
                <w:highlight w:val="none"/>
                <w:lang w:val="en-US" w:eastAsia="zh-CN"/>
              </w:rPr>
              <w:t>（2）</w:t>
            </w:r>
            <w:r>
              <w:rPr>
                <w:rFonts w:hint="default" w:ascii="Times New Roman" w:hAnsi="Times New Roman" w:cs="Times New Roman"/>
                <w:color w:val="000000"/>
                <w:highlight w:val="none"/>
                <w:lang w:val="en-US" w:eastAsia="zh-CN"/>
              </w:rPr>
              <w:t>表土临时堆场</w:t>
            </w:r>
          </w:p>
          <w:p w14:paraId="2DD85329">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本项目后方陆域占用林地和耕地，有可剥离的表层土，剥离的表土堆放在表土临时堆场，用于施工后期绿化覆土。表土平均剥离厚度按林地0.1m，耕地0.3m，林地剥离面积约5.12hm</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lang w:val="en-US" w:eastAsia="zh-CN"/>
              </w:rPr>
              <w:t>，耕地剥离面积0.0011hm</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lang w:val="en-US" w:eastAsia="zh-CN"/>
              </w:rPr>
              <w:t>，共计表土剥离量约0.51万m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。本项目在陆域南侧布设1处表土堆场区，占地面积为0.22hm</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lang w:val="en-US" w:eastAsia="zh-CN"/>
              </w:rPr>
              <w:t>，占用陆域停车场缓建地。表土平均堆高不超过2.5m，堆放过程中周边进行拦挡，项目施工结束后恢复主体工程规划使用功能。</w:t>
            </w:r>
          </w:p>
          <w:p w14:paraId="1C038120">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eastAsia" w:cs="Times New Roman"/>
                <w:color w:val="000000"/>
                <w:highlight w:val="none"/>
                <w:lang w:val="en-US" w:eastAsia="zh-CN"/>
              </w:rPr>
              <w:t>（3）</w:t>
            </w:r>
            <w:r>
              <w:rPr>
                <w:rFonts w:hint="default" w:ascii="Times New Roman" w:hAnsi="Times New Roman" w:cs="Times New Roman"/>
                <w:color w:val="000000"/>
                <w:highlight w:val="none"/>
                <w:lang w:val="en-US" w:eastAsia="zh-CN"/>
              </w:rPr>
              <w:t>土石方临时中转场</w:t>
            </w:r>
          </w:p>
          <w:p w14:paraId="2D9A456A">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为满足陆域平整开挖过程中的土石方中转堆放，拟布设2处土石方中转场，总占地面积2.1hm</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lang w:val="en-US" w:eastAsia="zh-CN"/>
              </w:rPr>
              <w:t>，其中1#土石方中转场占地面积0.7hm</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lang w:val="en-US" w:eastAsia="zh-CN"/>
              </w:rPr>
              <w:t>，占用规划室外卸渔场地，2#土石方中转场占地面积1.4hm</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lang w:val="en-US" w:eastAsia="zh-CN"/>
              </w:rPr>
              <w:t>，占用规划室外晒网场。土石方平均堆高不超过4m，堆放过程中周边进行拦挡，项目施工结束后恢复主体工程规划使用功能。</w:t>
            </w:r>
          </w:p>
          <w:p w14:paraId="5370362F">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eastAsia" w:cs="Times New Roman"/>
                <w:color w:val="000000"/>
                <w:highlight w:val="none"/>
                <w:lang w:val="en-US" w:eastAsia="zh-CN"/>
              </w:rPr>
              <w:t>（4）</w:t>
            </w:r>
            <w:r>
              <w:rPr>
                <w:rFonts w:hint="default" w:ascii="Times New Roman" w:hAnsi="Times New Roman" w:cs="Times New Roman"/>
                <w:color w:val="000000"/>
                <w:highlight w:val="none"/>
                <w:lang w:val="en-US" w:eastAsia="zh-CN"/>
              </w:rPr>
              <w:t>施工便桥</w:t>
            </w:r>
          </w:p>
          <w:p w14:paraId="6DD7EBD2">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yellow"/>
                <w:lang w:val="en-US" w:eastAsia="zh-CN"/>
              </w:rPr>
            </w:pPr>
            <w:r>
              <w:rPr>
                <w:rFonts w:hint="default" w:ascii="Times New Roman" w:hAnsi="Times New Roman" w:cs="Times New Roman"/>
                <w:color w:val="000000"/>
                <w:highlight w:val="none"/>
                <w:lang w:val="en-US" w:eastAsia="zh-CN"/>
              </w:rPr>
              <w:t>本工程防波堤采用陆上推进施工，拟从南防波堤东侧中部架立钢便桥至东防波堤南侧近堤头处，钢便桥长119.5m，标准跨径9m，桥面宽8m。钢便桥拟分3个结构段，标准结构段长39m，分4跨5榀排架，单榀排架基础拟采用两根直径80cm钢管桩，上部机构拟采用贝雷架及专用桥面板进行铺设。已申请施工期用海，施工期用海面积0.1897hm</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lang w:val="en-US" w:eastAsia="zh-CN"/>
              </w:rPr>
              <w:t>，用海方式为透水构筑物。施工结束后，将对施工便桥进行拆除。施工便桥平面布置</w:t>
            </w:r>
            <w:r>
              <w:rPr>
                <w:rFonts w:hint="eastAsia" w:cs="Times New Roman"/>
                <w:color w:val="000000"/>
                <w:highlight w:val="none"/>
                <w:lang w:val="en-US" w:eastAsia="zh-CN"/>
              </w:rPr>
              <w:t>见附图9，</w:t>
            </w:r>
            <w:r>
              <w:rPr>
                <w:rFonts w:hint="default" w:ascii="Times New Roman" w:hAnsi="Times New Roman" w:cs="Times New Roman"/>
                <w:color w:val="000000"/>
                <w:highlight w:val="none"/>
                <w:lang w:val="en-US" w:eastAsia="zh-CN"/>
              </w:rPr>
              <w:t>结构立面、断面见</w:t>
            </w:r>
            <w:r>
              <w:rPr>
                <w:rFonts w:hint="eastAsia" w:cs="Times New Roman"/>
                <w:color w:val="000000"/>
                <w:highlight w:val="none"/>
                <w:lang w:val="en-US" w:eastAsia="zh-CN"/>
              </w:rPr>
              <w:t>附图10</w:t>
            </w:r>
            <w:r>
              <w:rPr>
                <w:rFonts w:hint="default" w:ascii="Times New Roman" w:hAnsi="Times New Roman" w:cs="Times New Roman"/>
                <w:color w:val="000000"/>
                <w:highlight w:val="none"/>
                <w:lang w:val="en-US" w:eastAsia="zh-CN"/>
              </w:rPr>
              <w:t>。</w:t>
            </w:r>
          </w:p>
          <w:p w14:paraId="324B7C57">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jc w:val="left"/>
              <w:textAlignment w:val="auto"/>
              <w:rPr>
                <w:rFonts w:hint="default" w:ascii="Times New Roman" w:hAnsi="Times New Roman" w:cs="Times New Roman"/>
                <w:color w:val="000000"/>
                <w:highlight w:val="none"/>
                <w:u w:val="none"/>
                <w:lang w:val="en-US" w:eastAsia="zh-CN"/>
              </w:rPr>
            </w:pPr>
            <w:r>
              <w:rPr>
                <w:rFonts w:hint="default" w:ascii="Times New Roman" w:hAnsi="Times New Roman" w:cs="Times New Roman"/>
                <w:color w:val="000000"/>
                <w:highlight w:val="none"/>
                <w:lang w:val="en-US" w:eastAsia="zh-CN"/>
              </w:rPr>
              <w:t>本工程施工平面布置示意图见</w:t>
            </w:r>
            <w:r>
              <w:rPr>
                <w:rFonts w:hint="eastAsia" w:cs="Times New Roman"/>
                <w:color w:val="000000"/>
                <w:highlight w:val="none"/>
                <w:lang w:val="en-US" w:eastAsia="zh-CN"/>
              </w:rPr>
              <w:t>附图8</w:t>
            </w:r>
            <w:r>
              <w:rPr>
                <w:rFonts w:hint="default" w:ascii="Times New Roman" w:hAnsi="Times New Roman" w:cs="Times New Roman"/>
                <w:color w:val="000000"/>
                <w:highlight w:val="none"/>
                <w:lang w:val="en-US" w:eastAsia="zh-CN"/>
              </w:rPr>
              <w:t>。</w:t>
            </w:r>
          </w:p>
          <w:p w14:paraId="20D5A1DE">
            <w:pPr>
              <w:pStyle w:val="4"/>
              <w:bidi w:val="0"/>
              <w:ind w:left="567" w:leftChars="0" w:hanging="567" w:firstLineChars="0"/>
              <w:rPr>
                <w:rFonts w:hint="default"/>
                <w:lang w:val="en-US" w:eastAsia="zh-CN"/>
              </w:rPr>
            </w:pPr>
            <w:r>
              <w:rPr>
                <w:rFonts w:hint="eastAsia"/>
                <w:lang w:val="en-US" w:eastAsia="zh-CN"/>
              </w:rPr>
              <w:t>主要施工设备</w:t>
            </w:r>
          </w:p>
          <w:p w14:paraId="3217D372">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jc w:val="left"/>
              <w:textAlignment w:val="auto"/>
              <w:rPr>
                <w:rFonts w:hint="default" w:ascii="Times New Roman" w:hAnsi="Times New Roman" w:cs="Times New Roman"/>
                <w:color w:val="000000"/>
                <w:u w:val="none"/>
                <w:lang w:val="en-US" w:eastAsia="zh-CN"/>
              </w:rPr>
            </w:pPr>
            <w:r>
              <w:rPr>
                <w:rFonts w:hint="default" w:ascii="Times New Roman" w:hAnsi="Times New Roman" w:cs="Times New Roman"/>
                <w:color w:val="000000"/>
                <w:u w:val="none"/>
                <w:lang w:val="en-US" w:eastAsia="zh-CN"/>
              </w:rPr>
              <w:t>根据本工程的施工特点，施工期间主要施工设备包括：</w:t>
            </w:r>
          </w:p>
          <w:p w14:paraId="6DC96708">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jc w:val="left"/>
              <w:textAlignment w:val="auto"/>
              <w:rPr>
                <w:rFonts w:hint="default" w:ascii="Times New Roman" w:hAnsi="Times New Roman" w:cs="Times New Roman"/>
                <w:color w:val="000000"/>
                <w:u w:val="none"/>
                <w:lang w:val="en-US" w:eastAsia="zh-CN"/>
              </w:rPr>
            </w:pPr>
            <w:r>
              <w:rPr>
                <w:rFonts w:hint="default" w:ascii="Times New Roman" w:hAnsi="Times New Roman" w:cs="Times New Roman"/>
                <w:color w:val="000000"/>
                <w:u w:val="none"/>
                <w:lang w:val="en-US" w:eastAsia="zh-CN"/>
              </w:rPr>
              <w:t>（1）自卸汽车、装载机、压路机、强夯机、履带吊或汽车吊等施工机具。</w:t>
            </w:r>
          </w:p>
          <w:p w14:paraId="6B62185F">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jc w:val="left"/>
              <w:textAlignment w:val="auto"/>
              <w:rPr>
                <w:rFonts w:hint="default" w:ascii="Times New Roman" w:hAnsi="Times New Roman" w:cs="Times New Roman"/>
                <w:color w:val="000000"/>
                <w:u w:val="none"/>
                <w:lang w:val="en-US" w:eastAsia="zh-CN"/>
              </w:rPr>
            </w:pPr>
            <w:r>
              <w:rPr>
                <w:rFonts w:hint="default" w:ascii="Times New Roman" w:hAnsi="Times New Roman" w:cs="Times New Roman"/>
                <w:color w:val="000000"/>
                <w:u w:val="none"/>
                <w:lang w:val="en-US" w:eastAsia="zh-CN"/>
              </w:rPr>
              <w:t>（2）起重船、挖泥船、插板船、方驳、泥驳、半潜驳等施工船舶。</w:t>
            </w:r>
          </w:p>
          <w:p w14:paraId="7DCC87C5">
            <w:pPr>
              <w:pStyle w:val="4"/>
              <w:bidi w:val="0"/>
              <w:ind w:left="567" w:leftChars="0" w:hanging="567" w:firstLineChars="0"/>
              <w:rPr>
                <w:rFonts w:hint="default"/>
                <w:lang w:val="en-US" w:eastAsia="zh-CN"/>
              </w:rPr>
            </w:pPr>
            <w:r>
              <w:rPr>
                <w:rFonts w:hint="default"/>
                <w:lang w:val="en-US" w:eastAsia="zh-CN"/>
              </w:rPr>
              <w:t>施工工艺及主要施工方法</w:t>
            </w:r>
          </w:p>
          <w:p w14:paraId="30BF01D4">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（1）东防波堤</w:t>
            </w:r>
          </w:p>
          <w:p w14:paraId="158937D4">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b/>
                <w:bCs/>
                <w:color w:val="000000"/>
                <w:highlight w:val="none"/>
                <w:lang w:val="en-US" w:eastAsia="zh-CN"/>
              </w:rPr>
              <w:t>东防波堤施工工艺：</w:t>
            </w:r>
            <w:r>
              <w:rPr>
                <w:rFonts w:hint="default" w:ascii="Times New Roman" w:hAnsi="Times New Roman" w:cs="Times New Roman"/>
                <w:color w:val="000000"/>
                <w:highlight w:val="none"/>
                <w:lang w:val="en-US" w:eastAsia="zh-CN"/>
              </w:rPr>
              <w:t>施打塑料排水板→碎石倒滤层、砂垫层→碎石垫层→堤心石、抛石压载→抛填肩台块石→护面抛石</w:t>
            </w:r>
          </w:p>
          <w:p w14:paraId="5CCF9F9F">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b/>
                <w:bCs/>
                <w:color w:val="000000"/>
                <w:highlight w:val="none"/>
                <w:lang w:val="en-US" w:eastAsia="zh-CN"/>
              </w:rPr>
              <w:t>东防波堤施工方法：</w:t>
            </w:r>
            <w:r>
              <w:rPr>
                <w:rFonts w:hint="default" w:ascii="Times New Roman" w:hAnsi="Times New Roman" w:cs="Times New Roman"/>
                <w:color w:val="000000"/>
                <w:highlight w:val="none"/>
                <w:lang w:val="en-US" w:eastAsia="zh-CN"/>
              </w:rPr>
              <w:t>东防波堤为岛式防波堤，搭建施工便桥后施工，施工前应保证施工道路平整，石料可以直接运至现场；抛石至一般高水位不能淹没的高度时应在堤顶上铺设临时道路，道路面层由施工情况而定，并且施工道路应考虑施工车辆掉头等问题；待抛石进行至设计高程时应对抛石堤进行理坡，并调整堤顶宽度。</w:t>
            </w:r>
          </w:p>
          <w:p w14:paraId="1E72700D">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b/>
                <w:bCs/>
                <w:color w:val="000000"/>
                <w:highlight w:val="none"/>
                <w:lang w:val="en-US" w:eastAsia="zh-CN"/>
              </w:rPr>
              <w:t>塑料排水板施工方法：</w:t>
            </w:r>
            <w:r>
              <w:rPr>
                <w:rFonts w:hint="default" w:ascii="Times New Roman" w:hAnsi="Times New Roman" w:cs="Times New Roman"/>
                <w:color w:val="000000"/>
                <w:highlight w:val="none"/>
                <w:lang w:val="en-US" w:eastAsia="zh-CN"/>
              </w:rPr>
              <w:t>设立定位标，在定位标与插板船之间系上测绳，并计算插板船与定位桩之间的距离。插板船船头及船尾抛二头八字锚，采用绞锚机调整船体位置。施工过程中每个船位应该用全站仪或GPS进行点位的复核，以确保打设位置的精度。</w:t>
            </w:r>
          </w:p>
          <w:p w14:paraId="227BC6EB">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b/>
                <w:bCs/>
                <w:color w:val="000000"/>
                <w:highlight w:val="none"/>
                <w:lang w:val="en-US" w:eastAsia="zh-CN"/>
              </w:rPr>
              <w:t>（2）南防波堤兼码头</w:t>
            </w:r>
          </w:p>
          <w:p w14:paraId="7E78FF33">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南防波堤兼码头施工工艺：</w:t>
            </w:r>
          </w:p>
          <w:p w14:paraId="4D392A37">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sz w:val="24"/>
                <w:highlight w:val="none"/>
              </w:rPr>
              <mc:AlternateContent>
                <mc:Choice Requires="wps">
                  <w:drawing>
                    <wp:anchor distT="0" distB="0" distL="114300" distR="114300" simplePos="0" relativeHeight="251661312" behindDoc="0" locked="0" layoutInCell="1" allowOverlap="1">
                      <wp:simplePos x="0" y="0"/>
                      <wp:positionH relativeFrom="column">
                        <wp:posOffset>942340</wp:posOffset>
                      </wp:positionH>
                      <wp:positionV relativeFrom="paragraph">
                        <wp:posOffset>147320</wp:posOffset>
                      </wp:positionV>
                      <wp:extent cx="1992630" cy="0"/>
                      <wp:effectExtent l="0" t="4445" r="0" b="5080"/>
                      <wp:wrapNone/>
                      <wp:docPr id="4" name="直接连接符 4"/>
                      <wp:cNvGraphicFramePr/>
                      <a:graphic xmlns:a="http://schemas.openxmlformats.org/drawingml/2006/main">
                        <a:graphicData uri="http://schemas.microsoft.com/office/word/2010/wordprocessingShape">
                          <wps:wsp>
                            <wps:cNvCnPr/>
                            <wps:spPr>
                              <a:xfrm>
                                <a:off x="1835785" y="5389880"/>
                                <a:ext cx="1992630" cy="0"/>
                              </a:xfrm>
                              <a:prstGeom prst="line">
                                <a:avLst/>
                              </a:prstGeom>
                              <a:noFill/>
                              <a:ln w="6350" cap="flat" cmpd="sng" algn="ctr">
                                <a:solidFill>
                                  <a:srgbClr val="000000"/>
                                </a:solidFill>
                                <a:prstDash val="solid"/>
                                <a:miter lim="800000"/>
                              </a:ln>
                              <a:effectLst/>
                            </wps:spPr>
                            <wps:bodyPr/>
                          </wps:wsp>
                        </a:graphicData>
                      </a:graphic>
                    </wp:anchor>
                  </w:drawing>
                </mc:Choice>
                <mc:Fallback>
                  <w:pict>
                    <v:line id="_x0000_s1026" o:spid="_x0000_s1026" o:spt="20" style="position:absolute;left:0pt;margin-left:74.2pt;margin-top:11.6pt;height:0pt;width:156.9pt;z-index:251661312;mso-width-relative:page;mso-height-relative:page;" filled="f" stroked="t" coordsize="21600,21600" o:gfxdata="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PiPno3WAAAACQEAAA8AAAAAAAAAAQAgAAAAIgAAAGRycy9kb3ducmV2LnhtbFBLAQIU&#10;ABQAAAAIAIdO4kBtA1yh9QEAAMsDAAAOAAAAAAAAAAEAIAAAACUBAABkcnMvZTJvRG9jLnhtbFBL&#10;BQYAAAAABgAGAFkBAACMBQAAAAA=&#10;">
                      <v:fill on="f" focussize="0,0"/>
                      <v:stroke weight="0.5pt" color="#000000" miterlimit="8" joinstyle="miter"/>
                      <v:imagedata o:title=""/>
                      <o:lock v:ext="edit" aspectratio="f"/>
                    </v:line>
                  </w:pict>
                </mc:Fallback>
              </mc:AlternateContent>
            </w:r>
            <w:r>
              <w:rPr>
                <w:rFonts w:hint="default" w:ascii="Times New Roman" w:hAnsi="Times New Roman" w:cs="Times New Roman"/>
                <w:color w:val="000000"/>
                <w:sz w:val="24"/>
                <w:highlight w:val="none"/>
              </w:rPr>
              <mc:AlternateContent>
                <mc:Choice Requires="wps">
                  <w:drawing>
                    <wp:anchor distT="0" distB="0" distL="114300" distR="114300" simplePos="0" relativeHeight="251662336" behindDoc="0" locked="0" layoutInCell="1" allowOverlap="1">
                      <wp:simplePos x="0" y="0"/>
                      <wp:positionH relativeFrom="column">
                        <wp:posOffset>2934970</wp:posOffset>
                      </wp:positionH>
                      <wp:positionV relativeFrom="paragraph">
                        <wp:posOffset>154940</wp:posOffset>
                      </wp:positionV>
                      <wp:extent cx="635" cy="212725"/>
                      <wp:effectExtent l="37465" t="0" r="38100" b="15875"/>
                      <wp:wrapNone/>
                      <wp:docPr id="5" name="直接箭头连接符 5"/>
                      <wp:cNvGraphicFramePr/>
                      <a:graphic xmlns:a="http://schemas.openxmlformats.org/drawingml/2006/main">
                        <a:graphicData uri="http://schemas.microsoft.com/office/word/2010/wordprocessingShape">
                          <wps:wsp>
                            <wps:cNvCnPr/>
                            <wps:spPr>
                              <a:xfrm>
                                <a:off x="4319270" y="5331460"/>
                                <a:ext cx="635" cy="212725"/>
                              </a:xfrm>
                              <a:prstGeom prst="straightConnector1">
                                <a:avLst/>
                              </a:prstGeom>
                              <a:noFill/>
                              <a:ln w="6350" cap="flat" cmpd="sng" algn="ctr">
                                <a:solidFill>
                                  <a:srgbClr val="000000"/>
                                </a:solidFill>
                                <a:prstDash val="solid"/>
                                <a:miter lim="800000"/>
                                <a:headEnd type="none"/>
                                <a:tailEnd type="triangle" w="med" len="med"/>
                              </a:ln>
                              <a:effectLst/>
                            </wps:spPr>
                            <wps:bodyPr/>
                          </wps:wsp>
                        </a:graphicData>
                      </a:graphic>
                    </wp:anchor>
                  </w:drawing>
                </mc:Choice>
                <mc:Fallback>
                  <w:pict>
                    <v:shape id="_x0000_s1026" o:spid="_x0000_s1026" o:spt="32" type="#_x0000_t32" style="position:absolute;left:0pt;margin-left:231.1pt;margin-top:12.2pt;height:16.75pt;width:0.05pt;z-index:251662336;mso-width-relative:page;mso-height-relative:page;" filled="f" stroked="t" coordsize="21600,21600" o:gfxdata="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D/rHWC1gAAAAkBAAAPAAAAAAAAAAEAIAAAACIAAABkcnMvZG93bnJldi54bWxQSwECFAAU&#10;AAAACACHTuJAYo+2ZCwCAAAmBAAADgAAAAAAAAABACAAAAAlAQAAZHJzL2Uyb0RvYy54bWxQSwUG&#10;AAAAAAYABgBZAQAAwwUAAAAA&#10;">
                      <v:fill on="f" focussize="0,0"/>
                      <v:stroke weight="0.5pt" color="#000000" miterlimit="8" joinstyle="miter" endarrow="block"/>
                      <v:imagedata o:title=""/>
                      <o:lock v:ext="edit" aspectratio="f"/>
                    </v:shape>
                  </w:pict>
                </mc:Fallback>
              </mc:AlternateContent>
            </w:r>
            <w:r>
              <w:rPr>
                <w:rFonts w:hint="default" w:ascii="Times New Roman" w:hAnsi="Times New Roman" w:cs="Times New Roman"/>
                <w:color w:val="000000"/>
                <w:highlight w:val="none"/>
                <w:lang w:val="en-US" w:eastAsia="zh-CN"/>
              </w:rPr>
              <w:t>预制沉箱</w:t>
            </w:r>
          </w:p>
          <w:p w14:paraId="57455E00">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基槽开挖→基床抛石及夯实整平→沉箱安放→沉箱内填石→现浇C30砼胸墙→墙后棱体抛石→安放护底块→码头面层施工→安装系船柱、护舷等附属设施安装</w:t>
            </w:r>
          </w:p>
          <w:p w14:paraId="50C3E738">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南防波堤兼码头施工方法：</w:t>
            </w:r>
          </w:p>
          <w:p w14:paraId="1FA3026F">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b w:val="0"/>
                <w:bCs w:val="0"/>
                <w:color w:val="000000"/>
                <w:highlight w:val="none"/>
                <w:lang w:val="en-US" w:eastAsia="zh-CN"/>
              </w:rPr>
            </w:pPr>
            <w:r>
              <w:rPr>
                <w:rFonts w:hint="default" w:ascii="Times New Roman" w:hAnsi="Times New Roman" w:cs="Times New Roman"/>
                <w:b w:val="0"/>
                <w:bCs w:val="0"/>
                <w:color w:val="000000"/>
                <w:highlight w:val="none"/>
                <w:lang w:val="en-US" w:eastAsia="zh-CN"/>
              </w:rPr>
              <w:t>①预制构件预制、吊运及安装</w:t>
            </w:r>
          </w:p>
          <w:p w14:paraId="1D03D15A">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本工程码头预制构件主要为预制C40钢筋砼沉箱及预制压底块，沉箱可在二级渔港陆域进行预制，预制完成后通过半潜驳浮运安装，预制压底块可通过吊船吊运安装。</w:t>
            </w:r>
          </w:p>
          <w:p w14:paraId="27191938">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②基槽开挖</w:t>
            </w:r>
          </w:p>
          <w:p w14:paraId="41E9810C">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基槽开挖根据施工计划确定，基槽开挖施工中用8m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抓斗挖泥船进行开挖，用泥驳将挖泥运至抛泥点。挖泥深度的控制：最后一层挖泥时控制抓斗的下落深度，利用水砣和水尺测出挖泥船所在挖点的泥面标高，利用挖泥船上抓斗深度自动控制装置控制挖深。基槽要求开挖至设计要求，开挖至设计深度时进行土质校核，如发现地质与设计要求不符，及时通知设计单位和地勘单位研究解决。由于基槽施工是本工程的先行工序，施工时应投入足够的力量，分段进行基槽施工，在较短的时间内完成基槽开挖工作，并及时进行验槽，为基床抛石施工创造开工条件。</w:t>
            </w:r>
          </w:p>
          <w:p w14:paraId="5F9FCA1C">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③现浇构件施工</w:t>
            </w:r>
          </w:p>
          <w:p w14:paraId="36E9B66D">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防波堤工程是在没有掩护的条件下进行施工的，现浇所需模板的设计，应特别注意波浪作用下的稳定性；混凝土现浇时要防止混凝土初凝前受到海水浸泡并应严格按照设计及高程进行浇筑。</w:t>
            </w:r>
          </w:p>
          <w:p w14:paraId="10A7246A">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④附属构件施工</w:t>
            </w:r>
          </w:p>
          <w:p w14:paraId="58F87D96">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本工程另设有橡胶护舷、护轮坎、系船柱、供水供电设施等预埋构件，构件预制时应认真核对设计图纸，以防施工遗漏，造成返工。工程中凡外露铁件（包括系船柱）均需表面除锈后涂红丹和防锈漆各两道。</w:t>
            </w:r>
          </w:p>
          <w:p w14:paraId="29FDD891">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b/>
                <w:bCs/>
                <w:color w:val="000000"/>
                <w:highlight w:val="none"/>
                <w:lang w:val="en-US" w:eastAsia="zh-CN"/>
              </w:rPr>
              <w:t>施工便桥施工工艺：</w:t>
            </w:r>
          </w:p>
          <w:p w14:paraId="53D4C90B">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施工便桥搭建：试验桩施工→钢管桩下沉→剪刀撑、平联、桩顶横梁施工→贝雷梁拼装→贝雷梁架设→专用桥面板铺设→附属构件安装。</w:t>
            </w:r>
          </w:p>
          <w:p w14:paraId="05370CDB">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施工便桥拆除：桥面拆除→贝雷桁架梁拆卸→钢管桩拔除。</w:t>
            </w:r>
          </w:p>
          <w:p w14:paraId="039FB40E">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3</w:t>
            </w: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港池疏浚</w:t>
            </w:r>
          </w:p>
          <w:p w14:paraId="0700045A">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b/>
                <w:bCs/>
                <w:color w:val="000000"/>
                <w:highlight w:val="none"/>
                <w:lang w:eastAsia="zh-CN"/>
              </w:rPr>
            </w:pPr>
            <w:r>
              <w:rPr>
                <w:rFonts w:hint="default" w:ascii="Times New Roman" w:hAnsi="Times New Roman" w:cs="Times New Roman"/>
                <w:color w:val="000000"/>
                <w:highlight w:val="none"/>
              </w:rPr>
              <w:t>考虑海亮二级渔港码头前沿水深浅，中、小型渔船需乘潮进港，结合已建重力式码头基床顶面高程为-4.50m，故拟将二级渔港码头前沿疏浚至4.50m，疏浚坡底面积1.47万</w:t>
            </w:r>
            <w:r>
              <w:rPr>
                <w:rFonts w:hint="default" w:ascii="Times New Roman" w:hAnsi="Times New Roman" w:cs="Times New Roman"/>
                <w:color w:val="000000"/>
                <w:highlight w:val="none"/>
                <w:lang w:val="en-US" w:eastAsia="zh-CN"/>
              </w:rPr>
              <w:t>m</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rPr>
              <w:t>，坡比1:8，疏浚方量为4.84万</w:t>
            </w:r>
            <w:r>
              <w:rPr>
                <w:rFonts w:hint="default" w:ascii="Times New Roman" w:hAnsi="Times New Roman" w:cs="Times New Roman"/>
                <w:color w:val="000000"/>
                <w:highlight w:val="none"/>
                <w:lang w:val="en-US" w:eastAsia="zh-CN"/>
              </w:rPr>
              <w:t>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rPr>
              <w:t>。根据疏浚区底质、水深等自然条件、工程量以及施工等因素，设计采用斗容8m</w:t>
            </w:r>
            <w:r>
              <w:rPr>
                <w:rFonts w:hint="default" w:ascii="Times New Roman" w:hAnsi="Times New Roman" w:cs="Times New Roman"/>
                <w:color w:val="000000"/>
                <w:highlight w:val="none"/>
                <w:vertAlign w:val="superscript"/>
              </w:rPr>
              <w:t>3</w:t>
            </w:r>
            <w:r>
              <w:rPr>
                <w:rFonts w:hint="default" w:ascii="Times New Roman" w:hAnsi="Times New Roman" w:cs="Times New Roman"/>
                <w:color w:val="000000"/>
                <w:highlight w:val="none"/>
              </w:rPr>
              <w:t>的抓斗挖泥船进行疏浚。</w:t>
            </w:r>
          </w:p>
          <w:p w14:paraId="464A9E8E">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b w:val="0"/>
                <w:bCs w:val="0"/>
                <w:color w:val="000000"/>
                <w:highlight w:val="none"/>
                <w:lang w:eastAsia="zh-CN"/>
              </w:rPr>
            </w:pPr>
            <w:r>
              <w:rPr>
                <w:rFonts w:hint="default" w:ascii="Times New Roman" w:hAnsi="Times New Roman" w:cs="Times New Roman"/>
                <w:b w:val="0"/>
                <w:bCs w:val="0"/>
                <w:color w:val="000000"/>
                <w:highlight w:val="none"/>
                <w:lang w:eastAsia="zh-CN"/>
              </w:rPr>
              <w:t>开挖具体工艺流程如下：挖泥船挖泥→泥驳装泥→自航至卸泥点→自航返回。</w:t>
            </w:r>
          </w:p>
          <w:p w14:paraId="4A42E742">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b w:val="0"/>
                <w:bCs w:val="0"/>
                <w:color w:val="000000"/>
                <w:highlight w:val="none"/>
                <w:lang w:eastAsia="zh-CN"/>
              </w:rPr>
            </w:pPr>
            <w:r>
              <w:rPr>
                <w:rFonts w:hint="default" w:ascii="Times New Roman" w:hAnsi="Times New Roman" w:cs="Times New Roman"/>
                <w:b w:val="0"/>
                <w:bCs w:val="0"/>
                <w:color w:val="000000"/>
                <w:highlight w:val="none"/>
                <w:lang w:eastAsia="zh-CN"/>
              </w:rPr>
              <w:t>疏浚工程采用抓斗挖泥船配自航泥驳船进行疏浚施工，抓斗式挖泥船疏浚后将疏浚弃土装入泥驳。疏浚工程应采用DGPS</w:t>
            </w:r>
            <w:r>
              <w:rPr>
                <w:rFonts w:hint="default" w:ascii="Times New Roman" w:hAnsi="Times New Roman" w:cs="Times New Roman"/>
                <w:b w:val="0"/>
                <w:bCs w:val="0"/>
                <w:color w:val="000000"/>
                <w:highlight w:val="none"/>
                <w:lang w:val="en-US" w:eastAsia="zh-CN"/>
              </w:rPr>
              <w:t>定位</w:t>
            </w:r>
            <w:r>
              <w:rPr>
                <w:rFonts w:hint="default" w:ascii="Times New Roman" w:hAnsi="Times New Roman" w:cs="Times New Roman"/>
                <w:b w:val="0"/>
                <w:bCs w:val="0"/>
                <w:color w:val="000000"/>
                <w:highlight w:val="none"/>
                <w:lang w:eastAsia="zh-CN"/>
              </w:rPr>
              <w:t>仪器等仪器设备，控制挖泥</w:t>
            </w:r>
            <w:r>
              <w:rPr>
                <w:rFonts w:hint="default" w:ascii="Times New Roman" w:hAnsi="Times New Roman" w:cs="Times New Roman"/>
                <w:b w:val="0"/>
                <w:bCs w:val="0"/>
                <w:color w:val="000000"/>
                <w:highlight w:val="none"/>
                <w:lang w:val="en-US" w:eastAsia="zh-CN"/>
              </w:rPr>
              <w:t>定位精度</w:t>
            </w:r>
            <w:r>
              <w:rPr>
                <w:rFonts w:hint="default" w:ascii="Times New Roman" w:hAnsi="Times New Roman" w:cs="Times New Roman"/>
                <w:b w:val="0"/>
                <w:bCs w:val="0"/>
                <w:color w:val="000000"/>
                <w:highlight w:val="none"/>
                <w:lang w:eastAsia="zh-CN"/>
              </w:rPr>
              <w:t>，提高施工质量。施工区域有船舶进出，施工时应注意船舶避让，确保安全。施工单位应按照《疏浚与吹填工程施工规范》（JTS207-2012）</w:t>
            </w:r>
            <w:r>
              <w:rPr>
                <w:rFonts w:hint="default" w:ascii="Times New Roman" w:hAnsi="Times New Roman" w:cs="Times New Roman"/>
                <w:b w:val="0"/>
                <w:bCs w:val="0"/>
                <w:color w:val="000000"/>
                <w:highlight w:val="none"/>
                <w:lang w:val="en-US" w:eastAsia="zh-CN"/>
              </w:rPr>
              <w:t>以及</w:t>
            </w:r>
            <w:r>
              <w:rPr>
                <w:rFonts w:hint="default" w:ascii="Times New Roman" w:hAnsi="Times New Roman" w:cs="Times New Roman"/>
                <w:b w:val="0"/>
                <w:bCs w:val="0"/>
                <w:color w:val="000000"/>
                <w:highlight w:val="none"/>
                <w:lang w:eastAsia="zh-CN"/>
              </w:rPr>
              <w:t>其他有关规定进行施工。施工船舶必须遵守当地环保部门的有关规定，施工期间应采取严格的环保措施。</w:t>
            </w:r>
          </w:p>
          <w:p w14:paraId="5476EAD8">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eastAsia="宋体" w:cs="Times New Roman"/>
                <w:b/>
                <w:bCs/>
                <w:color w:val="000000"/>
                <w:highlight w:val="none"/>
                <w:lang w:val="en-US" w:eastAsia="zh-CN"/>
              </w:rPr>
            </w:pP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4</w:t>
            </w: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陆域形成</w:t>
            </w:r>
          </w:p>
          <w:p w14:paraId="6E8FB9EE">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开挖</w:t>
            </w:r>
            <w:r>
              <w:rPr>
                <w:rFonts w:hint="default" w:ascii="Times New Roman" w:hAnsi="Times New Roman" w:cs="Times New Roman"/>
                <w:b/>
                <w:bCs/>
                <w:color w:val="000000"/>
                <w:highlight w:val="none"/>
                <w:lang w:val="en-US" w:eastAsia="zh-CN"/>
              </w:rPr>
              <w:t>（不在本次评价范围内）</w:t>
            </w:r>
            <w:r>
              <w:rPr>
                <w:rFonts w:hint="default" w:ascii="Times New Roman" w:hAnsi="Times New Roman" w:cs="Times New Roman"/>
                <w:color w:val="000000"/>
                <w:highlight w:val="none"/>
                <w:lang w:val="en-US" w:eastAsia="zh-CN"/>
              </w:rPr>
              <w:t>→陆域回填→陆域整平→边坡防护→建筑结构工程→装修工程</w:t>
            </w:r>
          </w:p>
          <w:p w14:paraId="22A9E661">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根据福清市自然资源和规划局2025年11月11日会议记录（附件15），本工程陆域部分采用分期施工，南侧陆域先行施工，用地面积为7.49万m</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lang w:val="en-US" w:eastAsia="zh-CN"/>
              </w:rPr>
              <w:t>，建设内容包括卸渔棚、室外卸渔场地、配电房、污水处理站等；北侧陆域用地面积为16.00万m</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lang w:val="en-US" w:eastAsia="zh-CN"/>
              </w:rPr>
              <w:t>，建设内容包括渔港综合管理大楼（含渔港综合执法办证中心）、海上救援中心、检测中心、避灾安置房、网具堆场、配电房等。</w:t>
            </w:r>
          </w:p>
          <w:p w14:paraId="4A726413">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根据《福清市人民政府关于印发福清市建设工程项目涉及砂石资源处置监管工作方案（试行）的通知》（融政发〔2022〕6号），后方陆域山体开挖整平由福清市自然资源和规划局委托相关单位进行，剩余砂石资源（含淤泥）由属地政府进行公开有偿化处置，所得收益全部缴入市财政。</w:t>
            </w:r>
            <w:r>
              <w:rPr>
                <w:rFonts w:hint="default" w:ascii="Times New Roman" w:hAnsi="Times New Roman" w:cs="Times New Roman"/>
                <w:b/>
                <w:bCs/>
                <w:color w:val="000000"/>
                <w:highlight w:val="none"/>
                <w:lang w:val="en-US" w:eastAsia="zh-CN"/>
              </w:rPr>
              <w:t>因此，陆域山体开挖整平不在本次评价范围内。</w:t>
            </w:r>
          </w:p>
          <w:p w14:paraId="3CA6B729">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（5）建筑物（渔港综合管理大楼、污水处理站等）施工工序</w:t>
            </w:r>
          </w:p>
          <w:p w14:paraId="6F23D93D">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jc w:val="left"/>
              <w:textAlignment w:val="auto"/>
              <w:rPr>
                <w:rFonts w:hint="default" w:ascii="Times New Roman" w:hAnsi="Times New Roman" w:cs="Times New Roman"/>
                <w:color w:val="000000"/>
                <w:u w:val="none"/>
                <w:lang w:val="en-US" w:eastAsia="zh-CN"/>
              </w:rPr>
            </w:pPr>
            <w:r>
              <w:rPr>
                <w:rFonts w:hint="default" w:ascii="Times New Roman" w:hAnsi="Times New Roman" w:cs="Times New Roman"/>
                <w:color w:val="000000"/>
                <w:highlight w:val="none"/>
                <w:lang w:val="en-US" w:eastAsia="zh-CN"/>
              </w:rPr>
              <w:t>建筑材料装卸运输→场地平整→基础作业→建筑结构工程→装修工程</w:t>
            </w:r>
          </w:p>
          <w:p w14:paraId="6B374216">
            <w:pPr>
              <w:pStyle w:val="4"/>
              <w:bidi w:val="0"/>
              <w:ind w:left="567" w:leftChars="0" w:hanging="567" w:firstLineChars="0"/>
              <w:rPr>
                <w:rFonts w:hint="default"/>
                <w:lang w:val="en-US" w:eastAsia="zh-CN"/>
              </w:rPr>
            </w:pPr>
            <w:r>
              <w:rPr>
                <w:rFonts w:hint="eastAsia"/>
                <w:lang w:val="en-US" w:eastAsia="zh-CN"/>
              </w:rPr>
              <w:t>施工进度安排</w:t>
            </w:r>
          </w:p>
          <w:p w14:paraId="528221B1">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根据施工条件，工程量及施工特点，本项目施工总工期计划36个月。施工进度见</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REF _Ref2514 \h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2.5</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1</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val="en-US" w:eastAsia="zh-CN"/>
              </w:rPr>
              <w:t>。</w:t>
            </w:r>
          </w:p>
          <w:p w14:paraId="7A9BE00C">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jc w:val="left"/>
              <w:textAlignment w:val="auto"/>
              <w:rPr>
                <w:rFonts w:hint="default" w:ascii="Times New Roman" w:hAnsi="Times New Roman" w:cs="Times New Roman"/>
                <w:color w:val="000000"/>
                <w:u w:val="none"/>
                <w:lang w:val="en-US" w:eastAsia="zh-CN"/>
              </w:rPr>
            </w:pPr>
          </w:p>
          <w:p w14:paraId="38B23695">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jc w:val="left"/>
              <w:textAlignment w:val="auto"/>
              <w:rPr>
                <w:rFonts w:hint="default" w:ascii="Times New Roman" w:hAnsi="Times New Roman" w:cs="Times New Roman"/>
                <w:color w:val="000000"/>
                <w:u w:val="none"/>
                <w:lang w:val="en-US" w:eastAsia="zh-CN"/>
              </w:rPr>
            </w:pPr>
          </w:p>
          <w:p w14:paraId="195AA881">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jc w:val="left"/>
              <w:textAlignment w:val="auto"/>
              <w:rPr>
                <w:rFonts w:hint="default" w:ascii="Times New Roman" w:hAnsi="Times New Roman" w:cs="Times New Roman"/>
                <w:color w:val="000000"/>
                <w:u w:val="none"/>
                <w:lang w:val="en-US" w:eastAsia="zh-CN"/>
              </w:rPr>
            </w:pPr>
          </w:p>
          <w:p w14:paraId="69E9DEE1">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jc w:val="left"/>
              <w:textAlignment w:val="auto"/>
              <w:rPr>
                <w:rFonts w:hint="default" w:ascii="Times New Roman" w:hAnsi="Times New Roman" w:cs="Times New Roman"/>
                <w:color w:val="000000"/>
                <w:u w:val="none"/>
                <w:lang w:val="en-US" w:eastAsia="zh-CN"/>
              </w:rPr>
            </w:pPr>
          </w:p>
          <w:p w14:paraId="2F128D83">
            <w:pPr>
              <w:keepNext w:val="0"/>
              <w:keepLines w:val="0"/>
              <w:pageBreakBefore w:val="0"/>
              <w:widowControl w:val="0"/>
              <w:kinsoku/>
              <w:wordWrap/>
              <w:overflowPunct/>
              <w:topLinePunct w:val="0"/>
              <w:autoSpaceDE/>
              <w:autoSpaceDN/>
              <w:bidi w:val="0"/>
              <w:adjustRightInd/>
              <w:snapToGrid/>
              <w:ind w:firstLine="480" w:firstLineChars="200"/>
              <w:jc w:val="left"/>
              <w:textAlignment w:val="auto"/>
              <w:rPr>
                <w:rFonts w:hint="default" w:ascii="Times New Roman" w:hAnsi="Times New Roman" w:cs="Times New Roman"/>
                <w:color w:val="000000"/>
                <w:u w:val="none"/>
                <w:lang w:val="en-US" w:eastAsia="zh-CN"/>
              </w:rPr>
            </w:pPr>
          </w:p>
        </w:tc>
      </w:tr>
    </w:tbl>
    <w:p w14:paraId="223AF295">
      <w:pPr>
        <w:bidi w:val="0"/>
        <w:rPr>
          <w:rFonts w:hint="default"/>
        </w:rPr>
        <w:sectPr>
          <w:pgSz w:w="11906" w:h="16838"/>
          <w:pgMar w:top="1701" w:right="1531" w:bottom="1701" w:left="1531" w:header="851" w:footer="1077" w:gutter="0"/>
          <w:pgNumType w:fmt="decimal"/>
          <w:cols w:space="720" w:num="1"/>
          <w:docGrid w:linePitch="312" w:charSpace="0"/>
        </w:sectPr>
      </w:pPr>
    </w:p>
    <w:tbl>
      <w:tblPr>
        <w:tblStyle w:val="22"/>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8" w:type="dxa"/>
          <w:left w:w="108" w:type="dxa"/>
          <w:bottom w:w="108" w:type="dxa"/>
          <w:right w:w="108" w:type="dxa"/>
        </w:tblCellMar>
      </w:tblPr>
      <w:tblGrid>
        <w:gridCol w:w="699"/>
        <w:gridCol w:w="12948"/>
      </w:tblGrid>
      <w:tr w14:paraId="1787E7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8" w:type="dxa"/>
            <w:left w:w="108" w:type="dxa"/>
            <w:bottom w:w="108" w:type="dxa"/>
            <w:right w:w="108" w:type="dxa"/>
          </w:tblCellMar>
        </w:tblPrEx>
        <w:tc>
          <w:tcPr>
            <w:tcW w:w="256" w:type="pct"/>
            <w:noWrap w:val="0"/>
            <w:vAlign w:val="center"/>
          </w:tcPr>
          <w:p w14:paraId="69C06CB4">
            <w:pPr>
              <w:spacing w:line="360" w:lineRule="auto"/>
              <w:jc w:val="center"/>
              <w:outlineLvl w:val="0"/>
              <w:rPr>
                <w:rFonts w:hint="default" w:ascii="Times New Roman" w:hAnsi="Times New Roman" w:eastAsia="黑体" w:cs="Times New Roman"/>
                <w:color w:val="000000"/>
                <w:sz w:val="30"/>
                <w:u w:val="none"/>
                <w:vertAlign w:val="baseline"/>
              </w:rPr>
            </w:pPr>
            <w:bookmarkStart w:id="161" w:name="_Toc18507"/>
            <w:bookmarkStart w:id="162" w:name="_Toc13321"/>
            <w:r>
              <w:rPr>
                <w:rFonts w:hint="default" w:ascii="Times New Roman" w:hAnsi="Times New Roman" w:cs="Times New Roman"/>
                <w:color w:val="000000"/>
                <w:u w:val="none"/>
              </w:rPr>
              <w:t>施工方案</w:t>
            </w:r>
            <w:bookmarkEnd w:id="161"/>
            <w:bookmarkEnd w:id="162"/>
          </w:p>
        </w:tc>
        <w:tc>
          <w:tcPr>
            <w:tcW w:w="4743" w:type="pct"/>
            <w:noWrap w:val="0"/>
            <w:vAlign w:val="top"/>
          </w:tcPr>
          <w:p w14:paraId="1E5AA115">
            <w:pPr>
              <w:pStyle w:val="30"/>
              <w:bidi w:val="0"/>
              <w:rPr>
                <w:rFonts w:hint="default" w:ascii="Times New Roman" w:hAnsi="Times New Roman" w:cs="Times New Roman"/>
                <w:color w:val="000000"/>
                <w:highlight w:val="none"/>
              </w:rPr>
            </w:pPr>
            <w:bookmarkStart w:id="163" w:name="_Ref2514"/>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2.5</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表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1</w:t>
            </w:r>
            <w:r>
              <w:rPr>
                <w:rFonts w:hint="default" w:ascii="Times New Roman" w:hAnsi="Times New Roman" w:cs="Times New Roman"/>
                <w:color w:val="000000"/>
                <w:highlight w:val="none"/>
              </w:rPr>
              <w:fldChar w:fldCharType="end"/>
            </w:r>
            <w:bookmarkEnd w:id="163"/>
            <w:r>
              <w:rPr>
                <w:rFonts w:hint="default" w:ascii="Times New Roman" w:hAnsi="Times New Roman" w:cs="Times New Roman"/>
                <w:color w:val="000000"/>
                <w:highlight w:val="none"/>
                <w:lang w:val="en-US" w:eastAsia="zh-CN"/>
              </w:rPr>
              <w:t xml:space="preserve"> </w:t>
            </w:r>
            <w:r>
              <w:rPr>
                <w:rFonts w:hint="default" w:ascii="Times New Roman" w:hAnsi="Times New Roman" w:cs="Times New Roman"/>
                <w:color w:val="000000"/>
                <w:highlight w:val="none"/>
              </w:rPr>
              <w:t>海亮沃口一级渔港工程施工进度表</w:t>
            </w:r>
          </w:p>
          <w:tbl>
            <w:tblPr>
              <w:tblStyle w:val="22"/>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70"/>
              <w:gridCol w:w="292"/>
              <w:gridCol w:w="292"/>
              <w:gridCol w:w="296"/>
              <w:gridCol w:w="298"/>
              <w:gridCol w:w="306"/>
              <w:gridCol w:w="306"/>
              <w:gridCol w:w="303"/>
              <w:gridCol w:w="306"/>
              <w:gridCol w:w="306"/>
              <w:gridCol w:w="306"/>
              <w:gridCol w:w="306"/>
              <w:gridCol w:w="306"/>
              <w:gridCol w:w="303"/>
              <w:gridCol w:w="306"/>
              <w:gridCol w:w="306"/>
              <w:gridCol w:w="303"/>
              <w:gridCol w:w="306"/>
              <w:gridCol w:w="306"/>
              <w:gridCol w:w="303"/>
              <w:gridCol w:w="311"/>
              <w:gridCol w:w="306"/>
              <w:gridCol w:w="303"/>
              <w:gridCol w:w="306"/>
              <w:gridCol w:w="313"/>
              <w:gridCol w:w="303"/>
              <w:gridCol w:w="306"/>
              <w:gridCol w:w="319"/>
              <w:gridCol w:w="306"/>
              <w:gridCol w:w="306"/>
              <w:gridCol w:w="321"/>
              <w:gridCol w:w="303"/>
              <w:gridCol w:w="306"/>
              <w:gridCol w:w="326"/>
              <w:gridCol w:w="306"/>
              <w:gridCol w:w="306"/>
              <w:gridCol w:w="344"/>
            </w:tblGrid>
            <w:tr w14:paraId="0DF48C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656" w:type="pct"/>
                  <w:noWrap w:val="0"/>
                  <w:vAlign w:val="center"/>
                </w:tcPr>
                <w:p w14:paraId="2FA2A3CA">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项目</w:t>
                  </w:r>
                </w:p>
              </w:tc>
              <w:tc>
                <w:tcPr>
                  <w:tcW w:w="345" w:type="pct"/>
                  <w:gridSpan w:val="3"/>
                  <w:tcBorders>
                    <w:bottom w:val="single" w:color="auto" w:sz="4" w:space="0"/>
                  </w:tcBorders>
                  <w:noWrap w:val="0"/>
                  <w:vAlign w:val="center"/>
                </w:tcPr>
                <w:p w14:paraId="46C6E16C">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1-3月</w:t>
                  </w:r>
                </w:p>
              </w:tc>
              <w:tc>
                <w:tcPr>
                  <w:tcW w:w="357" w:type="pct"/>
                  <w:gridSpan w:val="3"/>
                  <w:tcBorders>
                    <w:bottom w:val="single" w:color="auto" w:sz="4" w:space="0"/>
                  </w:tcBorders>
                  <w:noWrap w:val="0"/>
                  <w:vAlign w:val="center"/>
                </w:tcPr>
                <w:p w14:paraId="0B9C7C0C">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4-6月</w:t>
                  </w:r>
                </w:p>
              </w:tc>
              <w:tc>
                <w:tcPr>
                  <w:tcW w:w="359" w:type="pct"/>
                  <w:gridSpan w:val="3"/>
                  <w:tcBorders>
                    <w:bottom w:val="single" w:color="auto" w:sz="4" w:space="0"/>
                  </w:tcBorders>
                  <w:noWrap w:val="0"/>
                  <w:vAlign w:val="center"/>
                </w:tcPr>
                <w:p w14:paraId="2F981DCA">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7-9月</w:t>
                  </w:r>
                </w:p>
              </w:tc>
              <w:tc>
                <w:tcPr>
                  <w:tcW w:w="360" w:type="pct"/>
                  <w:gridSpan w:val="3"/>
                  <w:tcBorders>
                    <w:bottom w:val="single" w:color="auto" w:sz="4" w:space="0"/>
                  </w:tcBorders>
                  <w:noWrap w:val="0"/>
                  <w:vAlign w:val="center"/>
                </w:tcPr>
                <w:p w14:paraId="79EB1CA4">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10-12月</w:t>
                  </w:r>
                </w:p>
              </w:tc>
              <w:tc>
                <w:tcPr>
                  <w:tcW w:w="359" w:type="pct"/>
                  <w:gridSpan w:val="3"/>
                  <w:tcBorders>
                    <w:bottom w:val="single" w:color="auto" w:sz="4" w:space="0"/>
                  </w:tcBorders>
                  <w:noWrap w:val="0"/>
                  <w:vAlign w:val="center"/>
                </w:tcPr>
                <w:p w14:paraId="09E093C0">
                  <w:pPr>
                    <w:pStyle w:val="31"/>
                    <w:bidi w:val="0"/>
                    <w:jc w:val="center"/>
                    <w:rPr>
                      <w:rFonts w:hint="default" w:ascii="Times New Roman" w:hAnsi="Times New Roman" w:cs="Times New Roman"/>
                      <w:b/>
                      <w:bCs/>
                      <w:color w:val="000000"/>
                      <w:highlight w:val="none"/>
                      <w:lang w:val="en-US" w:eastAsia="zh-CN"/>
                    </w:rPr>
                  </w:pPr>
                  <w:bookmarkStart w:id="709" w:name="_GoBack"/>
                  <w:r>
                    <w:rPr>
                      <w:rFonts w:hint="default" w:ascii="Times New Roman" w:hAnsi="Times New Roman" w:cs="Times New Roman"/>
                      <w:b/>
                      <w:bCs/>
                      <w:color w:val="000000"/>
                      <w:highlight w:val="none"/>
                      <w:lang w:val="en-US" w:eastAsia="zh-CN"/>
                    </w:rPr>
                    <w:t>13-15月</w:t>
                  </w:r>
                  <w:bookmarkEnd w:id="709"/>
                </w:p>
              </w:tc>
              <w:tc>
                <w:tcPr>
                  <w:tcW w:w="359" w:type="pct"/>
                  <w:gridSpan w:val="3"/>
                  <w:tcBorders>
                    <w:bottom w:val="single" w:color="auto" w:sz="4" w:space="0"/>
                  </w:tcBorders>
                  <w:noWrap w:val="0"/>
                  <w:vAlign w:val="center"/>
                </w:tcPr>
                <w:p w14:paraId="3E13720B">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16-18月</w:t>
                  </w:r>
                </w:p>
              </w:tc>
              <w:tc>
                <w:tcPr>
                  <w:tcW w:w="361" w:type="pct"/>
                  <w:gridSpan w:val="3"/>
                  <w:tcBorders>
                    <w:bottom w:val="single" w:color="auto" w:sz="4" w:space="0"/>
                  </w:tcBorders>
                  <w:noWrap w:val="0"/>
                  <w:vAlign w:val="center"/>
                </w:tcPr>
                <w:p w14:paraId="7658A68C">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19-21月</w:t>
                  </w:r>
                </w:p>
              </w:tc>
              <w:tc>
                <w:tcPr>
                  <w:tcW w:w="362" w:type="pct"/>
                  <w:gridSpan w:val="3"/>
                  <w:tcBorders>
                    <w:bottom w:val="single" w:color="auto" w:sz="4" w:space="0"/>
                  </w:tcBorders>
                  <w:noWrap w:val="0"/>
                  <w:vAlign w:val="center"/>
                </w:tcPr>
                <w:p w14:paraId="73FE5BE9">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22-24月</w:t>
                  </w:r>
                </w:p>
              </w:tc>
              <w:tc>
                <w:tcPr>
                  <w:tcW w:w="364" w:type="pct"/>
                  <w:gridSpan w:val="3"/>
                  <w:tcBorders>
                    <w:bottom w:val="single" w:color="auto" w:sz="4" w:space="0"/>
                  </w:tcBorders>
                  <w:noWrap w:val="0"/>
                  <w:vAlign w:val="center"/>
                </w:tcPr>
                <w:p w14:paraId="6C25A1D5">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25-27月</w:t>
                  </w:r>
                </w:p>
              </w:tc>
              <w:tc>
                <w:tcPr>
                  <w:tcW w:w="366" w:type="pct"/>
                  <w:gridSpan w:val="3"/>
                  <w:tcBorders>
                    <w:bottom w:val="single" w:color="auto" w:sz="4" w:space="0"/>
                  </w:tcBorders>
                  <w:noWrap w:val="0"/>
                  <w:vAlign w:val="center"/>
                </w:tcPr>
                <w:p w14:paraId="1DF43A53">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28-30月</w:t>
                  </w:r>
                </w:p>
              </w:tc>
              <w:tc>
                <w:tcPr>
                  <w:tcW w:w="367" w:type="pct"/>
                  <w:gridSpan w:val="3"/>
                  <w:tcBorders>
                    <w:bottom w:val="single" w:color="auto" w:sz="4" w:space="0"/>
                  </w:tcBorders>
                  <w:noWrap w:val="0"/>
                  <w:vAlign w:val="center"/>
                </w:tcPr>
                <w:p w14:paraId="731021F3">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31-33月</w:t>
                  </w:r>
                </w:p>
              </w:tc>
              <w:tc>
                <w:tcPr>
                  <w:tcW w:w="375" w:type="pct"/>
                  <w:gridSpan w:val="3"/>
                  <w:tcBorders>
                    <w:bottom w:val="single" w:color="auto" w:sz="4" w:space="0"/>
                  </w:tcBorders>
                  <w:noWrap w:val="0"/>
                  <w:vAlign w:val="center"/>
                </w:tcPr>
                <w:p w14:paraId="43DF9C8F">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34-36月</w:t>
                  </w:r>
                </w:p>
              </w:tc>
            </w:tr>
            <w:tr w14:paraId="164B89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656" w:type="pct"/>
                  <w:tcBorders>
                    <w:right w:val="single" w:color="auto" w:sz="4" w:space="0"/>
                  </w:tcBorders>
                  <w:noWrap w:val="0"/>
                  <w:vAlign w:val="center"/>
                </w:tcPr>
                <w:p w14:paraId="175CB2EA">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color w:val="000000"/>
                      <w:highlight w:val="none"/>
                      <w:lang w:val="en-US" w:eastAsia="zh-CN"/>
                    </w:rPr>
                    <w:t>施工前准备</w:t>
                  </w:r>
                </w:p>
              </w:tc>
              <w:tc>
                <w:tcPr>
                  <w:tcW w:w="114" w:type="pct"/>
                  <w:tcBorders>
                    <w:top w:val="single" w:color="auto" w:sz="4" w:space="0"/>
                    <w:left w:val="single" w:color="auto" w:sz="4" w:space="0"/>
                    <w:bottom w:val="single" w:color="auto" w:sz="4" w:space="0"/>
                    <w:right w:val="nil"/>
                  </w:tcBorders>
                  <w:shd w:val="clear" w:color="auto" w:fill="BEBEBE" w:themeFill="background1" w:themeFillShade="BF"/>
                  <w:noWrap w:val="0"/>
                  <w:vAlign w:val="center"/>
                </w:tcPr>
                <w:p w14:paraId="4E92F4F4">
                  <w:pPr>
                    <w:pStyle w:val="31"/>
                    <w:bidi w:val="0"/>
                    <w:jc w:val="center"/>
                    <w:rPr>
                      <w:rFonts w:hint="default" w:ascii="Times New Roman" w:hAnsi="Times New Roman" w:cs="Times New Roman"/>
                      <w:b/>
                      <w:bCs/>
                      <w:color w:val="000000"/>
                      <w:highlight w:val="none"/>
                      <w:lang w:val="en-US" w:eastAsia="zh-CN"/>
                    </w:rPr>
                  </w:pPr>
                </w:p>
              </w:tc>
              <w:tc>
                <w:tcPr>
                  <w:tcW w:w="114" w:type="pct"/>
                  <w:tcBorders>
                    <w:top w:val="single" w:color="auto" w:sz="4" w:space="0"/>
                    <w:left w:val="nil"/>
                    <w:bottom w:val="single" w:color="auto" w:sz="4" w:space="0"/>
                    <w:right w:val="nil"/>
                  </w:tcBorders>
                  <w:shd w:val="clear" w:color="auto" w:fill="BEBEBE" w:themeFill="background1" w:themeFillShade="BF"/>
                  <w:noWrap w:val="0"/>
                  <w:vAlign w:val="center"/>
                </w:tcPr>
                <w:p w14:paraId="1B332ACB">
                  <w:pPr>
                    <w:pStyle w:val="31"/>
                    <w:bidi w:val="0"/>
                    <w:jc w:val="center"/>
                    <w:rPr>
                      <w:rFonts w:hint="default" w:ascii="Times New Roman" w:hAnsi="Times New Roman" w:cs="Times New Roman"/>
                      <w:b/>
                      <w:bCs/>
                      <w:color w:val="000000"/>
                      <w:highlight w:val="none"/>
                      <w:lang w:val="en-US" w:eastAsia="zh-CN"/>
                    </w:rPr>
                  </w:pPr>
                </w:p>
              </w:tc>
              <w:tc>
                <w:tcPr>
                  <w:tcW w:w="116" w:type="pct"/>
                  <w:tcBorders>
                    <w:top w:val="single" w:color="auto" w:sz="4" w:space="0"/>
                    <w:left w:val="nil"/>
                    <w:bottom w:val="single" w:color="auto" w:sz="4" w:space="0"/>
                    <w:right w:val="single" w:color="auto" w:sz="4" w:space="0"/>
                  </w:tcBorders>
                  <w:shd w:val="clear" w:color="auto" w:fill="BEBEBE" w:themeFill="background1" w:themeFillShade="BF"/>
                  <w:noWrap w:val="0"/>
                  <w:vAlign w:val="center"/>
                </w:tcPr>
                <w:p w14:paraId="36B7BC34">
                  <w:pPr>
                    <w:pStyle w:val="31"/>
                    <w:bidi w:val="0"/>
                    <w:jc w:val="center"/>
                    <w:rPr>
                      <w:rFonts w:hint="default" w:ascii="Times New Roman" w:hAnsi="Times New Roman" w:cs="Times New Roman"/>
                      <w:b/>
                      <w:bCs/>
                      <w:color w:val="000000"/>
                      <w:highlight w:val="none"/>
                      <w:lang w:val="en-US" w:eastAsia="zh-CN"/>
                    </w:rPr>
                  </w:pPr>
                </w:p>
              </w:tc>
              <w:tc>
                <w:tcPr>
                  <w:tcW w:w="117" w:type="pct"/>
                  <w:tcBorders>
                    <w:top w:val="single" w:color="auto" w:sz="4" w:space="0"/>
                    <w:left w:val="single" w:color="auto" w:sz="4" w:space="0"/>
                    <w:bottom w:val="single" w:color="auto" w:sz="4" w:space="0"/>
                    <w:right w:val="nil"/>
                  </w:tcBorders>
                  <w:shd w:val="clear" w:color="auto" w:fill="BEBEBE" w:themeFill="background1" w:themeFillShade="BF"/>
                  <w:noWrap w:val="0"/>
                  <w:vAlign w:val="center"/>
                </w:tcPr>
                <w:p w14:paraId="34226E80">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nil"/>
                  </w:tcBorders>
                  <w:shd w:val="clear" w:color="auto" w:fill="BEBEBE" w:themeFill="background1" w:themeFillShade="BF"/>
                  <w:noWrap w:val="0"/>
                  <w:vAlign w:val="center"/>
                </w:tcPr>
                <w:p w14:paraId="1F130773">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single" w:color="auto" w:sz="4" w:space="0"/>
                  </w:tcBorders>
                  <w:noWrap w:val="0"/>
                  <w:vAlign w:val="center"/>
                </w:tcPr>
                <w:p w14:paraId="092DC16F">
                  <w:pPr>
                    <w:pStyle w:val="31"/>
                    <w:bidi w:val="0"/>
                    <w:jc w:val="center"/>
                    <w:rPr>
                      <w:rFonts w:hint="default" w:ascii="Times New Roman" w:hAnsi="Times New Roman" w:cs="Times New Roman"/>
                      <w:b/>
                      <w:bCs/>
                      <w:color w:val="000000"/>
                      <w:highlight w:val="none"/>
                      <w:lang w:val="en-US" w:eastAsia="zh-CN"/>
                    </w:rPr>
                  </w:pPr>
                </w:p>
              </w:tc>
              <w:tc>
                <w:tcPr>
                  <w:tcW w:w="119" w:type="pct"/>
                  <w:tcBorders>
                    <w:top w:val="single" w:color="auto" w:sz="4" w:space="0"/>
                    <w:left w:val="single" w:color="auto" w:sz="4" w:space="0"/>
                    <w:bottom w:val="single" w:color="auto" w:sz="4" w:space="0"/>
                    <w:right w:val="nil"/>
                  </w:tcBorders>
                  <w:noWrap w:val="0"/>
                  <w:vAlign w:val="center"/>
                </w:tcPr>
                <w:p w14:paraId="6934EB5B">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nil"/>
                  </w:tcBorders>
                  <w:noWrap w:val="0"/>
                  <w:vAlign w:val="center"/>
                </w:tcPr>
                <w:p w14:paraId="53A69AAC">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single" w:color="auto" w:sz="4" w:space="0"/>
                  </w:tcBorders>
                  <w:noWrap w:val="0"/>
                  <w:vAlign w:val="center"/>
                </w:tcPr>
                <w:p w14:paraId="2B894E28">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single" w:color="auto" w:sz="4" w:space="0"/>
                    <w:bottom w:val="single" w:color="auto" w:sz="4" w:space="0"/>
                    <w:right w:val="nil"/>
                  </w:tcBorders>
                  <w:noWrap w:val="0"/>
                  <w:vAlign w:val="center"/>
                </w:tcPr>
                <w:p w14:paraId="38365ABA">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nil"/>
                  </w:tcBorders>
                  <w:noWrap w:val="0"/>
                  <w:vAlign w:val="center"/>
                </w:tcPr>
                <w:p w14:paraId="1BC2181A">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single" w:color="auto" w:sz="4" w:space="0"/>
                  </w:tcBorders>
                  <w:noWrap w:val="0"/>
                  <w:vAlign w:val="center"/>
                </w:tcPr>
                <w:p w14:paraId="5B95475D">
                  <w:pPr>
                    <w:pStyle w:val="31"/>
                    <w:bidi w:val="0"/>
                    <w:jc w:val="center"/>
                    <w:rPr>
                      <w:rFonts w:hint="default" w:ascii="Times New Roman" w:hAnsi="Times New Roman" w:cs="Times New Roman"/>
                      <w:b/>
                      <w:bCs/>
                      <w:color w:val="000000"/>
                      <w:highlight w:val="none"/>
                      <w:lang w:val="en-US" w:eastAsia="zh-CN"/>
                    </w:rPr>
                  </w:pPr>
                </w:p>
              </w:tc>
              <w:tc>
                <w:tcPr>
                  <w:tcW w:w="119" w:type="pct"/>
                  <w:tcBorders>
                    <w:top w:val="single" w:color="auto" w:sz="4" w:space="0"/>
                    <w:left w:val="single" w:color="auto" w:sz="4" w:space="0"/>
                    <w:bottom w:val="single" w:color="auto" w:sz="4" w:space="0"/>
                    <w:right w:val="nil"/>
                  </w:tcBorders>
                  <w:noWrap w:val="0"/>
                  <w:vAlign w:val="center"/>
                </w:tcPr>
                <w:p w14:paraId="48C1C427">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nil"/>
                  </w:tcBorders>
                  <w:noWrap w:val="0"/>
                  <w:vAlign w:val="center"/>
                </w:tcPr>
                <w:p w14:paraId="5A9BFBA3">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single" w:color="auto" w:sz="4" w:space="0"/>
                  </w:tcBorders>
                  <w:noWrap w:val="0"/>
                  <w:vAlign w:val="center"/>
                </w:tcPr>
                <w:p w14:paraId="596260E3">
                  <w:pPr>
                    <w:pStyle w:val="31"/>
                    <w:bidi w:val="0"/>
                    <w:jc w:val="center"/>
                    <w:rPr>
                      <w:rFonts w:hint="default" w:ascii="Times New Roman" w:hAnsi="Times New Roman" w:cs="Times New Roman"/>
                      <w:b/>
                      <w:bCs/>
                      <w:color w:val="000000"/>
                      <w:highlight w:val="none"/>
                      <w:lang w:val="en-US" w:eastAsia="zh-CN"/>
                    </w:rPr>
                  </w:pPr>
                </w:p>
              </w:tc>
              <w:tc>
                <w:tcPr>
                  <w:tcW w:w="119" w:type="pct"/>
                  <w:tcBorders>
                    <w:top w:val="single" w:color="auto" w:sz="4" w:space="0"/>
                    <w:left w:val="single" w:color="auto" w:sz="4" w:space="0"/>
                    <w:bottom w:val="single" w:color="auto" w:sz="4" w:space="0"/>
                    <w:right w:val="nil"/>
                  </w:tcBorders>
                  <w:noWrap w:val="0"/>
                  <w:vAlign w:val="center"/>
                </w:tcPr>
                <w:p w14:paraId="3A160BCB">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nil"/>
                  </w:tcBorders>
                  <w:noWrap w:val="0"/>
                  <w:vAlign w:val="center"/>
                </w:tcPr>
                <w:p w14:paraId="21024557">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single" w:color="auto" w:sz="4" w:space="0"/>
                  </w:tcBorders>
                  <w:noWrap w:val="0"/>
                  <w:vAlign w:val="center"/>
                </w:tcPr>
                <w:p w14:paraId="32E02C00">
                  <w:pPr>
                    <w:pStyle w:val="31"/>
                    <w:bidi w:val="0"/>
                    <w:jc w:val="center"/>
                    <w:rPr>
                      <w:rFonts w:hint="default" w:ascii="Times New Roman" w:hAnsi="Times New Roman" w:cs="Times New Roman"/>
                      <w:b/>
                      <w:bCs/>
                      <w:color w:val="000000"/>
                      <w:highlight w:val="none"/>
                      <w:lang w:val="en-US" w:eastAsia="zh-CN"/>
                    </w:rPr>
                  </w:pPr>
                </w:p>
              </w:tc>
              <w:tc>
                <w:tcPr>
                  <w:tcW w:w="119" w:type="pct"/>
                  <w:tcBorders>
                    <w:top w:val="single" w:color="auto" w:sz="4" w:space="0"/>
                    <w:left w:val="single" w:color="auto" w:sz="4" w:space="0"/>
                    <w:bottom w:val="single" w:color="auto" w:sz="4" w:space="0"/>
                    <w:right w:val="nil"/>
                  </w:tcBorders>
                  <w:noWrap w:val="0"/>
                  <w:vAlign w:val="center"/>
                </w:tcPr>
                <w:p w14:paraId="3DB6CD76">
                  <w:pPr>
                    <w:pStyle w:val="31"/>
                    <w:bidi w:val="0"/>
                    <w:jc w:val="center"/>
                    <w:rPr>
                      <w:rFonts w:hint="default" w:ascii="Times New Roman" w:hAnsi="Times New Roman" w:cs="Times New Roman"/>
                      <w:b/>
                      <w:bCs/>
                      <w:color w:val="000000"/>
                      <w:highlight w:val="none"/>
                      <w:lang w:val="en-US" w:eastAsia="zh-CN"/>
                    </w:rPr>
                  </w:pPr>
                </w:p>
              </w:tc>
              <w:tc>
                <w:tcPr>
                  <w:tcW w:w="122" w:type="pct"/>
                  <w:tcBorders>
                    <w:top w:val="single" w:color="auto" w:sz="4" w:space="0"/>
                    <w:left w:val="nil"/>
                    <w:bottom w:val="single" w:color="auto" w:sz="4" w:space="0"/>
                    <w:right w:val="nil"/>
                  </w:tcBorders>
                  <w:noWrap w:val="0"/>
                  <w:vAlign w:val="center"/>
                </w:tcPr>
                <w:p w14:paraId="5F605E4B">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single" w:color="auto" w:sz="4" w:space="0"/>
                  </w:tcBorders>
                  <w:noWrap w:val="0"/>
                  <w:vAlign w:val="center"/>
                </w:tcPr>
                <w:p w14:paraId="368C37B6">
                  <w:pPr>
                    <w:pStyle w:val="31"/>
                    <w:bidi w:val="0"/>
                    <w:jc w:val="center"/>
                    <w:rPr>
                      <w:rFonts w:hint="default" w:ascii="Times New Roman" w:hAnsi="Times New Roman" w:cs="Times New Roman"/>
                      <w:b/>
                      <w:bCs/>
                      <w:color w:val="000000"/>
                      <w:highlight w:val="none"/>
                      <w:lang w:val="en-US" w:eastAsia="zh-CN"/>
                    </w:rPr>
                  </w:pPr>
                </w:p>
              </w:tc>
              <w:tc>
                <w:tcPr>
                  <w:tcW w:w="119" w:type="pct"/>
                  <w:tcBorders>
                    <w:top w:val="single" w:color="auto" w:sz="4" w:space="0"/>
                    <w:left w:val="single" w:color="auto" w:sz="4" w:space="0"/>
                    <w:bottom w:val="single" w:color="auto" w:sz="4" w:space="0"/>
                    <w:right w:val="nil"/>
                  </w:tcBorders>
                  <w:noWrap w:val="0"/>
                  <w:vAlign w:val="center"/>
                </w:tcPr>
                <w:p w14:paraId="14A578A5">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nil"/>
                  </w:tcBorders>
                  <w:noWrap w:val="0"/>
                  <w:vAlign w:val="center"/>
                </w:tcPr>
                <w:p w14:paraId="2C764E93">
                  <w:pPr>
                    <w:pStyle w:val="31"/>
                    <w:bidi w:val="0"/>
                    <w:jc w:val="center"/>
                    <w:rPr>
                      <w:rFonts w:hint="default" w:ascii="Times New Roman" w:hAnsi="Times New Roman" w:cs="Times New Roman"/>
                      <w:b/>
                      <w:bCs/>
                      <w:color w:val="000000"/>
                      <w:highlight w:val="none"/>
                      <w:lang w:val="en-US" w:eastAsia="zh-CN"/>
                    </w:rPr>
                  </w:pPr>
                </w:p>
              </w:tc>
              <w:tc>
                <w:tcPr>
                  <w:tcW w:w="123" w:type="pct"/>
                  <w:tcBorders>
                    <w:top w:val="single" w:color="auto" w:sz="4" w:space="0"/>
                    <w:left w:val="nil"/>
                    <w:bottom w:val="single" w:color="auto" w:sz="4" w:space="0"/>
                    <w:right w:val="single" w:color="auto" w:sz="4" w:space="0"/>
                  </w:tcBorders>
                  <w:noWrap w:val="0"/>
                  <w:vAlign w:val="center"/>
                </w:tcPr>
                <w:p w14:paraId="5239C1E8">
                  <w:pPr>
                    <w:pStyle w:val="31"/>
                    <w:bidi w:val="0"/>
                    <w:jc w:val="center"/>
                    <w:rPr>
                      <w:rFonts w:hint="default" w:ascii="Times New Roman" w:hAnsi="Times New Roman" w:cs="Times New Roman"/>
                      <w:b/>
                      <w:bCs/>
                      <w:color w:val="000000"/>
                      <w:highlight w:val="none"/>
                      <w:lang w:val="en-US" w:eastAsia="zh-CN"/>
                    </w:rPr>
                  </w:pPr>
                </w:p>
              </w:tc>
              <w:tc>
                <w:tcPr>
                  <w:tcW w:w="119" w:type="pct"/>
                  <w:tcBorders>
                    <w:top w:val="single" w:color="auto" w:sz="4" w:space="0"/>
                    <w:left w:val="single" w:color="auto" w:sz="4" w:space="0"/>
                    <w:bottom w:val="single" w:color="auto" w:sz="4" w:space="0"/>
                    <w:right w:val="nil"/>
                  </w:tcBorders>
                  <w:noWrap w:val="0"/>
                  <w:vAlign w:val="center"/>
                </w:tcPr>
                <w:p w14:paraId="2C6DBDE1">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nil"/>
                  </w:tcBorders>
                  <w:noWrap w:val="0"/>
                  <w:vAlign w:val="center"/>
                </w:tcPr>
                <w:p w14:paraId="7833FC18">
                  <w:pPr>
                    <w:pStyle w:val="31"/>
                    <w:bidi w:val="0"/>
                    <w:jc w:val="center"/>
                    <w:rPr>
                      <w:rFonts w:hint="default" w:ascii="Times New Roman" w:hAnsi="Times New Roman" w:cs="Times New Roman"/>
                      <w:b/>
                      <w:bCs/>
                      <w:color w:val="000000"/>
                      <w:highlight w:val="none"/>
                      <w:lang w:val="en-US" w:eastAsia="zh-CN"/>
                    </w:rPr>
                  </w:pPr>
                </w:p>
              </w:tc>
              <w:tc>
                <w:tcPr>
                  <w:tcW w:w="125" w:type="pct"/>
                  <w:tcBorders>
                    <w:top w:val="single" w:color="auto" w:sz="4" w:space="0"/>
                    <w:left w:val="nil"/>
                    <w:bottom w:val="single" w:color="auto" w:sz="4" w:space="0"/>
                    <w:right w:val="single" w:color="auto" w:sz="4" w:space="0"/>
                  </w:tcBorders>
                  <w:noWrap w:val="0"/>
                  <w:vAlign w:val="center"/>
                </w:tcPr>
                <w:p w14:paraId="4A2C233D">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single" w:color="auto" w:sz="4" w:space="0"/>
                    <w:bottom w:val="single" w:color="auto" w:sz="4" w:space="0"/>
                    <w:right w:val="nil"/>
                  </w:tcBorders>
                  <w:noWrap w:val="0"/>
                  <w:vAlign w:val="center"/>
                </w:tcPr>
                <w:p w14:paraId="4A381FE3">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nil"/>
                  </w:tcBorders>
                  <w:noWrap w:val="0"/>
                  <w:vAlign w:val="center"/>
                </w:tcPr>
                <w:p w14:paraId="561E829D">
                  <w:pPr>
                    <w:pStyle w:val="31"/>
                    <w:bidi w:val="0"/>
                    <w:jc w:val="center"/>
                    <w:rPr>
                      <w:rFonts w:hint="default" w:ascii="Times New Roman" w:hAnsi="Times New Roman" w:cs="Times New Roman"/>
                      <w:b/>
                      <w:bCs/>
                      <w:color w:val="000000"/>
                      <w:highlight w:val="none"/>
                      <w:lang w:val="en-US" w:eastAsia="zh-CN"/>
                    </w:rPr>
                  </w:pPr>
                </w:p>
              </w:tc>
              <w:tc>
                <w:tcPr>
                  <w:tcW w:w="126" w:type="pct"/>
                  <w:tcBorders>
                    <w:top w:val="single" w:color="auto" w:sz="4" w:space="0"/>
                    <w:left w:val="nil"/>
                    <w:bottom w:val="single" w:color="auto" w:sz="4" w:space="0"/>
                    <w:right w:val="single" w:color="auto" w:sz="4" w:space="0"/>
                  </w:tcBorders>
                  <w:noWrap w:val="0"/>
                  <w:vAlign w:val="center"/>
                </w:tcPr>
                <w:p w14:paraId="6EDEB3C8">
                  <w:pPr>
                    <w:pStyle w:val="31"/>
                    <w:bidi w:val="0"/>
                    <w:jc w:val="center"/>
                    <w:rPr>
                      <w:rFonts w:hint="default" w:ascii="Times New Roman" w:hAnsi="Times New Roman" w:cs="Times New Roman"/>
                      <w:b/>
                      <w:bCs/>
                      <w:color w:val="000000"/>
                      <w:highlight w:val="none"/>
                      <w:lang w:val="en-US" w:eastAsia="zh-CN"/>
                    </w:rPr>
                  </w:pPr>
                </w:p>
              </w:tc>
              <w:tc>
                <w:tcPr>
                  <w:tcW w:w="119" w:type="pct"/>
                  <w:tcBorders>
                    <w:top w:val="single" w:color="auto" w:sz="4" w:space="0"/>
                    <w:left w:val="single" w:color="auto" w:sz="4" w:space="0"/>
                    <w:bottom w:val="single" w:color="auto" w:sz="4" w:space="0"/>
                    <w:right w:val="nil"/>
                  </w:tcBorders>
                  <w:noWrap w:val="0"/>
                  <w:vAlign w:val="center"/>
                </w:tcPr>
                <w:p w14:paraId="37E38E01">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nil"/>
                  </w:tcBorders>
                  <w:noWrap w:val="0"/>
                  <w:vAlign w:val="center"/>
                </w:tcPr>
                <w:p w14:paraId="7C50266D">
                  <w:pPr>
                    <w:pStyle w:val="31"/>
                    <w:bidi w:val="0"/>
                    <w:jc w:val="center"/>
                    <w:rPr>
                      <w:rFonts w:hint="default" w:ascii="Times New Roman" w:hAnsi="Times New Roman" w:cs="Times New Roman"/>
                      <w:b/>
                      <w:bCs/>
                      <w:color w:val="000000"/>
                      <w:highlight w:val="none"/>
                      <w:lang w:val="en-US" w:eastAsia="zh-CN"/>
                    </w:rPr>
                  </w:pPr>
                </w:p>
              </w:tc>
              <w:tc>
                <w:tcPr>
                  <w:tcW w:w="128" w:type="pct"/>
                  <w:tcBorders>
                    <w:top w:val="single" w:color="auto" w:sz="4" w:space="0"/>
                    <w:left w:val="nil"/>
                    <w:bottom w:val="single" w:color="auto" w:sz="4" w:space="0"/>
                    <w:right w:val="single" w:color="auto" w:sz="4" w:space="0"/>
                  </w:tcBorders>
                  <w:noWrap w:val="0"/>
                  <w:vAlign w:val="center"/>
                </w:tcPr>
                <w:p w14:paraId="6A2C1CBD">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single" w:color="auto" w:sz="4" w:space="0"/>
                    <w:bottom w:val="single" w:color="auto" w:sz="4" w:space="0"/>
                    <w:right w:val="nil"/>
                  </w:tcBorders>
                  <w:noWrap w:val="0"/>
                  <w:vAlign w:val="center"/>
                </w:tcPr>
                <w:p w14:paraId="714B1655">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nil"/>
                  </w:tcBorders>
                  <w:noWrap w:val="0"/>
                  <w:vAlign w:val="center"/>
                </w:tcPr>
                <w:p w14:paraId="052A8359">
                  <w:pPr>
                    <w:pStyle w:val="31"/>
                    <w:bidi w:val="0"/>
                    <w:jc w:val="center"/>
                    <w:rPr>
                      <w:rFonts w:hint="default" w:ascii="Times New Roman" w:hAnsi="Times New Roman" w:cs="Times New Roman"/>
                      <w:b/>
                      <w:bCs/>
                      <w:color w:val="000000"/>
                      <w:highlight w:val="none"/>
                      <w:lang w:val="en-US" w:eastAsia="zh-CN"/>
                    </w:rPr>
                  </w:pPr>
                </w:p>
              </w:tc>
              <w:tc>
                <w:tcPr>
                  <w:tcW w:w="135" w:type="pct"/>
                  <w:tcBorders>
                    <w:top w:val="single" w:color="auto" w:sz="4" w:space="0"/>
                    <w:left w:val="nil"/>
                    <w:bottom w:val="single" w:color="auto" w:sz="4" w:space="0"/>
                    <w:right w:val="single" w:color="auto" w:sz="4" w:space="0"/>
                  </w:tcBorders>
                  <w:noWrap w:val="0"/>
                  <w:vAlign w:val="center"/>
                </w:tcPr>
                <w:p w14:paraId="5E18F7ED">
                  <w:pPr>
                    <w:pStyle w:val="31"/>
                    <w:bidi w:val="0"/>
                    <w:jc w:val="center"/>
                    <w:rPr>
                      <w:rFonts w:hint="default" w:ascii="Times New Roman" w:hAnsi="Times New Roman" w:cs="Times New Roman"/>
                      <w:b/>
                      <w:bCs/>
                      <w:color w:val="000000"/>
                      <w:highlight w:val="none"/>
                      <w:lang w:val="en-US" w:eastAsia="zh-CN"/>
                    </w:rPr>
                  </w:pPr>
                </w:p>
              </w:tc>
            </w:tr>
            <w:tr w14:paraId="22E954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656" w:type="pct"/>
                  <w:tcBorders>
                    <w:right w:val="single" w:color="auto" w:sz="4" w:space="0"/>
                  </w:tcBorders>
                  <w:noWrap w:val="0"/>
                  <w:vAlign w:val="center"/>
                </w:tcPr>
                <w:p w14:paraId="6FF09746">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东防波堤</w:t>
                  </w:r>
                </w:p>
              </w:tc>
              <w:tc>
                <w:tcPr>
                  <w:tcW w:w="114" w:type="pct"/>
                  <w:tcBorders>
                    <w:top w:val="single" w:color="auto" w:sz="4" w:space="0"/>
                    <w:left w:val="single" w:color="auto" w:sz="4" w:space="0"/>
                    <w:bottom w:val="single" w:color="auto" w:sz="4" w:space="0"/>
                    <w:right w:val="nil"/>
                  </w:tcBorders>
                  <w:noWrap w:val="0"/>
                  <w:vAlign w:val="center"/>
                </w:tcPr>
                <w:p w14:paraId="15B24BC0">
                  <w:pPr>
                    <w:pStyle w:val="31"/>
                    <w:bidi w:val="0"/>
                    <w:jc w:val="center"/>
                    <w:rPr>
                      <w:rFonts w:hint="default" w:ascii="Times New Roman" w:hAnsi="Times New Roman" w:cs="Times New Roman"/>
                      <w:b/>
                      <w:bCs/>
                      <w:color w:val="000000"/>
                      <w:highlight w:val="none"/>
                      <w:lang w:val="en-US" w:eastAsia="zh-CN"/>
                    </w:rPr>
                  </w:pPr>
                </w:p>
              </w:tc>
              <w:tc>
                <w:tcPr>
                  <w:tcW w:w="114" w:type="pct"/>
                  <w:tcBorders>
                    <w:top w:val="single" w:color="auto" w:sz="4" w:space="0"/>
                    <w:left w:val="nil"/>
                    <w:bottom w:val="single" w:color="auto" w:sz="4" w:space="0"/>
                    <w:right w:val="nil"/>
                  </w:tcBorders>
                  <w:noWrap w:val="0"/>
                  <w:vAlign w:val="center"/>
                </w:tcPr>
                <w:p w14:paraId="607D6B1E">
                  <w:pPr>
                    <w:pStyle w:val="31"/>
                    <w:bidi w:val="0"/>
                    <w:jc w:val="center"/>
                    <w:rPr>
                      <w:rFonts w:hint="default" w:ascii="Times New Roman" w:hAnsi="Times New Roman" w:cs="Times New Roman"/>
                      <w:b/>
                      <w:bCs/>
                      <w:color w:val="000000"/>
                      <w:highlight w:val="none"/>
                      <w:lang w:val="en-US" w:eastAsia="zh-CN"/>
                    </w:rPr>
                  </w:pPr>
                </w:p>
              </w:tc>
              <w:tc>
                <w:tcPr>
                  <w:tcW w:w="116" w:type="pct"/>
                  <w:tcBorders>
                    <w:top w:val="single" w:color="auto" w:sz="4" w:space="0"/>
                    <w:left w:val="nil"/>
                    <w:bottom w:val="single" w:color="auto" w:sz="4" w:space="0"/>
                    <w:right w:val="single" w:color="auto" w:sz="4" w:space="0"/>
                  </w:tcBorders>
                  <w:noWrap w:val="0"/>
                  <w:vAlign w:val="center"/>
                </w:tcPr>
                <w:p w14:paraId="7DFB9FB8">
                  <w:pPr>
                    <w:pStyle w:val="31"/>
                    <w:bidi w:val="0"/>
                    <w:jc w:val="center"/>
                    <w:rPr>
                      <w:rFonts w:hint="default" w:ascii="Times New Roman" w:hAnsi="Times New Roman" w:cs="Times New Roman"/>
                      <w:b/>
                      <w:bCs/>
                      <w:color w:val="000000"/>
                      <w:highlight w:val="none"/>
                      <w:lang w:val="en-US" w:eastAsia="zh-CN"/>
                    </w:rPr>
                  </w:pPr>
                </w:p>
              </w:tc>
              <w:tc>
                <w:tcPr>
                  <w:tcW w:w="117" w:type="pct"/>
                  <w:tcBorders>
                    <w:top w:val="single" w:color="auto" w:sz="4" w:space="0"/>
                    <w:left w:val="single" w:color="auto" w:sz="4" w:space="0"/>
                    <w:bottom w:val="single" w:color="auto" w:sz="4" w:space="0"/>
                    <w:right w:val="nil"/>
                  </w:tcBorders>
                  <w:noWrap w:val="0"/>
                  <w:vAlign w:val="center"/>
                </w:tcPr>
                <w:p w14:paraId="2032C46C">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nil"/>
                  </w:tcBorders>
                  <w:noWrap w:val="0"/>
                  <w:vAlign w:val="center"/>
                </w:tcPr>
                <w:p w14:paraId="39F432ED">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single" w:color="auto" w:sz="4" w:space="0"/>
                  </w:tcBorders>
                  <w:noWrap w:val="0"/>
                  <w:vAlign w:val="center"/>
                </w:tcPr>
                <w:p w14:paraId="255649F9">
                  <w:pPr>
                    <w:pStyle w:val="31"/>
                    <w:bidi w:val="0"/>
                    <w:jc w:val="center"/>
                    <w:rPr>
                      <w:rFonts w:hint="default" w:ascii="Times New Roman" w:hAnsi="Times New Roman" w:cs="Times New Roman"/>
                      <w:b/>
                      <w:bCs/>
                      <w:color w:val="000000"/>
                      <w:highlight w:val="none"/>
                      <w:lang w:val="en-US" w:eastAsia="zh-CN"/>
                    </w:rPr>
                  </w:pPr>
                </w:p>
              </w:tc>
              <w:tc>
                <w:tcPr>
                  <w:tcW w:w="119" w:type="pct"/>
                  <w:tcBorders>
                    <w:top w:val="single" w:color="auto" w:sz="4" w:space="0"/>
                    <w:left w:val="single" w:color="auto" w:sz="4" w:space="0"/>
                    <w:bottom w:val="single" w:color="auto" w:sz="4" w:space="0"/>
                    <w:right w:val="nil"/>
                  </w:tcBorders>
                  <w:noWrap w:val="0"/>
                  <w:vAlign w:val="center"/>
                </w:tcPr>
                <w:p w14:paraId="74DFE28B">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nil"/>
                  </w:tcBorders>
                  <w:noWrap w:val="0"/>
                  <w:vAlign w:val="center"/>
                </w:tcPr>
                <w:p w14:paraId="41AC7EB1">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single" w:color="auto" w:sz="4" w:space="0"/>
                  </w:tcBorders>
                  <w:noWrap w:val="0"/>
                  <w:vAlign w:val="center"/>
                </w:tcPr>
                <w:p w14:paraId="1CCD98F6">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single" w:color="auto" w:sz="4" w:space="0"/>
                    <w:bottom w:val="single" w:color="auto" w:sz="4" w:space="0"/>
                    <w:right w:val="nil"/>
                  </w:tcBorders>
                  <w:noWrap w:val="0"/>
                  <w:vAlign w:val="center"/>
                </w:tcPr>
                <w:p w14:paraId="11F6A0FA">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nil"/>
                  </w:tcBorders>
                  <w:noWrap w:val="0"/>
                  <w:vAlign w:val="center"/>
                </w:tcPr>
                <w:p w14:paraId="4EAA1B12">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single" w:color="auto" w:sz="4" w:space="0"/>
                  </w:tcBorders>
                  <w:shd w:val="clear" w:color="auto" w:fill="BEBEBE" w:themeFill="background1" w:themeFillShade="BF"/>
                  <w:noWrap w:val="0"/>
                  <w:vAlign w:val="center"/>
                </w:tcPr>
                <w:p w14:paraId="04250036">
                  <w:pPr>
                    <w:pStyle w:val="31"/>
                    <w:bidi w:val="0"/>
                    <w:jc w:val="center"/>
                    <w:rPr>
                      <w:rFonts w:hint="default" w:ascii="Times New Roman" w:hAnsi="Times New Roman" w:cs="Times New Roman"/>
                      <w:b/>
                      <w:bCs/>
                      <w:color w:val="000000"/>
                      <w:highlight w:val="none"/>
                      <w:lang w:val="en-US" w:eastAsia="zh-CN"/>
                    </w:rPr>
                  </w:pPr>
                </w:p>
              </w:tc>
              <w:tc>
                <w:tcPr>
                  <w:tcW w:w="119" w:type="pct"/>
                  <w:tcBorders>
                    <w:top w:val="single" w:color="auto" w:sz="4" w:space="0"/>
                    <w:left w:val="single" w:color="auto" w:sz="4" w:space="0"/>
                    <w:bottom w:val="single" w:color="auto" w:sz="4" w:space="0"/>
                    <w:right w:val="nil"/>
                  </w:tcBorders>
                  <w:shd w:val="clear" w:color="auto" w:fill="BEBEBE" w:themeFill="background1" w:themeFillShade="BF"/>
                  <w:noWrap w:val="0"/>
                  <w:vAlign w:val="center"/>
                </w:tcPr>
                <w:p w14:paraId="15FB0033">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nil"/>
                  </w:tcBorders>
                  <w:shd w:val="clear" w:color="auto" w:fill="BEBEBE" w:themeFill="background1" w:themeFillShade="BF"/>
                  <w:noWrap w:val="0"/>
                  <w:vAlign w:val="center"/>
                </w:tcPr>
                <w:p w14:paraId="5D624802">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single" w:color="auto" w:sz="4" w:space="0"/>
                  </w:tcBorders>
                  <w:shd w:val="clear" w:color="auto" w:fill="BEBEBE" w:themeFill="background1" w:themeFillShade="BF"/>
                  <w:noWrap w:val="0"/>
                  <w:vAlign w:val="center"/>
                </w:tcPr>
                <w:p w14:paraId="233579AC">
                  <w:pPr>
                    <w:pStyle w:val="31"/>
                    <w:bidi w:val="0"/>
                    <w:jc w:val="center"/>
                    <w:rPr>
                      <w:rFonts w:hint="default" w:ascii="Times New Roman" w:hAnsi="Times New Roman" w:cs="Times New Roman"/>
                      <w:b/>
                      <w:bCs/>
                      <w:color w:val="000000"/>
                      <w:highlight w:val="none"/>
                      <w:lang w:val="en-US" w:eastAsia="zh-CN"/>
                    </w:rPr>
                  </w:pPr>
                </w:p>
              </w:tc>
              <w:tc>
                <w:tcPr>
                  <w:tcW w:w="119" w:type="pct"/>
                  <w:tcBorders>
                    <w:top w:val="single" w:color="auto" w:sz="4" w:space="0"/>
                    <w:left w:val="single" w:color="auto" w:sz="4" w:space="0"/>
                    <w:bottom w:val="single" w:color="auto" w:sz="4" w:space="0"/>
                    <w:right w:val="nil"/>
                  </w:tcBorders>
                  <w:shd w:val="clear" w:color="auto" w:fill="BEBEBE" w:themeFill="background1" w:themeFillShade="BF"/>
                  <w:noWrap w:val="0"/>
                  <w:vAlign w:val="center"/>
                </w:tcPr>
                <w:p w14:paraId="5440D70C">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nil"/>
                  </w:tcBorders>
                  <w:shd w:val="clear" w:color="auto" w:fill="BEBEBE" w:themeFill="background1" w:themeFillShade="BF"/>
                  <w:noWrap w:val="0"/>
                  <w:vAlign w:val="center"/>
                </w:tcPr>
                <w:p w14:paraId="5ACECB64">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single" w:color="auto" w:sz="4" w:space="0"/>
                  </w:tcBorders>
                  <w:shd w:val="clear" w:color="auto" w:fill="BEBEBE" w:themeFill="background1" w:themeFillShade="BF"/>
                  <w:noWrap w:val="0"/>
                  <w:vAlign w:val="center"/>
                </w:tcPr>
                <w:p w14:paraId="281D3AB1">
                  <w:pPr>
                    <w:pStyle w:val="31"/>
                    <w:bidi w:val="0"/>
                    <w:jc w:val="center"/>
                    <w:rPr>
                      <w:rFonts w:hint="default" w:ascii="Times New Roman" w:hAnsi="Times New Roman" w:cs="Times New Roman"/>
                      <w:b/>
                      <w:bCs/>
                      <w:color w:val="000000"/>
                      <w:highlight w:val="none"/>
                      <w:lang w:val="en-US" w:eastAsia="zh-CN"/>
                    </w:rPr>
                  </w:pPr>
                </w:p>
              </w:tc>
              <w:tc>
                <w:tcPr>
                  <w:tcW w:w="119" w:type="pct"/>
                  <w:tcBorders>
                    <w:top w:val="single" w:color="auto" w:sz="4" w:space="0"/>
                    <w:left w:val="single" w:color="auto" w:sz="4" w:space="0"/>
                    <w:bottom w:val="single" w:color="auto" w:sz="4" w:space="0"/>
                    <w:right w:val="nil"/>
                  </w:tcBorders>
                  <w:shd w:val="clear" w:color="auto" w:fill="BEBEBE" w:themeFill="background1" w:themeFillShade="BF"/>
                  <w:noWrap w:val="0"/>
                  <w:vAlign w:val="center"/>
                </w:tcPr>
                <w:p w14:paraId="7C61E8E8">
                  <w:pPr>
                    <w:pStyle w:val="31"/>
                    <w:bidi w:val="0"/>
                    <w:jc w:val="center"/>
                    <w:rPr>
                      <w:rFonts w:hint="default" w:ascii="Times New Roman" w:hAnsi="Times New Roman" w:cs="Times New Roman"/>
                      <w:b/>
                      <w:bCs/>
                      <w:color w:val="000000"/>
                      <w:highlight w:val="none"/>
                      <w:lang w:val="en-US" w:eastAsia="zh-CN"/>
                    </w:rPr>
                  </w:pPr>
                </w:p>
              </w:tc>
              <w:tc>
                <w:tcPr>
                  <w:tcW w:w="122" w:type="pct"/>
                  <w:tcBorders>
                    <w:top w:val="single" w:color="auto" w:sz="4" w:space="0"/>
                    <w:left w:val="nil"/>
                    <w:bottom w:val="single" w:color="auto" w:sz="4" w:space="0"/>
                    <w:right w:val="nil"/>
                  </w:tcBorders>
                  <w:shd w:val="clear" w:color="auto" w:fill="BEBEBE" w:themeFill="background1" w:themeFillShade="BF"/>
                  <w:noWrap w:val="0"/>
                  <w:vAlign w:val="center"/>
                </w:tcPr>
                <w:p w14:paraId="195693A3">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single" w:color="auto" w:sz="4" w:space="0"/>
                  </w:tcBorders>
                  <w:shd w:val="clear" w:color="auto" w:fill="BEBEBE" w:themeFill="background1" w:themeFillShade="BF"/>
                  <w:noWrap w:val="0"/>
                  <w:vAlign w:val="center"/>
                </w:tcPr>
                <w:p w14:paraId="295BB490">
                  <w:pPr>
                    <w:pStyle w:val="31"/>
                    <w:bidi w:val="0"/>
                    <w:jc w:val="center"/>
                    <w:rPr>
                      <w:rFonts w:hint="default" w:ascii="Times New Roman" w:hAnsi="Times New Roman" w:cs="Times New Roman"/>
                      <w:b/>
                      <w:bCs/>
                      <w:color w:val="000000"/>
                      <w:highlight w:val="none"/>
                      <w:lang w:val="en-US" w:eastAsia="zh-CN"/>
                    </w:rPr>
                  </w:pPr>
                </w:p>
              </w:tc>
              <w:tc>
                <w:tcPr>
                  <w:tcW w:w="119" w:type="pct"/>
                  <w:tcBorders>
                    <w:top w:val="single" w:color="auto" w:sz="4" w:space="0"/>
                    <w:left w:val="single" w:color="auto" w:sz="4" w:space="0"/>
                    <w:bottom w:val="single" w:color="auto" w:sz="4" w:space="0"/>
                    <w:right w:val="nil"/>
                  </w:tcBorders>
                  <w:shd w:val="clear" w:color="auto" w:fill="BEBEBE" w:themeFill="background1" w:themeFillShade="BF"/>
                  <w:noWrap w:val="0"/>
                  <w:vAlign w:val="center"/>
                </w:tcPr>
                <w:p w14:paraId="0CC8D863">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nil"/>
                  </w:tcBorders>
                  <w:shd w:val="clear" w:color="auto" w:fill="BEBEBE" w:themeFill="background1" w:themeFillShade="BF"/>
                  <w:noWrap w:val="0"/>
                  <w:vAlign w:val="center"/>
                </w:tcPr>
                <w:p w14:paraId="062EC4EC">
                  <w:pPr>
                    <w:pStyle w:val="31"/>
                    <w:bidi w:val="0"/>
                    <w:jc w:val="center"/>
                    <w:rPr>
                      <w:rFonts w:hint="default" w:ascii="Times New Roman" w:hAnsi="Times New Roman" w:cs="Times New Roman"/>
                      <w:b/>
                      <w:bCs/>
                      <w:color w:val="000000"/>
                      <w:highlight w:val="none"/>
                      <w:lang w:val="en-US" w:eastAsia="zh-CN"/>
                    </w:rPr>
                  </w:pPr>
                </w:p>
              </w:tc>
              <w:tc>
                <w:tcPr>
                  <w:tcW w:w="123" w:type="pct"/>
                  <w:tcBorders>
                    <w:top w:val="single" w:color="auto" w:sz="4" w:space="0"/>
                    <w:left w:val="nil"/>
                    <w:bottom w:val="single" w:color="auto" w:sz="4" w:space="0"/>
                    <w:right w:val="single" w:color="auto" w:sz="4" w:space="0"/>
                  </w:tcBorders>
                  <w:shd w:val="clear" w:color="auto" w:fill="BEBEBE" w:themeFill="background1" w:themeFillShade="BF"/>
                  <w:noWrap w:val="0"/>
                  <w:vAlign w:val="center"/>
                </w:tcPr>
                <w:p w14:paraId="1A07B8C2">
                  <w:pPr>
                    <w:pStyle w:val="31"/>
                    <w:bidi w:val="0"/>
                    <w:jc w:val="center"/>
                    <w:rPr>
                      <w:rFonts w:hint="default" w:ascii="Times New Roman" w:hAnsi="Times New Roman" w:cs="Times New Roman"/>
                      <w:b/>
                      <w:bCs/>
                      <w:color w:val="000000"/>
                      <w:highlight w:val="none"/>
                      <w:lang w:val="en-US" w:eastAsia="zh-CN"/>
                    </w:rPr>
                  </w:pPr>
                </w:p>
              </w:tc>
              <w:tc>
                <w:tcPr>
                  <w:tcW w:w="119" w:type="pct"/>
                  <w:tcBorders>
                    <w:top w:val="single" w:color="auto" w:sz="4" w:space="0"/>
                    <w:left w:val="single" w:color="auto" w:sz="4" w:space="0"/>
                    <w:bottom w:val="single" w:color="auto" w:sz="4" w:space="0"/>
                    <w:right w:val="nil"/>
                  </w:tcBorders>
                  <w:shd w:val="clear" w:color="auto" w:fill="BEBEBE" w:themeFill="background1" w:themeFillShade="BF"/>
                  <w:noWrap w:val="0"/>
                  <w:vAlign w:val="center"/>
                </w:tcPr>
                <w:p w14:paraId="1CDC22DB">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nil"/>
                  </w:tcBorders>
                  <w:shd w:val="clear" w:color="auto" w:fill="BEBEBE" w:themeFill="background1" w:themeFillShade="BF"/>
                  <w:noWrap w:val="0"/>
                  <w:vAlign w:val="center"/>
                </w:tcPr>
                <w:p w14:paraId="3BCECD97">
                  <w:pPr>
                    <w:pStyle w:val="31"/>
                    <w:bidi w:val="0"/>
                    <w:jc w:val="center"/>
                    <w:rPr>
                      <w:rFonts w:hint="default" w:ascii="Times New Roman" w:hAnsi="Times New Roman" w:cs="Times New Roman"/>
                      <w:b/>
                      <w:bCs/>
                      <w:color w:val="000000"/>
                      <w:highlight w:val="none"/>
                      <w:lang w:val="en-US" w:eastAsia="zh-CN"/>
                    </w:rPr>
                  </w:pPr>
                </w:p>
              </w:tc>
              <w:tc>
                <w:tcPr>
                  <w:tcW w:w="125" w:type="pct"/>
                  <w:tcBorders>
                    <w:top w:val="single" w:color="auto" w:sz="4" w:space="0"/>
                    <w:left w:val="nil"/>
                    <w:bottom w:val="single" w:color="auto" w:sz="4" w:space="0"/>
                    <w:right w:val="single" w:color="auto" w:sz="4" w:space="0"/>
                  </w:tcBorders>
                  <w:shd w:val="clear" w:color="auto" w:fill="BEBEBE" w:themeFill="background1" w:themeFillShade="BF"/>
                  <w:noWrap w:val="0"/>
                  <w:vAlign w:val="center"/>
                </w:tcPr>
                <w:p w14:paraId="76367F02">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single" w:color="auto" w:sz="4" w:space="0"/>
                    <w:bottom w:val="single" w:color="auto" w:sz="4" w:space="0"/>
                    <w:right w:val="nil"/>
                  </w:tcBorders>
                  <w:shd w:val="clear" w:color="auto" w:fill="BEBEBE" w:themeFill="background1" w:themeFillShade="BF"/>
                  <w:noWrap w:val="0"/>
                  <w:vAlign w:val="center"/>
                </w:tcPr>
                <w:p w14:paraId="2DD3D737">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nil"/>
                  </w:tcBorders>
                  <w:shd w:val="clear" w:color="auto" w:fill="BEBEBE" w:themeFill="background1" w:themeFillShade="BF"/>
                  <w:noWrap w:val="0"/>
                  <w:vAlign w:val="center"/>
                </w:tcPr>
                <w:p w14:paraId="1B9B45DE">
                  <w:pPr>
                    <w:pStyle w:val="31"/>
                    <w:bidi w:val="0"/>
                    <w:jc w:val="center"/>
                    <w:rPr>
                      <w:rFonts w:hint="default" w:ascii="Times New Roman" w:hAnsi="Times New Roman" w:cs="Times New Roman"/>
                      <w:b/>
                      <w:bCs/>
                      <w:color w:val="000000"/>
                      <w:highlight w:val="none"/>
                      <w:lang w:val="en-US" w:eastAsia="zh-CN"/>
                    </w:rPr>
                  </w:pPr>
                </w:p>
              </w:tc>
              <w:tc>
                <w:tcPr>
                  <w:tcW w:w="126" w:type="pct"/>
                  <w:tcBorders>
                    <w:top w:val="single" w:color="auto" w:sz="4" w:space="0"/>
                    <w:left w:val="nil"/>
                    <w:bottom w:val="single" w:color="auto" w:sz="4" w:space="0"/>
                    <w:right w:val="single" w:color="auto" w:sz="4" w:space="0"/>
                  </w:tcBorders>
                  <w:shd w:val="clear" w:color="auto" w:fill="BEBEBE" w:themeFill="background1" w:themeFillShade="BF"/>
                  <w:noWrap w:val="0"/>
                  <w:vAlign w:val="center"/>
                </w:tcPr>
                <w:p w14:paraId="141D2673">
                  <w:pPr>
                    <w:pStyle w:val="31"/>
                    <w:bidi w:val="0"/>
                    <w:jc w:val="center"/>
                    <w:rPr>
                      <w:rFonts w:hint="default" w:ascii="Times New Roman" w:hAnsi="Times New Roman" w:cs="Times New Roman"/>
                      <w:b/>
                      <w:bCs/>
                      <w:color w:val="000000"/>
                      <w:highlight w:val="none"/>
                      <w:lang w:val="en-US" w:eastAsia="zh-CN"/>
                    </w:rPr>
                  </w:pPr>
                </w:p>
              </w:tc>
              <w:tc>
                <w:tcPr>
                  <w:tcW w:w="119" w:type="pct"/>
                  <w:tcBorders>
                    <w:top w:val="single" w:color="auto" w:sz="4" w:space="0"/>
                    <w:left w:val="single" w:color="auto" w:sz="4" w:space="0"/>
                    <w:bottom w:val="single" w:color="auto" w:sz="4" w:space="0"/>
                    <w:right w:val="nil"/>
                  </w:tcBorders>
                  <w:shd w:val="clear" w:color="auto" w:fill="BEBEBE" w:themeFill="background1" w:themeFillShade="BF"/>
                  <w:noWrap w:val="0"/>
                  <w:vAlign w:val="center"/>
                </w:tcPr>
                <w:p w14:paraId="102686ED">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nil"/>
                  </w:tcBorders>
                  <w:shd w:val="clear" w:color="auto" w:fill="BEBEBE" w:themeFill="background1" w:themeFillShade="BF"/>
                  <w:noWrap w:val="0"/>
                  <w:vAlign w:val="center"/>
                </w:tcPr>
                <w:p w14:paraId="1766F151">
                  <w:pPr>
                    <w:pStyle w:val="31"/>
                    <w:bidi w:val="0"/>
                    <w:jc w:val="center"/>
                    <w:rPr>
                      <w:rFonts w:hint="default" w:ascii="Times New Roman" w:hAnsi="Times New Roman" w:cs="Times New Roman"/>
                      <w:b/>
                      <w:bCs/>
                      <w:color w:val="000000"/>
                      <w:highlight w:val="none"/>
                      <w:lang w:val="en-US" w:eastAsia="zh-CN"/>
                    </w:rPr>
                  </w:pPr>
                </w:p>
              </w:tc>
              <w:tc>
                <w:tcPr>
                  <w:tcW w:w="128" w:type="pct"/>
                  <w:tcBorders>
                    <w:top w:val="single" w:color="auto" w:sz="4" w:space="0"/>
                    <w:left w:val="nil"/>
                    <w:bottom w:val="single" w:color="auto" w:sz="4" w:space="0"/>
                    <w:right w:val="single" w:color="auto" w:sz="4" w:space="0"/>
                  </w:tcBorders>
                  <w:shd w:val="clear" w:color="auto" w:fill="BEBEBE" w:themeFill="background1" w:themeFillShade="BF"/>
                  <w:noWrap w:val="0"/>
                  <w:vAlign w:val="center"/>
                </w:tcPr>
                <w:p w14:paraId="24E5A3E2">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single" w:color="auto" w:sz="4" w:space="0"/>
                    <w:bottom w:val="single" w:color="auto" w:sz="4" w:space="0"/>
                    <w:right w:val="nil"/>
                  </w:tcBorders>
                  <w:shd w:val="clear" w:color="auto" w:fill="BEBEBE" w:themeFill="background1" w:themeFillShade="BF"/>
                  <w:noWrap w:val="0"/>
                  <w:vAlign w:val="center"/>
                </w:tcPr>
                <w:p w14:paraId="45D32DD8">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nil"/>
                  </w:tcBorders>
                  <w:shd w:val="clear" w:color="auto" w:fill="BEBEBE" w:themeFill="background1" w:themeFillShade="BF"/>
                  <w:noWrap w:val="0"/>
                  <w:vAlign w:val="center"/>
                </w:tcPr>
                <w:p w14:paraId="27AFF64F">
                  <w:pPr>
                    <w:pStyle w:val="31"/>
                    <w:bidi w:val="0"/>
                    <w:jc w:val="center"/>
                    <w:rPr>
                      <w:rFonts w:hint="default" w:ascii="Times New Roman" w:hAnsi="Times New Roman" w:cs="Times New Roman"/>
                      <w:b/>
                      <w:bCs/>
                      <w:color w:val="000000"/>
                      <w:highlight w:val="none"/>
                      <w:lang w:val="en-US" w:eastAsia="zh-CN"/>
                    </w:rPr>
                  </w:pPr>
                </w:p>
              </w:tc>
              <w:tc>
                <w:tcPr>
                  <w:tcW w:w="135" w:type="pct"/>
                  <w:tcBorders>
                    <w:top w:val="single" w:color="auto" w:sz="4" w:space="0"/>
                    <w:left w:val="nil"/>
                    <w:bottom w:val="single" w:color="auto" w:sz="4" w:space="0"/>
                    <w:right w:val="single" w:color="auto" w:sz="4" w:space="0"/>
                  </w:tcBorders>
                  <w:noWrap w:val="0"/>
                  <w:vAlign w:val="center"/>
                </w:tcPr>
                <w:p w14:paraId="2F487787">
                  <w:pPr>
                    <w:pStyle w:val="31"/>
                    <w:bidi w:val="0"/>
                    <w:jc w:val="center"/>
                    <w:rPr>
                      <w:rFonts w:hint="default" w:ascii="Times New Roman" w:hAnsi="Times New Roman" w:cs="Times New Roman"/>
                      <w:b/>
                      <w:bCs/>
                      <w:color w:val="000000"/>
                      <w:highlight w:val="none"/>
                      <w:lang w:val="en-US" w:eastAsia="zh-CN"/>
                    </w:rPr>
                  </w:pPr>
                </w:p>
              </w:tc>
            </w:tr>
            <w:tr w14:paraId="7DA0FC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656" w:type="pct"/>
                  <w:tcBorders>
                    <w:right w:val="single" w:color="auto" w:sz="4" w:space="0"/>
                  </w:tcBorders>
                  <w:noWrap w:val="0"/>
                  <w:vAlign w:val="center"/>
                </w:tcPr>
                <w:p w14:paraId="6436DB81">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南防波堤</w:t>
                  </w:r>
                </w:p>
              </w:tc>
              <w:tc>
                <w:tcPr>
                  <w:tcW w:w="114" w:type="pct"/>
                  <w:tcBorders>
                    <w:top w:val="single" w:color="auto" w:sz="4" w:space="0"/>
                    <w:left w:val="single" w:color="auto" w:sz="4" w:space="0"/>
                    <w:bottom w:val="single" w:color="auto" w:sz="4" w:space="0"/>
                    <w:right w:val="nil"/>
                  </w:tcBorders>
                  <w:noWrap w:val="0"/>
                  <w:vAlign w:val="center"/>
                </w:tcPr>
                <w:p w14:paraId="20DB92E4">
                  <w:pPr>
                    <w:pStyle w:val="31"/>
                    <w:bidi w:val="0"/>
                    <w:jc w:val="center"/>
                    <w:rPr>
                      <w:rFonts w:hint="default" w:ascii="Times New Roman" w:hAnsi="Times New Roman" w:cs="Times New Roman"/>
                      <w:b/>
                      <w:bCs/>
                      <w:color w:val="000000"/>
                      <w:highlight w:val="none"/>
                      <w:lang w:val="en-US" w:eastAsia="zh-CN"/>
                    </w:rPr>
                  </w:pPr>
                </w:p>
              </w:tc>
              <w:tc>
                <w:tcPr>
                  <w:tcW w:w="114" w:type="pct"/>
                  <w:tcBorders>
                    <w:top w:val="single" w:color="auto" w:sz="4" w:space="0"/>
                    <w:left w:val="nil"/>
                    <w:bottom w:val="single" w:color="auto" w:sz="4" w:space="0"/>
                    <w:right w:val="nil"/>
                  </w:tcBorders>
                  <w:noWrap w:val="0"/>
                  <w:vAlign w:val="center"/>
                </w:tcPr>
                <w:p w14:paraId="38D66B01">
                  <w:pPr>
                    <w:pStyle w:val="31"/>
                    <w:bidi w:val="0"/>
                    <w:jc w:val="center"/>
                    <w:rPr>
                      <w:rFonts w:hint="default" w:ascii="Times New Roman" w:hAnsi="Times New Roman" w:cs="Times New Roman"/>
                      <w:b/>
                      <w:bCs/>
                      <w:color w:val="000000"/>
                      <w:highlight w:val="none"/>
                      <w:lang w:val="en-US" w:eastAsia="zh-CN"/>
                    </w:rPr>
                  </w:pPr>
                </w:p>
              </w:tc>
              <w:tc>
                <w:tcPr>
                  <w:tcW w:w="116" w:type="pct"/>
                  <w:tcBorders>
                    <w:top w:val="single" w:color="auto" w:sz="4" w:space="0"/>
                    <w:left w:val="nil"/>
                    <w:bottom w:val="single" w:color="auto" w:sz="4" w:space="0"/>
                    <w:right w:val="single" w:color="auto" w:sz="4" w:space="0"/>
                  </w:tcBorders>
                  <w:noWrap w:val="0"/>
                  <w:vAlign w:val="center"/>
                </w:tcPr>
                <w:p w14:paraId="467CB7F7">
                  <w:pPr>
                    <w:pStyle w:val="31"/>
                    <w:bidi w:val="0"/>
                    <w:jc w:val="center"/>
                    <w:rPr>
                      <w:rFonts w:hint="default" w:ascii="Times New Roman" w:hAnsi="Times New Roman" w:cs="Times New Roman"/>
                      <w:b/>
                      <w:bCs/>
                      <w:color w:val="000000"/>
                      <w:highlight w:val="none"/>
                      <w:lang w:val="en-US" w:eastAsia="zh-CN"/>
                    </w:rPr>
                  </w:pPr>
                </w:p>
              </w:tc>
              <w:tc>
                <w:tcPr>
                  <w:tcW w:w="117" w:type="pct"/>
                  <w:tcBorders>
                    <w:top w:val="single" w:color="auto" w:sz="4" w:space="0"/>
                    <w:left w:val="single" w:color="auto" w:sz="4" w:space="0"/>
                    <w:bottom w:val="single" w:color="auto" w:sz="4" w:space="0"/>
                    <w:right w:val="nil"/>
                  </w:tcBorders>
                  <w:noWrap w:val="0"/>
                  <w:vAlign w:val="center"/>
                </w:tcPr>
                <w:p w14:paraId="2B3A9017">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nil"/>
                  </w:tcBorders>
                  <w:noWrap w:val="0"/>
                  <w:vAlign w:val="center"/>
                </w:tcPr>
                <w:p w14:paraId="63C3B1C3">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single" w:color="auto" w:sz="4" w:space="0"/>
                  </w:tcBorders>
                  <w:shd w:val="clear" w:color="auto" w:fill="BEBEBE" w:themeFill="background1" w:themeFillShade="BF"/>
                  <w:noWrap w:val="0"/>
                  <w:vAlign w:val="center"/>
                </w:tcPr>
                <w:p w14:paraId="187A633B">
                  <w:pPr>
                    <w:pStyle w:val="31"/>
                    <w:bidi w:val="0"/>
                    <w:jc w:val="center"/>
                    <w:rPr>
                      <w:rFonts w:hint="default" w:ascii="Times New Roman" w:hAnsi="Times New Roman" w:cs="Times New Roman"/>
                      <w:b/>
                      <w:bCs/>
                      <w:color w:val="000000"/>
                      <w:highlight w:val="none"/>
                      <w:lang w:val="en-US" w:eastAsia="zh-CN"/>
                    </w:rPr>
                  </w:pPr>
                </w:p>
              </w:tc>
              <w:tc>
                <w:tcPr>
                  <w:tcW w:w="119" w:type="pct"/>
                  <w:tcBorders>
                    <w:top w:val="single" w:color="auto" w:sz="4" w:space="0"/>
                    <w:left w:val="single" w:color="auto" w:sz="4" w:space="0"/>
                    <w:bottom w:val="single" w:color="auto" w:sz="4" w:space="0"/>
                    <w:right w:val="nil"/>
                  </w:tcBorders>
                  <w:shd w:val="clear" w:color="auto" w:fill="BEBEBE" w:themeFill="background1" w:themeFillShade="BF"/>
                  <w:noWrap w:val="0"/>
                  <w:vAlign w:val="center"/>
                </w:tcPr>
                <w:p w14:paraId="5DEF7FBD">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nil"/>
                  </w:tcBorders>
                  <w:shd w:val="clear" w:color="auto" w:fill="BEBEBE" w:themeFill="background1" w:themeFillShade="BF"/>
                  <w:noWrap w:val="0"/>
                  <w:vAlign w:val="center"/>
                </w:tcPr>
                <w:p w14:paraId="2F8CB77E">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single" w:color="auto" w:sz="4" w:space="0"/>
                  </w:tcBorders>
                  <w:shd w:val="clear" w:color="auto" w:fill="BEBEBE" w:themeFill="background1" w:themeFillShade="BF"/>
                  <w:noWrap w:val="0"/>
                  <w:vAlign w:val="center"/>
                </w:tcPr>
                <w:p w14:paraId="08D886C3">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single" w:color="auto" w:sz="4" w:space="0"/>
                    <w:bottom w:val="single" w:color="auto" w:sz="4" w:space="0"/>
                    <w:right w:val="nil"/>
                  </w:tcBorders>
                  <w:shd w:val="clear" w:color="auto" w:fill="BEBEBE" w:themeFill="background1" w:themeFillShade="BF"/>
                  <w:noWrap w:val="0"/>
                  <w:vAlign w:val="center"/>
                </w:tcPr>
                <w:p w14:paraId="44AE3D3E">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nil"/>
                  </w:tcBorders>
                  <w:shd w:val="clear" w:color="auto" w:fill="BEBEBE" w:themeFill="background1" w:themeFillShade="BF"/>
                  <w:noWrap w:val="0"/>
                  <w:vAlign w:val="center"/>
                </w:tcPr>
                <w:p w14:paraId="3260E25C">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single" w:color="auto" w:sz="4" w:space="0"/>
                  </w:tcBorders>
                  <w:shd w:val="clear" w:color="auto" w:fill="BEBEBE" w:themeFill="background1" w:themeFillShade="BF"/>
                  <w:noWrap w:val="0"/>
                  <w:vAlign w:val="center"/>
                </w:tcPr>
                <w:p w14:paraId="2DA7DC7F">
                  <w:pPr>
                    <w:pStyle w:val="31"/>
                    <w:bidi w:val="0"/>
                    <w:jc w:val="center"/>
                    <w:rPr>
                      <w:rFonts w:hint="default" w:ascii="Times New Roman" w:hAnsi="Times New Roman" w:cs="Times New Roman"/>
                      <w:b/>
                      <w:bCs/>
                      <w:color w:val="000000"/>
                      <w:highlight w:val="none"/>
                      <w:lang w:val="en-US" w:eastAsia="zh-CN"/>
                    </w:rPr>
                  </w:pPr>
                </w:p>
              </w:tc>
              <w:tc>
                <w:tcPr>
                  <w:tcW w:w="119" w:type="pct"/>
                  <w:tcBorders>
                    <w:top w:val="single" w:color="auto" w:sz="4" w:space="0"/>
                    <w:left w:val="single" w:color="auto" w:sz="4" w:space="0"/>
                    <w:bottom w:val="single" w:color="auto" w:sz="4" w:space="0"/>
                    <w:right w:val="nil"/>
                  </w:tcBorders>
                  <w:shd w:val="clear" w:color="auto" w:fill="BEBEBE" w:themeFill="background1" w:themeFillShade="BF"/>
                  <w:noWrap w:val="0"/>
                  <w:vAlign w:val="center"/>
                </w:tcPr>
                <w:p w14:paraId="4B87F79B">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nil"/>
                  </w:tcBorders>
                  <w:shd w:val="clear" w:color="auto" w:fill="BEBEBE" w:themeFill="background1" w:themeFillShade="BF"/>
                  <w:noWrap w:val="0"/>
                  <w:vAlign w:val="center"/>
                </w:tcPr>
                <w:p w14:paraId="6A63F38A">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single" w:color="auto" w:sz="4" w:space="0"/>
                  </w:tcBorders>
                  <w:shd w:val="clear" w:color="auto" w:fill="BEBEBE" w:themeFill="background1" w:themeFillShade="BF"/>
                  <w:noWrap w:val="0"/>
                  <w:vAlign w:val="center"/>
                </w:tcPr>
                <w:p w14:paraId="648A2722">
                  <w:pPr>
                    <w:pStyle w:val="31"/>
                    <w:bidi w:val="0"/>
                    <w:jc w:val="center"/>
                    <w:rPr>
                      <w:rFonts w:hint="default" w:ascii="Times New Roman" w:hAnsi="Times New Roman" w:cs="Times New Roman"/>
                      <w:b/>
                      <w:bCs/>
                      <w:color w:val="000000"/>
                      <w:highlight w:val="none"/>
                      <w:lang w:val="en-US" w:eastAsia="zh-CN"/>
                    </w:rPr>
                  </w:pPr>
                </w:p>
              </w:tc>
              <w:tc>
                <w:tcPr>
                  <w:tcW w:w="119" w:type="pct"/>
                  <w:tcBorders>
                    <w:top w:val="single" w:color="auto" w:sz="4" w:space="0"/>
                    <w:left w:val="single" w:color="auto" w:sz="4" w:space="0"/>
                    <w:bottom w:val="single" w:color="auto" w:sz="4" w:space="0"/>
                    <w:right w:val="nil"/>
                  </w:tcBorders>
                  <w:shd w:val="clear" w:color="auto" w:fill="BEBEBE" w:themeFill="background1" w:themeFillShade="BF"/>
                  <w:noWrap w:val="0"/>
                  <w:vAlign w:val="center"/>
                </w:tcPr>
                <w:p w14:paraId="6995D6F0">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nil"/>
                  </w:tcBorders>
                  <w:shd w:val="clear" w:color="auto" w:fill="BEBEBE" w:themeFill="background1" w:themeFillShade="BF"/>
                  <w:noWrap w:val="0"/>
                  <w:vAlign w:val="center"/>
                </w:tcPr>
                <w:p w14:paraId="1F789D9D">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single" w:color="auto" w:sz="4" w:space="0"/>
                  </w:tcBorders>
                  <w:shd w:val="clear" w:color="auto" w:fill="BEBEBE" w:themeFill="background1" w:themeFillShade="BF"/>
                  <w:noWrap w:val="0"/>
                  <w:vAlign w:val="center"/>
                </w:tcPr>
                <w:p w14:paraId="0F52927D">
                  <w:pPr>
                    <w:pStyle w:val="31"/>
                    <w:bidi w:val="0"/>
                    <w:jc w:val="center"/>
                    <w:rPr>
                      <w:rFonts w:hint="default" w:ascii="Times New Roman" w:hAnsi="Times New Roman" w:cs="Times New Roman"/>
                      <w:b/>
                      <w:bCs/>
                      <w:color w:val="000000"/>
                      <w:highlight w:val="none"/>
                      <w:lang w:val="en-US" w:eastAsia="zh-CN"/>
                    </w:rPr>
                  </w:pPr>
                </w:p>
              </w:tc>
              <w:tc>
                <w:tcPr>
                  <w:tcW w:w="119" w:type="pct"/>
                  <w:tcBorders>
                    <w:top w:val="single" w:color="auto" w:sz="4" w:space="0"/>
                    <w:left w:val="single" w:color="auto" w:sz="4" w:space="0"/>
                    <w:bottom w:val="single" w:color="auto" w:sz="4" w:space="0"/>
                    <w:right w:val="nil"/>
                  </w:tcBorders>
                  <w:shd w:val="clear" w:color="auto" w:fill="BEBEBE" w:themeFill="background1" w:themeFillShade="BF"/>
                  <w:noWrap w:val="0"/>
                  <w:vAlign w:val="center"/>
                </w:tcPr>
                <w:p w14:paraId="4423EB41">
                  <w:pPr>
                    <w:pStyle w:val="31"/>
                    <w:bidi w:val="0"/>
                    <w:jc w:val="center"/>
                    <w:rPr>
                      <w:rFonts w:hint="default" w:ascii="Times New Roman" w:hAnsi="Times New Roman" w:cs="Times New Roman"/>
                      <w:b/>
                      <w:bCs/>
                      <w:color w:val="000000"/>
                      <w:highlight w:val="none"/>
                      <w:lang w:val="en-US" w:eastAsia="zh-CN"/>
                    </w:rPr>
                  </w:pPr>
                </w:p>
              </w:tc>
              <w:tc>
                <w:tcPr>
                  <w:tcW w:w="122" w:type="pct"/>
                  <w:tcBorders>
                    <w:top w:val="single" w:color="auto" w:sz="4" w:space="0"/>
                    <w:left w:val="nil"/>
                    <w:bottom w:val="single" w:color="auto" w:sz="4" w:space="0"/>
                    <w:right w:val="nil"/>
                  </w:tcBorders>
                  <w:shd w:val="clear" w:color="auto" w:fill="BEBEBE" w:themeFill="background1" w:themeFillShade="BF"/>
                  <w:noWrap w:val="0"/>
                  <w:vAlign w:val="center"/>
                </w:tcPr>
                <w:p w14:paraId="5664E707">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single" w:color="auto" w:sz="4" w:space="0"/>
                  </w:tcBorders>
                  <w:shd w:val="clear" w:color="auto" w:fill="BEBEBE" w:themeFill="background1" w:themeFillShade="BF"/>
                  <w:noWrap w:val="0"/>
                  <w:vAlign w:val="center"/>
                </w:tcPr>
                <w:p w14:paraId="22CBC347">
                  <w:pPr>
                    <w:pStyle w:val="31"/>
                    <w:bidi w:val="0"/>
                    <w:jc w:val="center"/>
                    <w:rPr>
                      <w:rFonts w:hint="default" w:ascii="Times New Roman" w:hAnsi="Times New Roman" w:cs="Times New Roman"/>
                      <w:b/>
                      <w:bCs/>
                      <w:color w:val="000000"/>
                      <w:highlight w:val="none"/>
                      <w:lang w:val="en-US" w:eastAsia="zh-CN"/>
                    </w:rPr>
                  </w:pPr>
                </w:p>
              </w:tc>
              <w:tc>
                <w:tcPr>
                  <w:tcW w:w="119" w:type="pct"/>
                  <w:tcBorders>
                    <w:top w:val="single" w:color="auto" w:sz="4" w:space="0"/>
                    <w:left w:val="single" w:color="auto" w:sz="4" w:space="0"/>
                    <w:bottom w:val="single" w:color="auto" w:sz="4" w:space="0"/>
                    <w:right w:val="nil"/>
                  </w:tcBorders>
                  <w:shd w:val="clear" w:color="auto" w:fill="BEBEBE" w:themeFill="background1" w:themeFillShade="BF"/>
                  <w:noWrap w:val="0"/>
                  <w:vAlign w:val="center"/>
                </w:tcPr>
                <w:p w14:paraId="5A00A0B7">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nil"/>
                  </w:tcBorders>
                  <w:shd w:val="clear" w:color="auto" w:fill="BEBEBE" w:themeFill="background1" w:themeFillShade="BF"/>
                  <w:noWrap w:val="0"/>
                  <w:vAlign w:val="center"/>
                </w:tcPr>
                <w:p w14:paraId="584AF6C4">
                  <w:pPr>
                    <w:pStyle w:val="31"/>
                    <w:bidi w:val="0"/>
                    <w:jc w:val="center"/>
                    <w:rPr>
                      <w:rFonts w:hint="default" w:ascii="Times New Roman" w:hAnsi="Times New Roman" w:cs="Times New Roman"/>
                      <w:b/>
                      <w:bCs/>
                      <w:color w:val="000000"/>
                      <w:highlight w:val="none"/>
                      <w:lang w:val="en-US" w:eastAsia="zh-CN"/>
                    </w:rPr>
                  </w:pPr>
                </w:p>
              </w:tc>
              <w:tc>
                <w:tcPr>
                  <w:tcW w:w="123" w:type="pct"/>
                  <w:tcBorders>
                    <w:top w:val="single" w:color="auto" w:sz="4" w:space="0"/>
                    <w:left w:val="nil"/>
                    <w:bottom w:val="single" w:color="auto" w:sz="4" w:space="0"/>
                    <w:right w:val="single" w:color="auto" w:sz="4" w:space="0"/>
                  </w:tcBorders>
                  <w:shd w:val="clear" w:color="auto" w:fill="BEBEBE" w:themeFill="background1" w:themeFillShade="BF"/>
                  <w:noWrap w:val="0"/>
                  <w:vAlign w:val="center"/>
                </w:tcPr>
                <w:p w14:paraId="6EA7E099">
                  <w:pPr>
                    <w:pStyle w:val="31"/>
                    <w:bidi w:val="0"/>
                    <w:jc w:val="center"/>
                    <w:rPr>
                      <w:rFonts w:hint="default" w:ascii="Times New Roman" w:hAnsi="Times New Roman" w:cs="Times New Roman"/>
                      <w:b/>
                      <w:bCs/>
                      <w:color w:val="000000"/>
                      <w:highlight w:val="none"/>
                      <w:lang w:val="en-US" w:eastAsia="zh-CN"/>
                    </w:rPr>
                  </w:pPr>
                </w:p>
              </w:tc>
              <w:tc>
                <w:tcPr>
                  <w:tcW w:w="119" w:type="pct"/>
                  <w:tcBorders>
                    <w:top w:val="single" w:color="auto" w:sz="4" w:space="0"/>
                    <w:left w:val="single" w:color="auto" w:sz="4" w:space="0"/>
                    <w:bottom w:val="single" w:color="auto" w:sz="4" w:space="0"/>
                    <w:right w:val="nil"/>
                  </w:tcBorders>
                  <w:shd w:val="clear" w:color="auto" w:fill="BEBEBE" w:themeFill="background1" w:themeFillShade="BF"/>
                  <w:noWrap w:val="0"/>
                  <w:vAlign w:val="center"/>
                </w:tcPr>
                <w:p w14:paraId="12F96C2B">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nil"/>
                  </w:tcBorders>
                  <w:noWrap w:val="0"/>
                  <w:vAlign w:val="center"/>
                </w:tcPr>
                <w:p w14:paraId="1C8FAF8C">
                  <w:pPr>
                    <w:pStyle w:val="31"/>
                    <w:bidi w:val="0"/>
                    <w:jc w:val="center"/>
                    <w:rPr>
                      <w:rFonts w:hint="default" w:ascii="Times New Roman" w:hAnsi="Times New Roman" w:cs="Times New Roman"/>
                      <w:b/>
                      <w:bCs/>
                      <w:color w:val="000000"/>
                      <w:highlight w:val="none"/>
                      <w:lang w:val="en-US" w:eastAsia="zh-CN"/>
                    </w:rPr>
                  </w:pPr>
                </w:p>
              </w:tc>
              <w:tc>
                <w:tcPr>
                  <w:tcW w:w="125" w:type="pct"/>
                  <w:tcBorders>
                    <w:top w:val="single" w:color="auto" w:sz="4" w:space="0"/>
                    <w:left w:val="nil"/>
                    <w:bottom w:val="single" w:color="auto" w:sz="4" w:space="0"/>
                    <w:right w:val="single" w:color="auto" w:sz="4" w:space="0"/>
                  </w:tcBorders>
                  <w:noWrap w:val="0"/>
                  <w:vAlign w:val="center"/>
                </w:tcPr>
                <w:p w14:paraId="103C7FDA">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single" w:color="auto" w:sz="4" w:space="0"/>
                    <w:bottom w:val="single" w:color="auto" w:sz="4" w:space="0"/>
                    <w:right w:val="nil"/>
                  </w:tcBorders>
                  <w:noWrap w:val="0"/>
                  <w:vAlign w:val="center"/>
                </w:tcPr>
                <w:p w14:paraId="5088DAE6">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nil"/>
                  </w:tcBorders>
                  <w:noWrap w:val="0"/>
                  <w:vAlign w:val="center"/>
                </w:tcPr>
                <w:p w14:paraId="3793B800">
                  <w:pPr>
                    <w:pStyle w:val="31"/>
                    <w:bidi w:val="0"/>
                    <w:jc w:val="center"/>
                    <w:rPr>
                      <w:rFonts w:hint="default" w:ascii="Times New Roman" w:hAnsi="Times New Roman" w:cs="Times New Roman"/>
                      <w:b/>
                      <w:bCs/>
                      <w:color w:val="000000"/>
                      <w:highlight w:val="none"/>
                      <w:lang w:val="en-US" w:eastAsia="zh-CN"/>
                    </w:rPr>
                  </w:pPr>
                </w:p>
              </w:tc>
              <w:tc>
                <w:tcPr>
                  <w:tcW w:w="126" w:type="pct"/>
                  <w:tcBorders>
                    <w:top w:val="single" w:color="auto" w:sz="4" w:space="0"/>
                    <w:left w:val="nil"/>
                    <w:bottom w:val="single" w:color="auto" w:sz="4" w:space="0"/>
                    <w:right w:val="single" w:color="auto" w:sz="4" w:space="0"/>
                  </w:tcBorders>
                  <w:noWrap w:val="0"/>
                  <w:vAlign w:val="center"/>
                </w:tcPr>
                <w:p w14:paraId="38AA415A">
                  <w:pPr>
                    <w:pStyle w:val="31"/>
                    <w:bidi w:val="0"/>
                    <w:jc w:val="center"/>
                    <w:rPr>
                      <w:rFonts w:hint="default" w:ascii="Times New Roman" w:hAnsi="Times New Roman" w:cs="Times New Roman"/>
                      <w:b/>
                      <w:bCs/>
                      <w:color w:val="000000"/>
                      <w:highlight w:val="none"/>
                      <w:lang w:val="en-US" w:eastAsia="zh-CN"/>
                    </w:rPr>
                  </w:pPr>
                </w:p>
              </w:tc>
              <w:tc>
                <w:tcPr>
                  <w:tcW w:w="119" w:type="pct"/>
                  <w:tcBorders>
                    <w:top w:val="single" w:color="auto" w:sz="4" w:space="0"/>
                    <w:left w:val="single" w:color="auto" w:sz="4" w:space="0"/>
                    <w:bottom w:val="single" w:color="auto" w:sz="4" w:space="0"/>
                    <w:right w:val="nil"/>
                  </w:tcBorders>
                  <w:noWrap w:val="0"/>
                  <w:vAlign w:val="center"/>
                </w:tcPr>
                <w:p w14:paraId="51E67031">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nil"/>
                  </w:tcBorders>
                  <w:noWrap w:val="0"/>
                  <w:vAlign w:val="center"/>
                </w:tcPr>
                <w:p w14:paraId="4975024C">
                  <w:pPr>
                    <w:pStyle w:val="31"/>
                    <w:bidi w:val="0"/>
                    <w:jc w:val="center"/>
                    <w:rPr>
                      <w:rFonts w:hint="default" w:ascii="Times New Roman" w:hAnsi="Times New Roman" w:cs="Times New Roman"/>
                      <w:b/>
                      <w:bCs/>
                      <w:color w:val="000000"/>
                      <w:highlight w:val="none"/>
                      <w:lang w:val="en-US" w:eastAsia="zh-CN"/>
                    </w:rPr>
                  </w:pPr>
                </w:p>
              </w:tc>
              <w:tc>
                <w:tcPr>
                  <w:tcW w:w="128" w:type="pct"/>
                  <w:tcBorders>
                    <w:top w:val="single" w:color="auto" w:sz="4" w:space="0"/>
                    <w:left w:val="nil"/>
                    <w:bottom w:val="single" w:color="auto" w:sz="4" w:space="0"/>
                    <w:right w:val="single" w:color="auto" w:sz="4" w:space="0"/>
                  </w:tcBorders>
                  <w:noWrap w:val="0"/>
                  <w:vAlign w:val="center"/>
                </w:tcPr>
                <w:p w14:paraId="5CF9B85C">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single" w:color="auto" w:sz="4" w:space="0"/>
                    <w:bottom w:val="single" w:color="auto" w:sz="4" w:space="0"/>
                    <w:right w:val="nil"/>
                  </w:tcBorders>
                  <w:noWrap w:val="0"/>
                  <w:vAlign w:val="center"/>
                </w:tcPr>
                <w:p w14:paraId="0124A163">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nil"/>
                  </w:tcBorders>
                  <w:noWrap w:val="0"/>
                  <w:vAlign w:val="center"/>
                </w:tcPr>
                <w:p w14:paraId="03981E18">
                  <w:pPr>
                    <w:pStyle w:val="31"/>
                    <w:bidi w:val="0"/>
                    <w:jc w:val="center"/>
                    <w:rPr>
                      <w:rFonts w:hint="default" w:ascii="Times New Roman" w:hAnsi="Times New Roman" w:cs="Times New Roman"/>
                      <w:b/>
                      <w:bCs/>
                      <w:color w:val="000000"/>
                      <w:highlight w:val="none"/>
                      <w:lang w:val="en-US" w:eastAsia="zh-CN"/>
                    </w:rPr>
                  </w:pPr>
                </w:p>
              </w:tc>
              <w:tc>
                <w:tcPr>
                  <w:tcW w:w="135" w:type="pct"/>
                  <w:tcBorders>
                    <w:top w:val="single" w:color="auto" w:sz="4" w:space="0"/>
                    <w:left w:val="nil"/>
                    <w:bottom w:val="single" w:color="auto" w:sz="4" w:space="0"/>
                    <w:right w:val="single" w:color="auto" w:sz="4" w:space="0"/>
                  </w:tcBorders>
                  <w:noWrap w:val="0"/>
                  <w:vAlign w:val="center"/>
                </w:tcPr>
                <w:p w14:paraId="364E36A7">
                  <w:pPr>
                    <w:pStyle w:val="31"/>
                    <w:bidi w:val="0"/>
                    <w:jc w:val="center"/>
                    <w:rPr>
                      <w:rFonts w:hint="default" w:ascii="Times New Roman" w:hAnsi="Times New Roman" w:cs="Times New Roman"/>
                      <w:b/>
                      <w:bCs/>
                      <w:color w:val="000000"/>
                      <w:highlight w:val="none"/>
                      <w:lang w:val="en-US" w:eastAsia="zh-CN"/>
                    </w:rPr>
                  </w:pPr>
                </w:p>
              </w:tc>
            </w:tr>
            <w:tr w14:paraId="17A437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656" w:type="pct"/>
                  <w:tcBorders>
                    <w:right w:val="single" w:color="auto" w:sz="4" w:space="0"/>
                  </w:tcBorders>
                  <w:noWrap w:val="0"/>
                  <w:vAlign w:val="center"/>
                </w:tcPr>
                <w:p w14:paraId="7827344F">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港池疏浚</w:t>
                  </w:r>
                </w:p>
              </w:tc>
              <w:tc>
                <w:tcPr>
                  <w:tcW w:w="114" w:type="pct"/>
                  <w:tcBorders>
                    <w:top w:val="single" w:color="auto" w:sz="4" w:space="0"/>
                    <w:left w:val="single" w:color="auto" w:sz="4" w:space="0"/>
                    <w:bottom w:val="single" w:color="auto" w:sz="4" w:space="0"/>
                    <w:right w:val="nil"/>
                  </w:tcBorders>
                  <w:noWrap w:val="0"/>
                  <w:vAlign w:val="center"/>
                </w:tcPr>
                <w:p w14:paraId="63050AB8">
                  <w:pPr>
                    <w:pStyle w:val="31"/>
                    <w:bidi w:val="0"/>
                    <w:jc w:val="center"/>
                    <w:rPr>
                      <w:rFonts w:hint="default" w:ascii="Times New Roman" w:hAnsi="Times New Roman" w:cs="Times New Roman"/>
                      <w:b/>
                      <w:bCs/>
                      <w:color w:val="000000"/>
                      <w:highlight w:val="none"/>
                      <w:lang w:val="en-US" w:eastAsia="zh-CN"/>
                    </w:rPr>
                  </w:pPr>
                </w:p>
              </w:tc>
              <w:tc>
                <w:tcPr>
                  <w:tcW w:w="114" w:type="pct"/>
                  <w:tcBorders>
                    <w:top w:val="single" w:color="auto" w:sz="4" w:space="0"/>
                    <w:left w:val="nil"/>
                    <w:bottom w:val="single" w:color="auto" w:sz="4" w:space="0"/>
                    <w:right w:val="nil"/>
                  </w:tcBorders>
                  <w:noWrap w:val="0"/>
                  <w:vAlign w:val="center"/>
                </w:tcPr>
                <w:p w14:paraId="64E22011">
                  <w:pPr>
                    <w:pStyle w:val="31"/>
                    <w:bidi w:val="0"/>
                    <w:jc w:val="center"/>
                    <w:rPr>
                      <w:rFonts w:hint="default" w:ascii="Times New Roman" w:hAnsi="Times New Roman" w:cs="Times New Roman"/>
                      <w:b/>
                      <w:bCs/>
                      <w:color w:val="000000"/>
                      <w:highlight w:val="none"/>
                      <w:lang w:val="en-US" w:eastAsia="zh-CN"/>
                    </w:rPr>
                  </w:pPr>
                </w:p>
              </w:tc>
              <w:tc>
                <w:tcPr>
                  <w:tcW w:w="116" w:type="pct"/>
                  <w:tcBorders>
                    <w:top w:val="single" w:color="auto" w:sz="4" w:space="0"/>
                    <w:left w:val="nil"/>
                    <w:bottom w:val="single" w:color="auto" w:sz="4" w:space="0"/>
                    <w:right w:val="single" w:color="auto" w:sz="4" w:space="0"/>
                  </w:tcBorders>
                  <w:noWrap w:val="0"/>
                  <w:vAlign w:val="center"/>
                </w:tcPr>
                <w:p w14:paraId="48CD466C">
                  <w:pPr>
                    <w:pStyle w:val="31"/>
                    <w:bidi w:val="0"/>
                    <w:jc w:val="center"/>
                    <w:rPr>
                      <w:rFonts w:hint="default" w:ascii="Times New Roman" w:hAnsi="Times New Roman" w:cs="Times New Roman"/>
                      <w:b/>
                      <w:bCs/>
                      <w:color w:val="000000"/>
                      <w:highlight w:val="none"/>
                      <w:lang w:val="en-US" w:eastAsia="zh-CN"/>
                    </w:rPr>
                  </w:pPr>
                </w:p>
              </w:tc>
              <w:tc>
                <w:tcPr>
                  <w:tcW w:w="117" w:type="pct"/>
                  <w:tcBorders>
                    <w:top w:val="single" w:color="auto" w:sz="4" w:space="0"/>
                    <w:left w:val="single" w:color="auto" w:sz="4" w:space="0"/>
                    <w:bottom w:val="single" w:color="auto" w:sz="4" w:space="0"/>
                    <w:right w:val="nil"/>
                  </w:tcBorders>
                  <w:noWrap w:val="0"/>
                  <w:vAlign w:val="center"/>
                </w:tcPr>
                <w:p w14:paraId="4B06398C">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nil"/>
                  </w:tcBorders>
                  <w:noWrap w:val="0"/>
                  <w:vAlign w:val="center"/>
                </w:tcPr>
                <w:p w14:paraId="54B304C4">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single" w:color="auto" w:sz="4" w:space="0"/>
                  </w:tcBorders>
                  <w:noWrap w:val="0"/>
                  <w:vAlign w:val="center"/>
                </w:tcPr>
                <w:p w14:paraId="759D9DBA">
                  <w:pPr>
                    <w:pStyle w:val="31"/>
                    <w:bidi w:val="0"/>
                    <w:jc w:val="center"/>
                    <w:rPr>
                      <w:rFonts w:hint="default" w:ascii="Times New Roman" w:hAnsi="Times New Roman" w:cs="Times New Roman"/>
                      <w:b/>
                      <w:bCs/>
                      <w:color w:val="000000"/>
                      <w:highlight w:val="none"/>
                      <w:lang w:val="en-US" w:eastAsia="zh-CN"/>
                    </w:rPr>
                  </w:pPr>
                </w:p>
              </w:tc>
              <w:tc>
                <w:tcPr>
                  <w:tcW w:w="119" w:type="pct"/>
                  <w:tcBorders>
                    <w:top w:val="single" w:color="auto" w:sz="4" w:space="0"/>
                    <w:left w:val="single" w:color="auto" w:sz="4" w:space="0"/>
                    <w:bottom w:val="single" w:color="auto" w:sz="4" w:space="0"/>
                    <w:right w:val="nil"/>
                  </w:tcBorders>
                  <w:shd w:val="clear" w:color="auto" w:fill="BEBEBE" w:themeFill="background1" w:themeFillShade="BF"/>
                  <w:noWrap w:val="0"/>
                  <w:vAlign w:val="center"/>
                </w:tcPr>
                <w:p w14:paraId="015A9639">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nil"/>
                  </w:tcBorders>
                  <w:shd w:val="clear" w:color="auto" w:fill="BEBEBE" w:themeFill="background1" w:themeFillShade="BF"/>
                  <w:noWrap w:val="0"/>
                  <w:vAlign w:val="center"/>
                </w:tcPr>
                <w:p w14:paraId="11B8D154">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single" w:color="auto" w:sz="4" w:space="0"/>
                  </w:tcBorders>
                  <w:shd w:val="clear" w:color="auto" w:fill="BEBEBE" w:themeFill="background1" w:themeFillShade="BF"/>
                  <w:noWrap w:val="0"/>
                  <w:vAlign w:val="center"/>
                </w:tcPr>
                <w:p w14:paraId="09F61F00">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single" w:color="auto" w:sz="4" w:space="0"/>
                    <w:bottom w:val="single" w:color="auto" w:sz="4" w:space="0"/>
                    <w:right w:val="nil"/>
                  </w:tcBorders>
                  <w:shd w:val="clear" w:color="auto" w:fill="BEBEBE" w:themeFill="background1" w:themeFillShade="BF"/>
                  <w:noWrap w:val="0"/>
                  <w:vAlign w:val="center"/>
                </w:tcPr>
                <w:p w14:paraId="17799D8B">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nil"/>
                  </w:tcBorders>
                  <w:shd w:val="clear" w:color="auto" w:fill="BEBEBE" w:themeFill="background1" w:themeFillShade="BF"/>
                  <w:noWrap w:val="0"/>
                  <w:vAlign w:val="center"/>
                </w:tcPr>
                <w:p w14:paraId="33A5CEDD">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single" w:color="auto" w:sz="4" w:space="0"/>
                  </w:tcBorders>
                  <w:noWrap w:val="0"/>
                  <w:vAlign w:val="center"/>
                </w:tcPr>
                <w:p w14:paraId="772C027B">
                  <w:pPr>
                    <w:pStyle w:val="31"/>
                    <w:bidi w:val="0"/>
                    <w:jc w:val="center"/>
                    <w:rPr>
                      <w:rFonts w:hint="default" w:ascii="Times New Roman" w:hAnsi="Times New Roman" w:cs="Times New Roman"/>
                      <w:b/>
                      <w:bCs/>
                      <w:color w:val="000000"/>
                      <w:highlight w:val="none"/>
                      <w:lang w:val="en-US" w:eastAsia="zh-CN"/>
                    </w:rPr>
                  </w:pPr>
                </w:p>
              </w:tc>
              <w:tc>
                <w:tcPr>
                  <w:tcW w:w="119" w:type="pct"/>
                  <w:tcBorders>
                    <w:top w:val="single" w:color="auto" w:sz="4" w:space="0"/>
                    <w:left w:val="single" w:color="auto" w:sz="4" w:space="0"/>
                    <w:bottom w:val="single" w:color="auto" w:sz="4" w:space="0"/>
                    <w:right w:val="nil"/>
                  </w:tcBorders>
                  <w:noWrap w:val="0"/>
                  <w:vAlign w:val="center"/>
                </w:tcPr>
                <w:p w14:paraId="6216A57C">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nil"/>
                  </w:tcBorders>
                  <w:noWrap w:val="0"/>
                  <w:vAlign w:val="center"/>
                </w:tcPr>
                <w:p w14:paraId="71B6EFE8">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single" w:color="auto" w:sz="4" w:space="0"/>
                  </w:tcBorders>
                  <w:noWrap w:val="0"/>
                  <w:vAlign w:val="center"/>
                </w:tcPr>
                <w:p w14:paraId="2F6EB5D7">
                  <w:pPr>
                    <w:pStyle w:val="31"/>
                    <w:bidi w:val="0"/>
                    <w:jc w:val="center"/>
                    <w:rPr>
                      <w:rFonts w:hint="default" w:ascii="Times New Roman" w:hAnsi="Times New Roman" w:cs="Times New Roman"/>
                      <w:b/>
                      <w:bCs/>
                      <w:color w:val="000000"/>
                      <w:highlight w:val="none"/>
                      <w:lang w:val="en-US" w:eastAsia="zh-CN"/>
                    </w:rPr>
                  </w:pPr>
                </w:p>
              </w:tc>
              <w:tc>
                <w:tcPr>
                  <w:tcW w:w="119" w:type="pct"/>
                  <w:tcBorders>
                    <w:top w:val="single" w:color="auto" w:sz="4" w:space="0"/>
                    <w:left w:val="single" w:color="auto" w:sz="4" w:space="0"/>
                    <w:bottom w:val="single" w:color="auto" w:sz="4" w:space="0"/>
                    <w:right w:val="nil"/>
                  </w:tcBorders>
                  <w:noWrap w:val="0"/>
                  <w:vAlign w:val="center"/>
                </w:tcPr>
                <w:p w14:paraId="4B9E1275">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nil"/>
                  </w:tcBorders>
                  <w:noWrap w:val="0"/>
                  <w:vAlign w:val="center"/>
                </w:tcPr>
                <w:p w14:paraId="483EAE4B">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single" w:color="auto" w:sz="4" w:space="0"/>
                  </w:tcBorders>
                  <w:noWrap w:val="0"/>
                  <w:vAlign w:val="center"/>
                </w:tcPr>
                <w:p w14:paraId="205A6C48">
                  <w:pPr>
                    <w:pStyle w:val="31"/>
                    <w:bidi w:val="0"/>
                    <w:jc w:val="center"/>
                    <w:rPr>
                      <w:rFonts w:hint="default" w:ascii="Times New Roman" w:hAnsi="Times New Roman" w:cs="Times New Roman"/>
                      <w:b/>
                      <w:bCs/>
                      <w:color w:val="000000"/>
                      <w:highlight w:val="none"/>
                      <w:lang w:val="en-US" w:eastAsia="zh-CN"/>
                    </w:rPr>
                  </w:pPr>
                </w:p>
              </w:tc>
              <w:tc>
                <w:tcPr>
                  <w:tcW w:w="119" w:type="pct"/>
                  <w:tcBorders>
                    <w:top w:val="single" w:color="auto" w:sz="4" w:space="0"/>
                    <w:left w:val="single" w:color="auto" w:sz="4" w:space="0"/>
                    <w:bottom w:val="single" w:color="auto" w:sz="4" w:space="0"/>
                    <w:right w:val="nil"/>
                  </w:tcBorders>
                  <w:noWrap w:val="0"/>
                  <w:vAlign w:val="center"/>
                </w:tcPr>
                <w:p w14:paraId="2C22094E">
                  <w:pPr>
                    <w:pStyle w:val="31"/>
                    <w:bidi w:val="0"/>
                    <w:jc w:val="center"/>
                    <w:rPr>
                      <w:rFonts w:hint="default" w:ascii="Times New Roman" w:hAnsi="Times New Roman" w:cs="Times New Roman"/>
                      <w:b/>
                      <w:bCs/>
                      <w:color w:val="000000"/>
                      <w:highlight w:val="none"/>
                      <w:lang w:val="en-US" w:eastAsia="zh-CN"/>
                    </w:rPr>
                  </w:pPr>
                </w:p>
              </w:tc>
              <w:tc>
                <w:tcPr>
                  <w:tcW w:w="122" w:type="pct"/>
                  <w:tcBorders>
                    <w:top w:val="single" w:color="auto" w:sz="4" w:space="0"/>
                    <w:left w:val="nil"/>
                    <w:bottom w:val="single" w:color="auto" w:sz="4" w:space="0"/>
                    <w:right w:val="nil"/>
                  </w:tcBorders>
                  <w:noWrap w:val="0"/>
                  <w:vAlign w:val="center"/>
                </w:tcPr>
                <w:p w14:paraId="1EAC32E1">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single" w:color="auto" w:sz="4" w:space="0"/>
                  </w:tcBorders>
                  <w:noWrap w:val="0"/>
                  <w:vAlign w:val="center"/>
                </w:tcPr>
                <w:p w14:paraId="588A1935">
                  <w:pPr>
                    <w:pStyle w:val="31"/>
                    <w:bidi w:val="0"/>
                    <w:jc w:val="center"/>
                    <w:rPr>
                      <w:rFonts w:hint="default" w:ascii="Times New Roman" w:hAnsi="Times New Roman" w:cs="Times New Roman"/>
                      <w:b/>
                      <w:bCs/>
                      <w:color w:val="000000"/>
                      <w:highlight w:val="none"/>
                      <w:lang w:val="en-US" w:eastAsia="zh-CN"/>
                    </w:rPr>
                  </w:pPr>
                </w:p>
              </w:tc>
              <w:tc>
                <w:tcPr>
                  <w:tcW w:w="119" w:type="pct"/>
                  <w:tcBorders>
                    <w:top w:val="single" w:color="auto" w:sz="4" w:space="0"/>
                    <w:left w:val="single" w:color="auto" w:sz="4" w:space="0"/>
                    <w:bottom w:val="single" w:color="auto" w:sz="4" w:space="0"/>
                    <w:right w:val="nil"/>
                  </w:tcBorders>
                  <w:noWrap w:val="0"/>
                  <w:vAlign w:val="center"/>
                </w:tcPr>
                <w:p w14:paraId="3E1F1119">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nil"/>
                  </w:tcBorders>
                  <w:noWrap w:val="0"/>
                  <w:vAlign w:val="center"/>
                </w:tcPr>
                <w:p w14:paraId="66179CC0">
                  <w:pPr>
                    <w:pStyle w:val="31"/>
                    <w:bidi w:val="0"/>
                    <w:jc w:val="center"/>
                    <w:rPr>
                      <w:rFonts w:hint="default" w:ascii="Times New Roman" w:hAnsi="Times New Roman" w:cs="Times New Roman"/>
                      <w:b/>
                      <w:bCs/>
                      <w:color w:val="000000"/>
                      <w:highlight w:val="none"/>
                      <w:lang w:val="en-US" w:eastAsia="zh-CN"/>
                    </w:rPr>
                  </w:pPr>
                </w:p>
              </w:tc>
              <w:tc>
                <w:tcPr>
                  <w:tcW w:w="123" w:type="pct"/>
                  <w:tcBorders>
                    <w:top w:val="single" w:color="auto" w:sz="4" w:space="0"/>
                    <w:left w:val="nil"/>
                    <w:bottom w:val="single" w:color="auto" w:sz="4" w:space="0"/>
                    <w:right w:val="single" w:color="auto" w:sz="4" w:space="0"/>
                  </w:tcBorders>
                  <w:noWrap w:val="0"/>
                  <w:vAlign w:val="center"/>
                </w:tcPr>
                <w:p w14:paraId="0BDAD597">
                  <w:pPr>
                    <w:pStyle w:val="31"/>
                    <w:bidi w:val="0"/>
                    <w:jc w:val="center"/>
                    <w:rPr>
                      <w:rFonts w:hint="default" w:ascii="Times New Roman" w:hAnsi="Times New Roman" w:cs="Times New Roman"/>
                      <w:b/>
                      <w:bCs/>
                      <w:color w:val="000000"/>
                      <w:highlight w:val="none"/>
                      <w:lang w:val="en-US" w:eastAsia="zh-CN"/>
                    </w:rPr>
                  </w:pPr>
                </w:p>
              </w:tc>
              <w:tc>
                <w:tcPr>
                  <w:tcW w:w="119" w:type="pct"/>
                  <w:tcBorders>
                    <w:top w:val="single" w:color="auto" w:sz="4" w:space="0"/>
                    <w:left w:val="single" w:color="auto" w:sz="4" w:space="0"/>
                    <w:bottom w:val="single" w:color="auto" w:sz="4" w:space="0"/>
                    <w:right w:val="nil"/>
                  </w:tcBorders>
                  <w:noWrap w:val="0"/>
                  <w:vAlign w:val="center"/>
                </w:tcPr>
                <w:p w14:paraId="0112B7F8">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nil"/>
                  </w:tcBorders>
                  <w:noWrap w:val="0"/>
                  <w:vAlign w:val="center"/>
                </w:tcPr>
                <w:p w14:paraId="258E042F">
                  <w:pPr>
                    <w:pStyle w:val="31"/>
                    <w:bidi w:val="0"/>
                    <w:jc w:val="center"/>
                    <w:rPr>
                      <w:rFonts w:hint="default" w:ascii="Times New Roman" w:hAnsi="Times New Roman" w:cs="Times New Roman"/>
                      <w:b/>
                      <w:bCs/>
                      <w:color w:val="000000"/>
                      <w:highlight w:val="none"/>
                      <w:lang w:val="en-US" w:eastAsia="zh-CN"/>
                    </w:rPr>
                  </w:pPr>
                </w:p>
              </w:tc>
              <w:tc>
                <w:tcPr>
                  <w:tcW w:w="125" w:type="pct"/>
                  <w:tcBorders>
                    <w:top w:val="single" w:color="auto" w:sz="4" w:space="0"/>
                    <w:left w:val="nil"/>
                    <w:bottom w:val="single" w:color="auto" w:sz="4" w:space="0"/>
                    <w:right w:val="single" w:color="auto" w:sz="4" w:space="0"/>
                  </w:tcBorders>
                  <w:noWrap w:val="0"/>
                  <w:vAlign w:val="center"/>
                </w:tcPr>
                <w:p w14:paraId="245BBAF8">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single" w:color="auto" w:sz="4" w:space="0"/>
                    <w:bottom w:val="single" w:color="auto" w:sz="4" w:space="0"/>
                    <w:right w:val="nil"/>
                  </w:tcBorders>
                  <w:noWrap w:val="0"/>
                  <w:vAlign w:val="center"/>
                </w:tcPr>
                <w:p w14:paraId="669EC304">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nil"/>
                  </w:tcBorders>
                  <w:noWrap w:val="0"/>
                  <w:vAlign w:val="center"/>
                </w:tcPr>
                <w:p w14:paraId="3071705D">
                  <w:pPr>
                    <w:pStyle w:val="31"/>
                    <w:bidi w:val="0"/>
                    <w:jc w:val="center"/>
                    <w:rPr>
                      <w:rFonts w:hint="default" w:ascii="Times New Roman" w:hAnsi="Times New Roman" w:cs="Times New Roman"/>
                      <w:b/>
                      <w:bCs/>
                      <w:color w:val="000000"/>
                      <w:highlight w:val="none"/>
                      <w:lang w:val="en-US" w:eastAsia="zh-CN"/>
                    </w:rPr>
                  </w:pPr>
                </w:p>
              </w:tc>
              <w:tc>
                <w:tcPr>
                  <w:tcW w:w="126" w:type="pct"/>
                  <w:tcBorders>
                    <w:top w:val="single" w:color="auto" w:sz="4" w:space="0"/>
                    <w:left w:val="nil"/>
                    <w:bottom w:val="single" w:color="auto" w:sz="4" w:space="0"/>
                    <w:right w:val="single" w:color="auto" w:sz="4" w:space="0"/>
                  </w:tcBorders>
                  <w:noWrap w:val="0"/>
                  <w:vAlign w:val="center"/>
                </w:tcPr>
                <w:p w14:paraId="6CC28DAF">
                  <w:pPr>
                    <w:pStyle w:val="31"/>
                    <w:bidi w:val="0"/>
                    <w:jc w:val="center"/>
                    <w:rPr>
                      <w:rFonts w:hint="default" w:ascii="Times New Roman" w:hAnsi="Times New Roman" w:cs="Times New Roman"/>
                      <w:b/>
                      <w:bCs/>
                      <w:color w:val="000000"/>
                      <w:highlight w:val="none"/>
                      <w:lang w:val="en-US" w:eastAsia="zh-CN"/>
                    </w:rPr>
                  </w:pPr>
                </w:p>
              </w:tc>
              <w:tc>
                <w:tcPr>
                  <w:tcW w:w="119" w:type="pct"/>
                  <w:tcBorders>
                    <w:top w:val="single" w:color="auto" w:sz="4" w:space="0"/>
                    <w:left w:val="single" w:color="auto" w:sz="4" w:space="0"/>
                    <w:bottom w:val="single" w:color="auto" w:sz="4" w:space="0"/>
                    <w:right w:val="nil"/>
                  </w:tcBorders>
                  <w:noWrap w:val="0"/>
                  <w:vAlign w:val="center"/>
                </w:tcPr>
                <w:p w14:paraId="2A7C9061">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nil"/>
                  </w:tcBorders>
                  <w:noWrap w:val="0"/>
                  <w:vAlign w:val="center"/>
                </w:tcPr>
                <w:p w14:paraId="1A474904">
                  <w:pPr>
                    <w:pStyle w:val="31"/>
                    <w:bidi w:val="0"/>
                    <w:jc w:val="center"/>
                    <w:rPr>
                      <w:rFonts w:hint="default" w:ascii="Times New Roman" w:hAnsi="Times New Roman" w:cs="Times New Roman"/>
                      <w:b/>
                      <w:bCs/>
                      <w:color w:val="000000"/>
                      <w:highlight w:val="none"/>
                      <w:lang w:val="en-US" w:eastAsia="zh-CN"/>
                    </w:rPr>
                  </w:pPr>
                </w:p>
              </w:tc>
              <w:tc>
                <w:tcPr>
                  <w:tcW w:w="128" w:type="pct"/>
                  <w:tcBorders>
                    <w:top w:val="single" w:color="auto" w:sz="4" w:space="0"/>
                    <w:left w:val="nil"/>
                    <w:bottom w:val="single" w:color="auto" w:sz="4" w:space="0"/>
                    <w:right w:val="single" w:color="auto" w:sz="4" w:space="0"/>
                  </w:tcBorders>
                  <w:noWrap w:val="0"/>
                  <w:vAlign w:val="center"/>
                </w:tcPr>
                <w:p w14:paraId="4C82DB24">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single" w:color="auto" w:sz="4" w:space="0"/>
                    <w:bottom w:val="single" w:color="auto" w:sz="4" w:space="0"/>
                    <w:right w:val="nil"/>
                  </w:tcBorders>
                  <w:noWrap w:val="0"/>
                  <w:vAlign w:val="center"/>
                </w:tcPr>
                <w:p w14:paraId="61DB5392">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nil"/>
                  </w:tcBorders>
                  <w:noWrap w:val="0"/>
                  <w:vAlign w:val="center"/>
                </w:tcPr>
                <w:p w14:paraId="01F8E31B">
                  <w:pPr>
                    <w:pStyle w:val="31"/>
                    <w:bidi w:val="0"/>
                    <w:jc w:val="center"/>
                    <w:rPr>
                      <w:rFonts w:hint="default" w:ascii="Times New Roman" w:hAnsi="Times New Roman" w:cs="Times New Roman"/>
                      <w:b/>
                      <w:bCs/>
                      <w:color w:val="000000"/>
                      <w:highlight w:val="none"/>
                      <w:lang w:val="en-US" w:eastAsia="zh-CN"/>
                    </w:rPr>
                  </w:pPr>
                </w:p>
              </w:tc>
              <w:tc>
                <w:tcPr>
                  <w:tcW w:w="135" w:type="pct"/>
                  <w:tcBorders>
                    <w:top w:val="single" w:color="auto" w:sz="4" w:space="0"/>
                    <w:left w:val="nil"/>
                    <w:bottom w:val="single" w:color="auto" w:sz="4" w:space="0"/>
                    <w:right w:val="single" w:color="auto" w:sz="4" w:space="0"/>
                  </w:tcBorders>
                  <w:noWrap w:val="0"/>
                  <w:vAlign w:val="center"/>
                </w:tcPr>
                <w:p w14:paraId="218498EE">
                  <w:pPr>
                    <w:pStyle w:val="31"/>
                    <w:bidi w:val="0"/>
                    <w:jc w:val="center"/>
                    <w:rPr>
                      <w:rFonts w:hint="default" w:ascii="Times New Roman" w:hAnsi="Times New Roman" w:cs="Times New Roman"/>
                      <w:b/>
                      <w:bCs/>
                      <w:color w:val="000000"/>
                      <w:highlight w:val="none"/>
                      <w:lang w:val="en-US" w:eastAsia="zh-CN"/>
                    </w:rPr>
                  </w:pPr>
                </w:p>
              </w:tc>
            </w:tr>
            <w:tr w14:paraId="3BAFDA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656" w:type="pct"/>
                  <w:tcBorders>
                    <w:right w:val="single" w:color="auto" w:sz="4" w:space="0"/>
                  </w:tcBorders>
                  <w:noWrap w:val="0"/>
                  <w:vAlign w:val="center"/>
                </w:tcPr>
                <w:p w14:paraId="265E90FC">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陆域形成</w:t>
                  </w:r>
                </w:p>
              </w:tc>
              <w:tc>
                <w:tcPr>
                  <w:tcW w:w="114" w:type="pct"/>
                  <w:tcBorders>
                    <w:top w:val="single" w:color="auto" w:sz="4" w:space="0"/>
                    <w:left w:val="single" w:color="auto" w:sz="4" w:space="0"/>
                    <w:bottom w:val="single" w:color="auto" w:sz="4" w:space="0"/>
                    <w:right w:val="nil"/>
                  </w:tcBorders>
                  <w:noWrap w:val="0"/>
                  <w:vAlign w:val="center"/>
                </w:tcPr>
                <w:p w14:paraId="2FA21EC0">
                  <w:pPr>
                    <w:pStyle w:val="31"/>
                    <w:bidi w:val="0"/>
                    <w:jc w:val="center"/>
                    <w:rPr>
                      <w:rFonts w:hint="default" w:ascii="Times New Roman" w:hAnsi="Times New Roman" w:cs="Times New Roman"/>
                      <w:b/>
                      <w:bCs/>
                      <w:color w:val="000000"/>
                      <w:highlight w:val="none"/>
                      <w:lang w:val="en-US" w:eastAsia="zh-CN"/>
                    </w:rPr>
                  </w:pPr>
                </w:p>
              </w:tc>
              <w:tc>
                <w:tcPr>
                  <w:tcW w:w="114" w:type="pct"/>
                  <w:tcBorders>
                    <w:top w:val="single" w:color="auto" w:sz="4" w:space="0"/>
                    <w:left w:val="nil"/>
                    <w:bottom w:val="single" w:color="auto" w:sz="4" w:space="0"/>
                    <w:right w:val="nil"/>
                  </w:tcBorders>
                  <w:noWrap w:val="0"/>
                  <w:vAlign w:val="center"/>
                </w:tcPr>
                <w:p w14:paraId="2D729FC6">
                  <w:pPr>
                    <w:pStyle w:val="31"/>
                    <w:bidi w:val="0"/>
                    <w:jc w:val="center"/>
                    <w:rPr>
                      <w:rFonts w:hint="default" w:ascii="Times New Roman" w:hAnsi="Times New Roman" w:cs="Times New Roman"/>
                      <w:b/>
                      <w:bCs/>
                      <w:color w:val="000000"/>
                      <w:highlight w:val="none"/>
                      <w:lang w:val="en-US" w:eastAsia="zh-CN"/>
                    </w:rPr>
                  </w:pPr>
                </w:p>
              </w:tc>
              <w:tc>
                <w:tcPr>
                  <w:tcW w:w="116" w:type="pct"/>
                  <w:tcBorders>
                    <w:top w:val="single" w:color="auto" w:sz="4" w:space="0"/>
                    <w:left w:val="nil"/>
                    <w:bottom w:val="single" w:color="auto" w:sz="4" w:space="0"/>
                    <w:right w:val="single" w:color="auto" w:sz="4" w:space="0"/>
                  </w:tcBorders>
                  <w:noWrap w:val="0"/>
                  <w:vAlign w:val="center"/>
                </w:tcPr>
                <w:p w14:paraId="51E60D72">
                  <w:pPr>
                    <w:pStyle w:val="31"/>
                    <w:bidi w:val="0"/>
                    <w:jc w:val="center"/>
                    <w:rPr>
                      <w:rFonts w:hint="default" w:ascii="Times New Roman" w:hAnsi="Times New Roman" w:cs="Times New Roman"/>
                      <w:b/>
                      <w:bCs/>
                      <w:color w:val="000000"/>
                      <w:highlight w:val="none"/>
                      <w:lang w:val="en-US" w:eastAsia="zh-CN"/>
                    </w:rPr>
                  </w:pPr>
                </w:p>
              </w:tc>
              <w:tc>
                <w:tcPr>
                  <w:tcW w:w="117" w:type="pct"/>
                  <w:tcBorders>
                    <w:top w:val="single" w:color="auto" w:sz="4" w:space="0"/>
                    <w:left w:val="single" w:color="auto" w:sz="4" w:space="0"/>
                    <w:bottom w:val="single" w:color="auto" w:sz="4" w:space="0"/>
                    <w:right w:val="nil"/>
                  </w:tcBorders>
                  <w:noWrap w:val="0"/>
                  <w:vAlign w:val="center"/>
                </w:tcPr>
                <w:p w14:paraId="09CB0B8C">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nil"/>
                  </w:tcBorders>
                  <w:noWrap w:val="0"/>
                  <w:vAlign w:val="center"/>
                </w:tcPr>
                <w:p w14:paraId="14FABA84">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single" w:color="auto" w:sz="4" w:space="0"/>
                  </w:tcBorders>
                  <w:noWrap w:val="0"/>
                  <w:vAlign w:val="center"/>
                </w:tcPr>
                <w:p w14:paraId="3EA5709C">
                  <w:pPr>
                    <w:pStyle w:val="31"/>
                    <w:bidi w:val="0"/>
                    <w:jc w:val="center"/>
                    <w:rPr>
                      <w:rFonts w:hint="default" w:ascii="Times New Roman" w:hAnsi="Times New Roman" w:cs="Times New Roman"/>
                      <w:b/>
                      <w:bCs/>
                      <w:color w:val="000000"/>
                      <w:highlight w:val="none"/>
                      <w:lang w:val="en-US" w:eastAsia="zh-CN"/>
                    </w:rPr>
                  </w:pPr>
                </w:p>
              </w:tc>
              <w:tc>
                <w:tcPr>
                  <w:tcW w:w="119" w:type="pct"/>
                  <w:tcBorders>
                    <w:top w:val="single" w:color="auto" w:sz="4" w:space="0"/>
                    <w:left w:val="single" w:color="auto" w:sz="4" w:space="0"/>
                    <w:bottom w:val="single" w:color="auto" w:sz="4" w:space="0"/>
                    <w:right w:val="nil"/>
                  </w:tcBorders>
                  <w:noWrap w:val="0"/>
                  <w:vAlign w:val="center"/>
                </w:tcPr>
                <w:p w14:paraId="6F1FB1F3">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nil"/>
                  </w:tcBorders>
                  <w:noWrap w:val="0"/>
                  <w:vAlign w:val="center"/>
                </w:tcPr>
                <w:p w14:paraId="360B9592">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single" w:color="auto" w:sz="4" w:space="0"/>
                  </w:tcBorders>
                  <w:noWrap w:val="0"/>
                  <w:vAlign w:val="center"/>
                </w:tcPr>
                <w:p w14:paraId="21C9A479">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single" w:color="auto" w:sz="4" w:space="0"/>
                    <w:bottom w:val="single" w:color="auto" w:sz="4" w:space="0"/>
                    <w:right w:val="nil"/>
                  </w:tcBorders>
                  <w:shd w:val="clear" w:color="auto" w:fill="BEBEBE" w:themeFill="background1" w:themeFillShade="BF"/>
                  <w:noWrap w:val="0"/>
                  <w:vAlign w:val="center"/>
                </w:tcPr>
                <w:p w14:paraId="4E348D7A">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nil"/>
                  </w:tcBorders>
                  <w:shd w:val="clear" w:color="auto" w:fill="BEBEBE" w:themeFill="background1" w:themeFillShade="BF"/>
                  <w:noWrap w:val="0"/>
                  <w:vAlign w:val="center"/>
                </w:tcPr>
                <w:p w14:paraId="1162954D">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single" w:color="auto" w:sz="4" w:space="0"/>
                  </w:tcBorders>
                  <w:shd w:val="clear" w:color="auto" w:fill="BEBEBE" w:themeFill="background1" w:themeFillShade="BF"/>
                  <w:noWrap w:val="0"/>
                  <w:vAlign w:val="center"/>
                </w:tcPr>
                <w:p w14:paraId="605712C2">
                  <w:pPr>
                    <w:pStyle w:val="31"/>
                    <w:bidi w:val="0"/>
                    <w:jc w:val="center"/>
                    <w:rPr>
                      <w:rFonts w:hint="default" w:ascii="Times New Roman" w:hAnsi="Times New Roman" w:cs="Times New Roman"/>
                      <w:b/>
                      <w:bCs/>
                      <w:color w:val="000000"/>
                      <w:highlight w:val="none"/>
                      <w:lang w:val="en-US" w:eastAsia="zh-CN"/>
                    </w:rPr>
                  </w:pPr>
                </w:p>
              </w:tc>
              <w:tc>
                <w:tcPr>
                  <w:tcW w:w="119" w:type="pct"/>
                  <w:tcBorders>
                    <w:top w:val="single" w:color="auto" w:sz="4" w:space="0"/>
                    <w:left w:val="single" w:color="auto" w:sz="4" w:space="0"/>
                    <w:bottom w:val="single" w:color="auto" w:sz="4" w:space="0"/>
                    <w:right w:val="nil"/>
                  </w:tcBorders>
                  <w:shd w:val="clear" w:color="auto" w:fill="BEBEBE" w:themeFill="background1" w:themeFillShade="BF"/>
                  <w:noWrap w:val="0"/>
                  <w:vAlign w:val="center"/>
                </w:tcPr>
                <w:p w14:paraId="3F6022CB">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nil"/>
                  </w:tcBorders>
                  <w:shd w:val="clear" w:color="auto" w:fill="BEBEBE" w:themeFill="background1" w:themeFillShade="BF"/>
                  <w:noWrap w:val="0"/>
                  <w:vAlign w:val="center"/>
                </w:tcPr>
                <w:p w14:paraId="7E68F04C">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single" w:color="auto" w:sz="4" w:space="0"/>
                  </w:tcBorders>
                  <w:shd w:val="clear" w:color="auto" w:fill="BEBEBE" w:themeFill="background1" w:themeFillShade="BF"/>
                  <w:noWrap w:val="0"/>
                  <w:vAlign w:val="center"/>
                </w:tcPr>
                <w:p w14:paraId="5DF8CF95">
                  <w:pPr>
                    <w:pStyle w:val="31"/>
                    <w:bidi w:val="0"/>
                    <w:jc w:val="center"/>
                    <w:rPr>
                      <w:rFonts w:hint="default" w:ascii="Times New Roman" w:hAnsi="Times New Roman" w:cs="Times New Roman"/>
                      <w:b/>
                      <w:bCs/>
                      <w:color w:val="000000"/>
                      <w:highlight w:val="none"/>
                      <w:lang w:val="en-US" w:eastAsia="zh-CN"/>
                    </w:rPr>
                  </w:pPr>
                </w:p>
              </w:tc>
              <w:tc>
                <w:tcPr>
                  <w:tcW w:w="119" w:type="pct"/>
                  <w:tcBorders>
                    <w:top w:val="single" w:color="auto" w:sz="4" w:space="0"/>
                    <w:left w:val="single" w:color="auto" w:sz="4" w:space="0"/>
                    <w:bottom w:val="single" w:color="auto" w:sz="4" w:space="0"/>
                    <w:right w:val="nil"/>
                  </w:tcBorders>
                  <w:shd w:val="clear" w:color="auto" w:fill="BEBEBE" w:themeFill="background1" w:themeFillShade="BF"/>
                  <w:noWrap w:val="0"/>
                  <w:vAlign w:val="center"/>
                </w:tcPr>
                <w:p w14:paraId="7C25BF0E">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nil"/>
                  </w:tcBorders>
                  <w:shd w:val="clear" w:color="auto" w:fill="BEBEBE" w:themeFill="background1" w:themeFillShade="BF"/>
                  <w:noWrap w:val="0"/>
                  <w:vAlign w:val="center"/>
                </w:tcPr>
                <w:p w14:paraId="653E6964">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single" w:color="auto" w:sz="4" w:space="0"/>
                  </w:tcBorders>
                  <w:shd w:val="clear" w:color="auto" w:fill="BEBEBE" w:themeFill="background1" w:themeFillShade="BF"/>
                  <w:noWrap w:val="0"/>
                  <w:vAlign w:val="center"/>
                </w:tcPr>
                <w:p w14:paraId="0C5CC248">
                  <w:pPr>
                    <w:pStyle w:val="31"/>
                    <w:bidi w:val="0"/>
                    <w:jc w:val="center"/>
                    <w:rPr>
                      <w:rFonts w:hint="default" w:ascii="Times New Roman" w:hAnsi="Times New Roman" w:cs="Times New Roman"/>
                      <w:b/>
                      <w:bCs/>
                      <w:color w:val="000000"/>
                      <w:highlight w:val="none"/>
                      <w:lang w:val="en-US" w:eastAsia="zh-CN"/>
                    </w:rPr>
                  </w:pPr>
                </w:p>
              </w:tc>
              <w:tc>
                <w:tcPr>
                  <w:tcW w:w="119" w:type="pct"/>
                  <w:tcBorders>
                    <w:top w:val="single" w:color="auto" w:sz="4" w:space="0"/>
                    <w:left w:val="single" w:color="auto" w:sz="4" w:space="0"/>
                    <w:bottom w:val="single" w:color="auto" w:sz="4" w:space="0"/>
                    <w:right w:val="nil"/>
                  </w:tcBorders>
                  <w:shd w:val="clear" w:color="auto" w:fill="BEBEBE" w:themeFill="background1" w:themeFillShade="BF"/>
                  <w:noWrap w:val="0"/>
                  <w:vAlign w:val="center"/>
                </w:tcPr>
                <w:p w14:paraId="72AF8F02">
                  <w:pPr>
                    <w:pStyle w:val="31"/>
                    <w:bidi w:val="0"/>
                    <w:jc w:val="center"/>
                    <w:rPr>
                      <w:rFonts w:hint="default" w:ascii="Times New Roman" w:hAnsi="Times New Roman" w:cs="Times New Roman"/>
                      <w:b/>
                      <w:bCs/>
                      <w:color w:val="000000"/>
                      <w:highlight w:val="none"/>
                      <w:lang w:val="en-US" w:eastAsia="zh-CN"/>
                    </w:rPr>
                  </w:pPr>
                </w:p>
              </w:tc>
              <w:tc>
                <w:tcPr>
                  <w:tcW w:w="122" w:type="pct"/>
                  <w:tcBorders>
                    <w:top w:val="single" w:color="auto" w:sz="4" w:space="0"/>
                    <w:left w:val="nil"/>
                    <w:bottom w:val="single" w:color="auto" w:sz="4" w:space="0"/>
                    <w:right w:val="nil"/>
                  </w:tcBorders>
                  <w:shd w:val="clear" w:color="auto" w:fill="BEBEBE" w:themeFill="background1" w:themeFillShade="BF"/>
                  <w:noWrap w:val="0"/>
                  <w:vAlign w:val="center"/>
                </w:tcPr>
                <w:p w14:paraId="7D699D81">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single" w:color="auto" w:sz="4" w:space="0"/>
                  </w:tcBorders>
                  <w:shd w:val="clear" w:color="auto" w:fill="BEBEBE" w:themeFill="background1" w:themeFillShade="BF"/>
                  <w:noWrap w:val="0"/>
                  <w:vAlign w:val="center"/>
                </w:tcPr>
                <w:p w14:paraId="7FF3193D">
                  <w:pPr>
                    <w:pStyle w:val="31"/>
                    <w:bidi w:val="0"/>
                    <w:jc w:val="center"/>
                    <w:rPr>
                      <w:rFonts w:hint="default" w:ascii="Times New Roman" w:hAnsi="Times New Roman" w:cs="Times New Roman"/>
                      <w:b/>
                      <w:bCs/>
                      <w:color w:val="000000"/>
                      <w:highlight w:val="none"/>
                      <w:lang w:val="en-US" w:eastAsia="zh-CN"/>
                    </w:rPr>
                  </w:pPr>
                </w:p>
              </w:tc>
              <w:tc>
                <w:tcPr>
                  <w:tcW w:w="119" w:type="pct"/>
                  <w:tcBorders>
                    <w:top w:val="single" w:color="auto" w:sz="4" w:space="0"/>
                    <w:left w:val="single" w:color="auto" w:sz="4" w:space="0"/>
                    <w:bottom w:val="single" w:color="auto" w:sz="4" w:space="0"/>
                    <w:right w:val="nil"/>
                  </w:tcBorders>
                  <w:shd w:val="clear" w:color="auto" w:fill="BEBEBE" w:themeFill="background1" w:themeFillShade="BF"/>
                  <w:noWrap w:val="0"/>
                  <w:vAlign w:val="center"/>
                </w:tcPr>
                <w:p w14:paraId="3B511732">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nil"/>
                  </w:tcBorders>
                  <w:shd w:val="clear" w:color="auto" w:fill="BEBEBE" w:themeFill="background1" w:themeFillShade="BF"/>
                  <w:noWrap w:val="0"/>
                  <w:vAlign w:val="center"/>
                </w:tcPr>
                <w:p w14:paraId="4BF2069F">
                  <w:pPr>
                    <w:pStyle w:val="31"/>
                    <w:bidi w:val="0"/>
                    <w:jc w:val="center"/>
                    <w:rPr>
                      <w:rFonts w:hint="default" w:ascii="Times New Roman" w:hAnsi="Times New Roman" w:cs="Times New Roman"/>
                      <w:b/>
                      <w:bCs/>
                      <w:color w:val="000000"/>
                      <w:highlight w:val="none"/>
                      <w:lang w:val="en-US" w:eastAsia="zh-CN"/>
                    </w:rPr>
                  </w:pPr>
                </w:p>
              </w:tc>
              <w:tc>
                <w:tcPr>
                  <w:tcW w:w="123" w:type="pct"/>
                  <w:tcBorders>
                    <w:top w:val="single" w:color="auto" w:sz="4" w:space="0"/>
                    <w:left w:val="nil"/>
                    <w:bottom w:val="single" w:color="auto" w:sz="4" w:space="0"/>
                    <w:right w:val="single" w:color="auto" w:sz="4" w:space="0"/>
                  </w:tcBorders>
                  <w:shd w:val="clear" w:color="auto" w:fill="BEBEBE" w:themeFill="background1" w:themeFillShade="BF"/>
                  <w:noWrap w:val="0"/>
                  <w:vAlign w:val="center"/>
                </w:tcPr>
                <w:p w14:paraId="16275356">
                  <w:pPr>
                    <w:pStyle w:val="31"/>
                    <w:bidi w:val="0"/>
                    <w:jc w:val="center"/>
                    <w:rPr>
                      <w:rFonts w:hint="default" w:ascii="Times New Roman" w:hAnsi="Times New Roman" w:cs="Times New Roman"/>
                      <w:b/>
                      <w:bCs/>
                      <w:color w:val="000000"/>
                      <w:highlight w:val="none"/>
                      <w:lang w:val="en-US" w:eastAsia="zh-CN"/>
                    </w:rPr>
                  </w:pPr>
                </w:p>
              </w:tc>
              <w:tc>
                <w:tcPr>
                  <w:tcW w:w="119" w:type="pct"/>
                  <w:tcBorders>
                    <w:top w:val="single" w:color="auto" w:sz="4" w:space="0"/>
                    <w:left w:val="single" w:color="auto" w:sz="4" w:space="0"/>
                    <w:bottom w:val="single" w:color="auto" w:sz="4" w:space="0"/>
                    <w:right w:val="nil"/>
                  </w:tcBorders>
                  <w:shd w:val="clear" w:color="auto" w:fill="BEBEBE" w:themeFill="background1" w:themeFillShade="BF"/>
                  <w:noWrap w:val="0"/>
                  <w:vAlign w:val="center"/>
                </w:tcPr>
                <w:p w14:paraId="5AF233A8">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nil"/>
                  </w:tcBorders>
                  <w:shd w:val="clear" w:color="auto" w:fill="BEBEBE" w:themeFill="background1" w:themeFillShade="BF"/>
                  <w:noWrap w:val="0"/>
                  <w:vAlign w:val="center"/>
                </w:tcPr>
                <w:p w14:paraId="476A8884">
                  <w:pPr>
                    <w:pStyle w:val="31"/>
                    <w:bidi w:val="0"/>
                    <w:jc w:val="center"/>
                    <w:rPr>
                      <w:rFonts w:hint="default" w:ascii="Times New Roman" w:hAnsi="Times New Roman" w:cs="Times New Roman"/>
                      <w:b/>
                      <w:bCs/>
                      <w:color w:val="000000"/>
                      <w:highlight w:val="none"/>
                      <w:lang w:val="en-US" w:eastAsia="zh-CN"/>
                    </w:rPr>
                  </w:pPr>
                </w:p>
              </w:tc>
              <w:tc>
                <w:tcPr>
                  <w:tcW w:w="125" w:type="pct"/>
                  <w:tcBorders>
                    <w:top w:val="single" w:color="auto" w:sz="4" w:space="0"/>
                    <w:left w:val="nil"/>
                    <w:bottom w:val="single" w:color="auto" w:sz="4" w:space="0"/>
                    <w:right w:val="single" w:color="auto" w:sz="4" w:space="0"/>
                  </w:tcBorders>
                  <w:noWrap w:val="0"/>
                  <w:vAlign w:val="center"/>
                </w:tcPr>
                <w:p w14:paraId="52804FEE">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single" w:color="auto" w:sz="4" w:space="0"/>
                    <w:bottom w:val="single" w:color="auto" w:sz="4" w:space="0"/>
                    <w:right w:val="nil"/>
                  </w:tcBorders>
                  <w:noWrap w:val="0"/>
                  <w:vAlign w:val="center"/>
                </w:tcPr>
                <w:p w14:paraId="7D68BF64">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nil"/>
                  </w:tcBorders>
                  <w:noWrap w:val="0"/>
                  <w:vAlign w:val="center"/>
                </w:tcPr>
                <w:p w14:paraId="28226076">
                  <w:pPr>
                    <w:pStyle w:val="31"/>
                    <w:bidi w:val="0"/>
                    <w:jc w:val="center"/>
                    <w:rPr>
                      <w:rFonts w:hint="default" w:ascii="Times New Roman" w:hAnsi="Times New Roman" w:cs="Times New Roman"/>
                      <w:b/>
                      <w:bCs/>
                      <w:color w:val="000000"/>
                      <w:highlight w:val="none"/>
                      <w:lang w:val="en-US" w:eastAsia="zh-CN"/>
                    </w:rPr>
                  </w:pPr>
                </w:p>
              </w:tc>
              <w:tc>
                <w:tcPr>
                  <w:tcW w:w="126" w:type="pct"/>
                  <w:tcBorders>
                    <w:top w:val="single" w:color="auto" w:sz="4" w:space="0"/>
                    <w:left w:val="nil"/>
                    <w:bottom w:val="single" w:color="auto" w:sz="4" w:space="0"/>
                    <w:right w:val="single" w:color="auto" w:sz="4" w:space="0"/>
                  </w:tcBorders>
                  <w:noWrap w:val="0"/>
                  <w:vAlign w:val="center"/>
                </w:tcPr>
                <w:p w14:paraId="7C504A64">
                  <w:pPr>
                    <w:pStyle w:val="31"/>
                    <w:bidi w:val="0"/>
                    <w:jc w:val="center"/>
                    <w:rPr>
                      <w:rFonts w:hint="default" w:ascii="Times New Roman" w:hAnsi="Times New Roman" w:cs="Times New Roman"/>
                      <w:b/>
                      <w:bCs/>
                      <w:color w:val="000000"/>
                      <w:highlight w:val="none"/>
                      <w:lang w:val="en-US" w:eastAsia="zh-CN"/>
                    </w:rPr>
                  </w:pPr>
                </w:p>
              </w:tc>
              <w:tc>
                <w:tcPr>
                  <w:tcW w:w="119" w:type="pct"/>
                  <w:tcBorders>
                    <w:top w:val="single" w:color="auto" w:sz="4" w:space="0"/>
                    <w:left w:val="single" w:color="auto" w:sz="4" w:space="0"/>
                    <w:bottom w:val="single" w:color="auto" w:sz="4" w:space="0"/>
                    <w:right w:val="nil"/>
                  </w:tcBorders>
                  <w:noWrap w:val="0"/>
                  <w:vAlign w:val="center"/>
                </w:tcPr>
                <w:p w14:paraId="21929544">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nil"/>
                  </w:tcBorders>
                  <w:noWrap w:val="0"/>
                  <w:vAlign w:val="center"/>
                </w:tcPr>
                <w:p w14:paraId="54AFB9EB">
                  <w:pPr>
                    <w:pStyle w:val="31"/>
                    <w:bidi w:val="0"/>
                    <w:jc w:val="center"/>
                    <w:rPr>
                      <w:rFonts w:hint="default" w:ascii="Times New Roman" w:hAnsi="Times New Roman" w:cs="Times New Roman"/>
                      <w:b/>
                      <w:bCs/>
                      <w:color w:val="000000"/>
                      <w:highlight w:val="none"/>
                      <w:lang w:val="en-US" w:eastAsia="zh-CN"/>
                    </w:rPr>
                  </w:pPr>
                </w:p>
              </w:tc>
              <w:tc>
                <w:tcPr>
                  <w:tcW w:w="128" w:type="pct"/>
                  <w:tcBorders>
                    <w:top w:val="single" w:color="auto" w:sz="4" w:space="0"/>
                    <w:left w:val="nil"/>
                    <w:bottom w:val="single" w:color="auto" w:sz="4" w:space="0"/>
                    <w:right w:val="single" w:color="auto" w:sz="4" w:space="0"/>
                  </w:tcBorders>
                  <w:noWrap w:val="0"/>
                  <w:vAlign w:val="center"/>
                </w:tcPr>
                <w:p w14:paraId="5593E48B">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single" w:color="auto" w:sz="4" w:space="0"/>
                    <w:bottom w:val="single" w:color="auto" w:sz="4" w:space="0"/>
                    <w:right w:val="nil"/>
                  </w:tcBorders>
                  <w:noWrap w:val="0"/>
                  <w:vAlign w:val="center"/>
                </w:tcPr>
                <w:p w14:paraId="41C6B581">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nil"/>
                  </w:tcBorders>
                  <w:noWrap w:val="0"/>
                  <w:vAlign w:val="center"/>
                </w:tcPr>
                <w:p w14:paraId="599351D7">
                  <w:pPr>
                    <w:pStyle w:val="31"/>
                    <w:bidi w:val="0"/>
                    <w:jc w:val="center"/>
                    <w:rPr>
                      <w:rFonts w:hint="default" w:ascii="Times New Roman" w:hAnsi="Times New Roman" w:cs="Times New Roman"/>
                      <w:b/>
                      <w:bCs/>
                      <w:color w:val="000000"/>
                      <w:highlight w:val="none"/>
                      <w:lang w:val="en-US" w:eastAsia="zh-CN"/>
                    </w:rPr>
                  </w:pPr>
                </w:p>
              </w:tc>
              <w:tc>
                <w:tcPr>
                  <w:tcW w:w="135" w:type="pct"/>
                  <w:tcBorders>
                    <w:top w:val="single" w:color="auto" w:sz="4" w:space="0"/>
                    <w:left w:val="nil"/>
                    <w:bottom w:val="single" w:color="auto" w:sz="4" w:space="0"/>
                    <w:right w:val="single" w:color="auto" w:sz="4" w:space="0"/>
                  </w:tcBorders>
                  <w:noWrap w:val="0"/>
                  <w:vAlign w:val="center"/>
                </w:tcPr>
                <w:p w14:paraId="7761557E">
                  <w:pPr>
                    <w:pStyle w:val="31"/>
                    <w:bidi w:val="0"/>
                    <w:jc w:val="center"/>
                    <w:rPr>
                      <w:rFonts w:hint="default" w:ascii="Times New Roman" w:hAnsi="Times New Roman" w:cs="Times New Roman"/>
                      <w:b/>
                      <w:bCs/>
                      <w:color w:val="000000"/>
                      <w:highlight w:val="none"/>
                      <w:lang w:val="en-US" w:eastAsia="zh-CN"/>
                    </w:rPr>
                  </w:pPr>
                </w:p>
              </w:tc>
            </w:tr>
            <w:tr w14:paraId="69F7E1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656" w:type="pct"/>
                  <w:tcBorders>
                    <w:right w:val="single" w:color="auto" w:sz="4" w:space="0"/>
                  </w:tcBorders>
                  <w:noWrap w:val="0"/>
                  <w:vAlign w:val="center"/>
                </w:tcPr>
                <w:p w14:paraId="6498D58B">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建筑结构工程</w:t>
                  </w:r>
                </w:p>
              </w:tc>
              <w:tc>
                <w:tcPr>
                  <w:tcW w:w="114" w:type="pct"/>
                  <w:tcBorders>
                    <w:top w:val="single" w:color="auto" w:sz="4" w:space="0"/>
                    <w:left w:val="single" w:color="auto" w:sz="4" w:space="0"/>
                    <w:bottom w:val="single" w:color="auto" w:sz="4" w:space="0"/>
                    <w:right w:val="nil"/>
                  </w:tcBorders>
                  <w:noWrap w:val="0"/>
                  <w:vAlign w:val="center"/>
                </w:tcPr>
                <w:p w14:paraId="2A6F117D">
                  <w:pPr>
                    <w:pStyle w:val="31"/>
                    <w:bidi w:val="0"/>
                    <w:jc w:val="center"/>
                    <w:rPr>
                      <w:rFonts w:hint="default" w:ascii="Times New Roman" w:hAnsi="Times New Roman" w:cs="Times New Roman"/>
                      <w:b/>
                      <w:bCs/>
                      <w:color w:val="000000"/>
                      <w:highlight w:val="none"/>
                      <w:lang w:val="en-US" w:eastAsia="zh-CN"/>
                    </w:rPr>
                  </w:pPr>
                </w:p>
              </w:tc>
              <w:tc>
                <w:tcPr>
                  <w:tcW w:w="114" w:type="pct"/>
                  <w:tcBorders>
                    <w:top w:val="single" w:color="auto" w:sz="4" w:space="0"/>
                    <w:left w:val="nil"/>
                    <w:bottom w:val="single" w:color="auto" w:sz="4" w:space="0"/>
                    <w:right w:val="nil"/>
                  </w:tcBorders>
                  <w:noWrap w:val="0"/>
                  <w:vAlign w:val="center"/>
                </w:tcPr>
                <w:p w14:paraId="0ACE7CDF">
                  <w:pPr>
                    <w:pStyle w:val="31"/>
                    <w:bidi w:val="0"/>
                    <w:jc w:val="center"/>
                    <w:rPr>
                      <w:rFonts w:hint="default" w:ascii="Times New Roman" w:hAnsi="Times New Roman" w:cs="Times New Roman"/>
                      <w:b/>
                      <w:bCs/>
                      <w:color w:val="000000"/>
                      <w:highlight w:val="none"/>
                      <w:lang w:val="en-US" w:eastAsia="zh-CN"/>
                    </w:rPr>
                  </w:pPr>
                </w:p>
              </w:tc>
              <w:tc>
                <w:tcPr>
                  <w:tcW w:w="116" w:type="pct"/>
                  <w:tcBorders>
                    <w:top w:val="single" w:color="auto" w:sz="4" w:space="0"/>
                    <w:left w:val="nil"/>
                    <w:bottom w:val="single" w:color="auto" w:sz="4" w:space="0"/>
                    <w:right w:val="single" w:color="auto" w:sz="4" w:space="0"/>
                  </w:tcBorders>
                  <w:noWrap w:val="0"/>
                  <w:vAlign w:val="center"/>
                </w:tcPr>
                <w:p w14:paraId="1FA0EBBD">
                  <w:pPr>
                    <w:pStyle w:val="31"/>
                    <w:bidi w:val="0"/>
                    <w:jc w:val="center"/>
                    <w:rPr>
                      <w:rFonts w:hint="default" w:ascii="Times New Roman" w:hAnsi="Times New Roman" w:cs="Times New Roman"/>
                      <w:b/>
                      <w:bCs/>
                      <w:color w:val="000000"/>
                      <w:highlight w:val="none"/>
                      <w:lang w:val="en-US" w:eastAsia="zh-CN"/>
                    </w:rPr>
                  </w:pPr>
                </w:p>
              </w:tc>
              <w:tc>
                <w:tcPr>
                  <w:tcW w:w="117" w:type="pct"/>
                  <w:tcBorders>
                    <w:top w:val="single" w:color="auto" w:sz="4" w:space="0"/>
                    <w:left w:val="single" w:color="auto" w:sz="4" w:space="0"/>
                    <w:bottom w:val="single" w:color="auto" w:sz="4" w:space="0"/>
                    <w:right w:val="nil"/>
                  </w:tcBorders>
                  <w:noWrap w:val="0"/>
                  <w:vAlign w:val="center"/>
                </w:tcPr>
                <w:p w14:paraId="5C66736C">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nil"/>
                  </w:tcBorders>
                  <w:noWrap w:val="0"/>
                  <w:vAlign w:val="center"/>
                </w:tcPr>
                <w:p w14:paraId="3F76C92B">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single" w:color="auto" w:sz="4" w:space="0"/>
                  </w:tcBorders>
                  <w:noWrap w:val="0"/>
                  <w:vAlign w:val="center"/>
                </w:tcPr>
                <w:p w14:paraId="25B45E1A">
                  <w:pPr>
                    <w:pStyle w:val="31"/>
                    <w:bidi w:val="0"/>
                    <w:jc w:val="center"/>
                    <w:rPr>
                      <w:rFonts w:hint="default" w:ascii="Times New Roman" w:hAnsi="Times New Roman" w:cs="Times New Roman"/>
                      <w:b/>
                      <w:bCs/>
                      <w:color w:val="000000"/>
                      <w:highlight w:val="none"/>
                      <w:lang w:val="en-US" w:eastAsia="zh-CN"/>
                    </w:rPr>
                  </w:pPr>
                </w:p>
              </w:tc>
              <w:tc>
                <w:tcPr>
                  <w:tcW w:w="119" w:type="pct"/>
                  <w:tcBorders>
                    <w:top w:val="single" w:color="auto" w:sz="4" w:space="0"/>
                    <w:left w:val="single" w:color="auto" w:sz="4" w:space="0"/>
                    <w:bottom w:val="single" w:color="auto" w:sz="4" w:space="0"/>
                    <w:right w:val="nil"/>
                  </w:tcBorders>
                  <w:noWrap w:val="0"/>
                  <w:vAlign w:val="center"/>
                </w:tcPr>
                <w:p w14:paraId="647C54C5">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nil"/>
                  </w:tcBorders>
                  <w:noWrap w:val="0"/>
                  <w:vAlign w:val="center"/>
                </w:tcPr>
                <w:p w14:paraId="4196041C">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single" w:color="auto" w:sz="4" w:space="0"/>
                  </w:tcBorders>
                  <w:noWrap w:val="0"/>
                  <w:vAlign w:val="center"/>
                </w:tcPr>
                <w:p w14:paraId="5AAFAB00">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single" w:color="auto" w:sz="4" w:space="0"/>
                    <w:bottom w:val="single" w:color="auto" w:sz="4" w:space="0"/>
                    <w:right w:val="nil"/>
                  </w:tcBorders>
                  <w:noWrap w:val="0"/>
                  <w:vAlign w:val="center"/>
                </w:tcPr>
                <w:p w14:paraId="54ACB035">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nil"/>
                  </w:tcBorders>
                  <w:noWrap w:val="0"/>
                  <w:vAlign w:val="center"/>
                </w:tcPr>
                <w:p w14:paraId="26688ADE">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single" w:color="auto" w:sz="4" w:space="0"/>
                  </w:tcBorders>
                  <w:noWrap w:val="0"/>
                  <w:vAlign w:val="center"/>
                </w:tcPr>
                <w:p w14:paraId="76BC1FC9">
                  <w:pPr>
                    <w:pStyle w:val="31"/>
                    <w:bidi w:val="0"/>
                    <w:jc w:val="center"/>
                    <w:rPr>
                      <w:rFonts w:hint="default" w:ascii="Times New Roman" w:hAnsi="Times New Roman" w:cs="Times New Roman"/>
                      <w:b/>
                      <w:bCs/>
                      <w:color w:val="000000"/>
                      <w:highlight w:val="none"/>
                      <w:lang w:val="en-US" w:eastAsia="zh-CN"/>
                    </w:rPr>
                  </w:pPr>
                </w:p>
              </w:tc>
              <w:tc>
                <w:tcPr>
                  <w:tcW w:w="119" w:type="pct"/>
                  <w:tcBorders>
                    <w:top w:val="single" w:color="auto" w:sz="4" w:space="0"/>
                    <w:left w:val="single" w:color="auto" w:sz="4" w:space="0"/>
                    <w:bottom w:val="single" w:color="auto" w:sz="4" w:space="0"/>
                    <w:right w:val="nil"/>
                  </w:tcBorders>
                  <w:noWrap w:val="0"/>
                  <w:vAlign w:val="center"/>
                </w:tcPr>
                <w:p w14:paraId="6EFADAAB">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nil"/>
                  </w:tcBorders>
                  <w:noWrap w:val="0"/>
                  <w:vAlign w:val="center"/>
                </w:tcPr>
                <w:p w14:paraId="33880053">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single" w:color="auto" w:sz="4" w:space="0"/>
                  </w:tcBorders>
                  <w:noWrap w:val="0"/>
                  <w:vAlign w:val="center"/>
                </w:tcPr>
                <w:p w14:paraId="62F22F0B">
                  <w:pPr>
                    <w:pStyle w:val="31"/>
                    <w:bidi w:val="0"/>
                    <w:jc w:val="center"/>
                    <w:rPr>
                      <w:rFonts w:hint="default" w:ascii="Times New Roman" w:hAnsi="Times New Roman" w:cs="Times New Roman"/>
                      <w:b/>
                      <w:bCs/>
                      <w:color w:val="000000"/>
                      <w:highlight w:val="none"/>
                      <w:lang w:val="en-US" w:eastAsia="zh-CN"/>
                    </w:rPr>
                  </w:pPr>
                </w:p>
              </w:tc>
              <w:tc>
                <w:tcPr>
                  <w:tcW w:w="119" w:type="pct"/>
                  <w:tcBorders>
                    <w:top w:val="single" w:color="auto" w:sz="4" w:space="0"/>
                    <w:left w:val="single" w:color="auto" w:sz="4" w:space="0"/>
                    <w:bottom w:val="single" w:color="auto" w:sz="4" w:space="0"/>
                    <w:right w:val="nil"/>
                  </w:tcBorders>
                  <w:noWrap w:val="0"/>
                  <w:vAlign w:val="center"/>
                </w:tcPr>
                <w:p w14:paraId="57ABF811">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nil"/>
                  </w:tcBorders>
                  <w:noWrap w:val="0"/>
                  <w:vAlign w:val="center"/>
                </w:tcPr>
                <w:p w14:paraId="2F9052CF">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single" w:color="auto" w:sz="4" w:space="0"/>
                  </w:tcBorders>
                  <w:noWrap w:val="0"/>
                  <w:vAlign w:val="center"/>
                </w:tcPr>
                <w:p w14:paraId="33747DCF">
                  <w:pPr>
                    <w:pStyle w:val="31"/>
                    <w:bidi w:val="0"/>
                    <w:jc w:val="center"/>
                    <w:rPr>
                      <w:rFonts w:hint="default" w:ascii="Times New Roman" w:hAnsi="Times New Roman" w:cs="Times New Roman"/>
                      <w:b/>
                      <w:bCs/>
                      <w:color w:val="000000"/>
                      <w:highlight w:val="none"/>
                      <w:lang w:val="en-US" w:eastAsia="zh-CN"/>
                    </w:rPr>
                  </w:pPr>
                </w:p>
              </w:tc>
              <w:tc>
                <w:tcPr>
                  <w:tcW w:w="119" w:type="pct"/>
                  <w:tcBorders>
                    <w:top w:val="single" w:color="auto" w:sz="4" w:space="0"/>
                    <w:left w:val="single" w:color="auto" w:sz="4" w:space="0"/>
                    <w:bottom w:val="single" w:color="auto" w:sz="4" w:space="0"/>
                    <w:right w:val="nil"/>
                  </w:tcBorders>
                  <w:noWrap w:val="0"/>
                  <w:vAlign w:val="center"/>
                </w:tcPr>
                <w:p w14:paraId="5F505983">
                  <w:pPr>
                    <w:pStyle w:val="31"/>
                    <w:bidi w:val="0"/>
                    <w:jc w:val="center"/>
                    <w:rPr>
                      <w:rFonts w:hint="default" w:ascii="Times New Roman" w:hAnsi="Times New Roman" w:cs="Times New Roman"/>
                      <w:b/>
                      <w:bCs/>
                      <w:color w:val="000000"/>
                      <w:highlight w:val="none"/>
                      <w:lang w:val="en-US" w:eastAsia="zh-CN"/>
                    </w:rPr>
                  </w:pPr>
                </w:p>
              </w:tc>
              <w:tc>
                <w:tcPr>
                  <w:tcW w:w="122" w:type="pct"/>
                  <w:tcBorders>
                    <w:top w:val="single" w:color="auto" w:sz="4" w:space="0"/>
                    <w:left w:val="nil"/>
                    <w:bottom w:val="single" w:color="auto" w:sz="4" w:space="0"/>
                    <w:right w:val="nil"/>
                  </w:tcBorders>
                  <w:noWrap w:val="0"/>
                  <w:vAlign w:val="center"/>
                </w:tcPr>
                <w:p w14:paraId="5DA38197">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single" w:color="auto" w:sz="4" w:space="0"/>
                  </w:tcBorders>
                  <w:noWrap w:val="0"/>
                  <w:vAlign w:val="center"/>
                </w:tcPr>
                <w:p w14:paraId="4B35E778">
                  <w:pPr>
                    <w:pStyle w:val="31"/>
                    <w:bidi w:val="0"/>
                    <w:jc w:val="center"/>
                    <w:rPr>
                      <w:rFonts w:hint="default" w:ascii="Times New Roman" w:hAnsi="Times New Roman" w:cs="Times New Roman"/>
                      <w:b/>
                      <w:bCs/>
                      <w:color w:val="000000"/>
                      <w:highlight w:val="none"/>
                      <w:lang w:val="en-US" w:eastAsia="zh-CN"/>
                    </w:rPr>
                  </w:pPr>
                </w:p>
              </w:tc>
              <w:tc>
                <w:tcPr>
                  <w:tcW w:w="119" w:type="pct"/>
                  <w:tcBorders>
                    <w:top w:val="single" w:color="auto" w:sz="4" w:space="0"/>
                    <w:left w:val="single" w:color="auto" w:sz="4" w:space="0"/>
                    <w:bottom w:val="single" w:color="auto" w:sz="4" w:space="0"/>
                    <w:right w:val="nil"/>
                  </w:tcBorders>
                  <w:noWrap w:val="0"/>
                  <w:vAlign w:val="center"/>
                </w:tcPr>
                <w:p w14:paraId="204881A0">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nil"/>
                  </w:tcBorders>
                  <w:noWrap w:val="0"/>
                  <w:vAlign w:val="center"/>
                </w:tcPr>
                <w:p w14:paraId="3343EC81">
                  <w:pPr>
                    <w:pStyle w:val="31"/>
                    <w:bidi w:val="0"/>
                    <w:jc w:val="center"/>
                    <w:rPr>
                      <w:rFonts w:hint="default" w:ascii="Times New Roman" w:hAnsi="Times New Roman" w:cs="Times New Roman"/>
                      <w:b/>
                      <w:bCs/>
                      <w:color w:val="000000"/>
                      <w:highlight w:val="none"/>
                      <w:lang w:val="en-US" w:eastAsia="zh-CN"/>
                    </w:rPr>
                  </w:pPr>
                </w:p>
              </w:tc>
              <w:tc>
                <w:tcPr>
                  <w:tcW w:w="123" w:type="pct"/>
                  <w:tcBorders>
                    <w:top w:val="single" w:color="auto" w:sz="4" w:space="0"/>
                    <w:left w:val="nil"/>
                    <w:bottom w:val="single" w:color="auto" w:sz="4" w:space="0"/>
                    <w:right w:val="single" w:color="auto" w:sz="4" w:space="0"/>
                  </w:tcBorders>
                  <w:shd w:val="clear" w:color="auto" w:fill="BEBEBE" w:themeFill="background1" w:themeFillShade="BF"/>
                  <w:noWrap w:val="0"/>
                  <w:vAlign w:val="center"/>
                </w:tcPr>
                <w:p w14:paraId="24B23E9A">
                  <w:pPr>
                    <w:pStyle w:val="31"/>
                    <w:bidi w:val="0"/>
                    <w:jc w:val="center"/>
                    <w:rPr>
                      <w:rFonts w:hint="default" w:ascii="Times New Roman" w:hAnsi="Times New Roman" w:cs="Times New Roman"/>
                      <w:b/>
                      <w:bCs/>
                      <w:color w:val="000000"/>
                      <w:highlight w:val="none"/>
                      <w:lang w:val="en-US" w:eastAsia="zh-CN"/>
                    </w:rPr>
                  </w:pPr>
                </w:p>
              </w:tc>
              <w:tc>
                <w:tcPr>
                  <w:tcW w:w="119" w:type="pct"/>
                  <w:tcBorders>
                    <w:top w:val="single" w:color="auto" w:sz="4" w:space="0"/>
                    <w:left w:val="single" w:color="auto" w:sz="4" w:space="0"/>
                    <w:bottom w:val="single" w:color="auto" w:sz="4" w:space="0"/>
                    <w:right w:val="nil"/>
                  </w:tcBorders>
                  <w:shd w:val="clear" w:color="auto" w:fill="BEBEBE" w:themeFill="background1" w:themeFillShade="BF"/>
                  <w:noWrap w:val="0"/>
                  <w:vAlign w:val="center"/>
                </w:tcPr>
                <w:p w14:paraId="438B81CA">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nil"/>
                  </w:tcBorders>
                  <w:shd w:val="clear" w:color="auto" w:fill="BEBEBE" w:themeFill="background1" w:themeFillShade="BF"/>
                  <w:noWrap w:val="0"/>
                  <w:vAlign w:val="center"/>
                </w:tcPr>
                <w:p w14:paraId="6B4B536B">
                  <w:pPr>
                    <w:pStyle w:val="31"/>
                    <w:bidi w:val="0"/>
                    <w:jc w:val="center"/>
                    <w:rPr>
                      <w:rFonts w:hint="default" w:ascii="Times New Roman" w:hAnsi="Times New Roman" w:cs="Times New Roman"/>
                      <w:b/>
                      <w:bCs/>
                      <w:color w:val="000000"/>
                      <w:highlight w:val="none"/>
                      <w:lang w:val="en-US" w:eastAsia="zh-CN"/>
                    </w:rPr>
                  </w:pPr>
                </w:p>
              </w:tc>
              <w:tc>
                <w:tcPr>
                  <w:tcW w:w="125" w:type="pct"/>
                  <w:tcBorders>
                    <w:top w:val="single" w:color="auto" w:sz="4" w:space="0"/>
                    <w:left w:val="nil"/>
                    <w:bottom w:val="single" w:color="auto" w:sz="4" w:space="0"/>
                    <w:right w:val="single" w:color="auto" w:sz="4" w:space="0"/>
                  </w:tcBorders>
                  <w:shd w:val="clear" w:color="auto" w:fill="BEBEBE" w:themeFill="background1" w:themeFillShade="BF"/>
                  <w:noWrap w:val="0"/>
                  <w:vAlign w:val="center"/>
                </w:tcPr>
                <w:p w14:paraId="67FD72B4">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single" w:color="auto" w:sz="4" w:space="0"/>
                    <w:bottom w:val="single" w:color="auto" w:sz="4" w:space="0"/>
                    <w:right w:val="nil"/>
                  </w:tcBorders>
                  <w:shd w:val="clear" w:color="auto" w:fill="BEBEBE" w:themeFill="background1" w:themeFillShade="BF"/>
                  <w:noWrap w:val="0"/>
                  <w:vAlign w:val="center"/>
                </w:tcPr>
                <w:p w14:paraId="2A5A91E8">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nil"/>
                  </w:tcBorders>
                  <w:shd w:val="clear" w:color="auto" w:fill="BEBEBE" w:themeFill="background1" w:themeFillShade="BF"/>
                  <w:noWrap w:val="0"/>
                  <w:vAlign w:val="center"/>
                </w:tcPr>
                <w:p w14:paraId="03124752">
                  <w:pPr>
                    <w:pStyle w:val="31"/>
                    <w:bidi w:val="0"/>
                    <w:jc w:val="center"/>
                    <w:rPr>
                      <w:rFonts w:hint="default" w:ascii="Times New Roman" w:hAnsi="Times New Roman" w:cs="Times New Roman"/>
                      <w:b/>
                      <w:bCs/>
                      <w:color w:val="000000"/>
                      <w:highlight w:val="none"/>
                      <w:lang w:val="en-US" w:eastAsia="zh-CN"/>
                    </w:rPr>
                  </w:pPr>
                </w:p>
              </w:tc>
              <w:tc>
                <w:tcPr>
                  <w:tcW w:w="126" w:type="pct"/>
                  <w:tcBorders>
                    <w:top w:val="single" w:color="auto" w:sz="4" w:space="0"/>
                    <w:left w:val="nil"/>
                    <w:bottom w:val="single" w:color="auto" w:sz="4" w:space="0"/>
                    <w:right w:val="single" w:color="auto" w:sz="4" w:space="0"/>
                  </w:tcBorders>
                  <w:shd w:val="clear" w:color="auto" w:fill="BEBEBE" w:themeFill="background1" w:themeFillShade="BF"/>
                  <w:noWrap w:val="0"/>
                  <w:vAlign w:val="center"/>
                </w:tcPr>
                <w:p w14:paraId="5706B059">
                  <w:pPr>
                    <w:pStyle w:val="31"/>
                    <w:bidi w:val="0"/>
                    <w:jc w:val="center"/>
                    <w:rPr>
                      <w:rFonts w:hint="default" w:ascii="Times New Roman" w:hAnsi="Times New Roman" w:cs="Times New Roman"/>
                      <w:b/>
                      <w:bCs/>
                      <w:color w:val="000000"/>
                      <w:highlight w:val="none"/>
                      <w:lang w:val="en-US" w:eastAsia="zh-CN"/>
                    </w:rPr>
                  </w:pPr>
                </w:p>
              </w:tc>
              <w:tc>
                <w:tcPr>
                  <w:tcW w:w="119" w:type="pct"/>
                  <w:tcBorders>
                    <w:top w:val="single" w:color="auto" w:sz="4" w:space="0"/>
                    <w:left w:val="single" w:color="auto" w:sz="4" w:space="0"/>
                    <w:bottom w:val="single" w:color="auto" w:sz="4" w:space="0"/>
                    <w:right w:val="nil"/>
                  </w:tcBorders>
                  <w:shd w:val="clear" w:color="auto" w:fill="BEBEBE" w:themeFill="background1" w:themeFillShade="BF"/>
                  <w:noWrap w:val="0"/>
                  <w:vAlign w:val="center"/>
                </w:tcPr>
                <w:p w14:paraId="2B97B85B">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nil"/>
                  </w:tcBorders>
                  <w:shd w:val="clear" w:color="auto" w:fill="BEBEBE" w:themeFill="background1" w:themeFillShade="BF"/>
                  <w:noWrap w:val="0"/>
                  <w:vAlign w:val="center"/>
                </w:tcPr>
                <w:p w14:paraId="02A7F150">
                  <w:pPr>
                    <w:pStyle w:val="31"/>
                    <w:bidi w:val="0"/>
                    <w:jc w:val="center"/>
                    <w:rPr>
                      <w:rFonts w:hint="default" w:ascii="Times New Roman" w:hAnsi="Times New Roman" w:cs="Times New Roman"/>
                      <w:b/>
                      <w:bCs/>
                      <w:color w:val="000000"/>
                      <w:highlight w:val="none"/>
                      <w:lang w:val="en-US" w:eastAsia="zh-CN"/>
                    </w:rPr>
                  </w:pPr>
                </w:p>
              </w:tc>
              <w:tc>
                <w:tcPr>
                  <w:tcW w:w="128" w:type="pct"/>
                  <w:tcBorders>
                    <w:top w:val="single" w:color="auto" w:sz="4" w:space="0"/>
                    <w:left w:val="nil"/>
                    <w:bottom w:val="single" w:color="auto" w:sz="4" w:space="0"/>
                    <w:right w:val="single" w:color="auto" w:sz="4" w:space="0"/>
                  </w:tcBorders>
                  <w:shd w:val="clear" w:color="auto" w:fill="BEBEBE" w:themeFill="background1" w:themeFillShade="BF"/>
                  <w:noWrap w:val="0"/>
                  <w:vAlign w:val="center"/>
                </w:tcPr>
                <w:p w14:paraId="3B946F3A">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single" w:color="auto" w:sz="4" w:space="0"/>
                    <w:bottom w:val="single" w:color="auto" w:sz="4" w:space="0"/>
                    <w:right w:val="nil"/>
                  </w:tcBorders>
                  <w:shd w:val="clear" w:color="auto" w:fill="BEBEBE" w:themeFill="background1" w:themeFillShade="BF"/>
                  <w:noWrap w:val="0"/>
                  <w:vAlign w:val="center"/>
                </w:tcPr>
                <w:p w14:paraId="3679F7EA">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nil"/>
                  </w:tcBorders>
                  <w:noWrap w:val="0"/>
                  <w:vAlign w:val="center"/>
                </w:tcPr>
                <w:p w14:paraId="50233EB3">
                  <w:pPr>
                    <w:pStyle w:val="31"/>
                    <w:bidi w:val="0"/>
                    <w:jc w:val="center"/>
                    <w:rPr>
                      <w:rFonts w:hint="default" w:ascii="Times New Roman" w:hAnsi="Times New Roman" w:cs="Times New Roman"/>
                      <w:b/>
                      <w:bCs/>
                      <w:color w:val="000000"/>
                      <w:highlight w:val="none"/>
                      <w:lang w:val="en-US" w:eastAsia="zh-CN"/>
                    </w:rPr>
                  </w:pPr>
                </w:p>
              </w:tc>
              <w:tc>
                <w:tcPr>
                  <w:tcW w:w="135" w:type="pct"/>
                  <w:tcBorders>
                    <w:top w:val="single" w:color="auto" w:sz="4" w:space="0"/>
                    <w:left w:val="nil"/>
                    <w:bottom w:val="single" w:color="auto" w:sz="4" w:space="0"/>
                    <w:right w:val="single" w:color="auto" w:sz="4" w:space="0"/>
                  </w:tcBorders>
                  <w:noWrap w:val="0"/>
                  <w:vAlign w:val="center"/>
                </w:tcPr>
                <w:p w14:paraId="22CFB755">
                  <w:pPr>
                    <w:pStyle w:val="31"/>
                    <w:bidi w:val="0"/>
                    <w:jc w:val="center"/>
                    <w:rPr>
                      <w:rFonts w:hint="default" w:ascii="Times New Roman" w:hAnsi="Times New Roman" w:cs="Times New Roman"/>
                      <w:b/>
                      <w:bCs/>
                      <w:color w:val="000000"/>
                      <w:highlight w:val="none"/>
                      <w:lang w:val="en-US" w:eastAsia="zh-CN"/>
                    </w:rPr>
                  </w:pPr>
                </w:p>
              </w:tc>
            </w:tr>
            <w:tr w14:paraId="760A41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656" w:type="pct"/>
                  <w:tcBorders>
                    <w:right w:val="single" w:color="auto" w:sz="4" w:space="0"/>
                  </w:tcBorders>
                  <w:noWrap w:val="0"/>
                  <w:vAlign w:val="center"/>
                </w:tcPr>
                <w:p w14:paraId="487DCFA0">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竣工验收</w:t>
                  </w:r>
                </w:p>
              </w:tc>
              <w:tc>
                <w:tcPr>
                  <w:tcW w:w="114" w:type="pct"/>
                  <w:tcBorders>
                    <w:top w:val="single" w:color="auto" w:sz="4" w:space="0"/>
                    <w:left w:val="single" w:color="auto" w:sz="4" w:space="0"/>
                    <w:bottom w:val="single" w:color="auto" w:sz="4" w:space="0"/>
                    <w:right w:val="nil"/>
                  </w:tcBorders>
                  <w:noWrap w:val="0"/>
                  <w:vAlign w:val="center"/>
                </w:tcPr>
                <w:p w14:paraId="46465FD8">
                  <w:pPr>
                    <w:pStyle w:val="31"/>
                    <w:bidi w:val="0"/>
                    <w:jc w:val="center"/>
                    <w:rPr>
                      <w:rFonts w:hint="default" w:ascii="Times New Roman" w:hAnsi="Times New Roman" w:cs="Times New Roman"/>
                      <w:b/>
                      <w:bCs/>
                      <w:color w:val="000000"/>
                      <w:highlight w:val="none"/>
                      <w:lang w:val="en-US" w:eastAsia="zh-CN"/>
                    </w:rPr>
                  </w:pPr>
                </w:p>
              </w:tc>
              <w:tc>
                <w:tcPr>
                  <w:tcW w:w="114" w:type="pct"/>
                  <w:tcBorders>
                    <w:top w:val="single" w:color="auto" w:sz="4" w:space="0"/>
                    <w:left w:val="nil"/>
                    <w:bottom w:val="single" w:color="auto" w:sz="4" w:space="0"/>
                    <w:right w:val="nil"/>
                  </w:tcBorders>
                  <w:noWrap w:val="0"/>
                  <w:vAlign w:val="center"/>
                </w:tcPr>
                <w:p w14:paraId="41EB9CBD">
                  <w:pPr>
                    <w:pStyle w:val="31"/>
                    <w:bidi w:val="0"/>
                    <w:jc w:val="center"/>
                    <w:rPr>
                      <w:rFonts w:hint="default" w:ascii="Times New Roman" w:hAnsi="Times New Roman" w:cs="Times New Roman"/>
                      <w:b/>
                      <w:bCs/>
                      <w:color w:val="000000"/>
                      <w:highlight w:val="none"/>
                      <w:lang w:val="en-US" w:eastAsia="zh-CN"/>
                    </w:rPr>
                  </w:pPr>
                </w:p>
              </w:tc>
              <w:tc>
                <w:tcPr>
                  <w:tcW w:w="116" w:type="pct"/>
                  <w:tcBorders>
                    <w:top w:val="single" w:color="auto" w:sz="4" w:space="0"/>
                    <w:left w:val="nil"/>
                    <w:bottom w:val="single" w:color="auto" w:sz="4" w:space="0"/>
                    <w:right w:val="single" w:color="auto" w:sz="4" w:space="0"/>
                  </w:tcBorders>
                  <w:noWrap w:val="0"/>
                  <w:vAlign w:val="center"/>
                </w:tcPr>
                <w:p w14:paraId="0548676C">
                  <w:pPr>
                    <w:pStyle w:val="31"/>
                    <w:bidi w:val="0"/>
                    <w:jc w:val="center"/>
                    <w:rPr>
                      <w:rFonts w:hint="default" w:ascii="Times New Roman" w:hAnsi="Times New Roman" w:cs="Times New Roman"/>
                      <w:b/>
                      <w:bCs/>
                      <w:color w:val="000000"/>
                      <w:highlight w:val="none"/>
                      <w:lang w:val="en-US" w:eastAsia="zh-CN"/>
                    </w:rPr>
                  </w:pPr>
                </w:p>
              </w:tc>
              <w:tc>
                <w:tcPr>
                  <w:tcW w:w="117" w:type="pct"/>
                  <w:tcBorders>
                    <w:top w:val="single" w:color="auto" w:sz="4" w:space="0"/>
                    <w:left w:val="single" w:color="auto" w:sz="4" w:space="0"/>
                    <w:bottom w:val="single" w:color="auto" w:sz="4" w:space="0"/>
                    <w:right w:val="nil"/>
                  </w:tcBorders>
                  <w:noWrap w:val="0"/>
                  <w:vAlign w:val="center"/>
                </w:tcPr>
                <w:p w14:paraId="3FF9A901">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nil"/>
                  </w:tcBorders>
                  <w:noWrap w:val="0"/>
                  <w:vAlign w:val="center"/>
                </w:tcPr>
                <w:p w14:paraId="15292BD1">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single" w:color="auto" w:sz="4" w:space="0"/>
                  </w:tcBorders>
                  <w:noWrap w:val="0"/>
                  <w:vAlign w:val="center"/>
                </w:tcPr>
                <w:p w14:paraId="068B5828">
                  <w:pPr>
                    <w:pStyle w:val="31"/>
                    <w:bidi w:val="0"/>
                    <w:jc w:val="center"/>
                    <w:rPr>
                      <w:rFonts w:hint="default" w:ascii="Times New Roman" w:hAnsi="Times New Roman" w:cs="Times New Roman"/>
                      <w:b/>
                      <w:bCs/>
                      <w:color w:val="000000"/>
                      <w:highlight w:val="none"/>
                      <w:lang w:val="en-US" w:eastAsia="zh-CN"/>
                    </w:rPr>
                  </w:pPr>
                </w:p>
              </w:tc>
              <w:tc>
                <w:tcPr>
                  <w:tcW w:w="119" w:type="pct"/>
                  <w:tcBorders>
                    <w:top w:val="single" w:color="auto" w:sz="4" w:space="0"/>
                    <w:left w:val="single" w:color="auto" w:sz="4" w:space="0"/>
                    <w:bottom w:val="single" w:color="auto" w:sz="4" w:space="0"/>
                    <w:right w:val="nil"/>
                  </w:tcBorders>
                  <w:noWrap w:val="0"/>
                  <w:vAlign w:val="center"/>
                </w:tcPr>
                <w:p w14:paraId="4E914007">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nil"/>
                  </w:tcBorders>
                  <w:noWrap w:val="0"/>
                  <w:vAlign w:val="center"/>
                </w:tcPr>
                <w:p w14:paraId="7E0B8508">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single" w:color="auto" w:sz="4" w:space="0"/>
                  </w:tcBorders>
                  <w:noWrap w:val="0"/>
                  <w:vAlign w:val="center"/>
                </w:tcPr>
                <w:p w14:paraId="2A088EB4">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single" w:color="auto" w:sz="4" w:space="0"/>
                    <w:bottom w:val="single" w:color="auto" w:sz="4" w:space="0"/>
                    <w:right w:val="nil"/>
                  </w:tcBorders>
                  <w:noWrap w:val="0"/>
                  <w:vAlign w:val="center"/>
                </w:tcPr>
                <w:p w14:paraId="2C1A7CB3">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nil"/>
                  </w:tcBorders>
                  <w:noWrap w:val="0"/>
                  <w:vAlign w:val="center"/>
                </w:tcPr>
                <w:p w14:paraId="631FA00C">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single" w:color="auto" w:sz="4" w:space="0"/>
                  </w:tcBorders>
                  <w:noWrap w:val="0"/>
                  <w:vAlign w:val="center"/>
                </w:tcPr>
                <w:p w14:paraId="3FD25A69">
                  <w:pPr>
                    <w:pStyle w:val="31"/>
                    <w:bidi w:val="0"/>
                    <w:jc w:val="center"/>
                    <w:rPr>
                      <w:rFonts w:hint="default" w:ascii="Times New Roman" w:hAnsi="Times New Roman" w:cs="Times New Roman"/>
                      <w:b/>
                      <w:bCs/>
                      <w:color w:val="000000"/>
                      <w:highlight w:val="none"/>
                      <w:lang w:val="en-US" w:eastAsia="zh-CN"/>
                    </w:rPr>
                  </w:pPr>
                </w:p>
              </w:tc>
              <w:tc>
                <w:tcPr>
                  <w:tcW w:w="119" w:type="pct"/>
                  <w:tcBorders>
                    <w:top w:val="single" w:color="auto" w:sz="4" w:space="0"/>
                    <w:left w:val="single" w:color="auto" w:sz="4" w:space="0"/>
                    <w:bottom w:val="single" w:color="auto" w:sz="4" w:space="0"/>
                    <w:right w:val="nil"/>
                  </w:tcBorders>
                  <w:noWrap w:val="0"/>
                  <w:vAlign w:val="center"/>
                </w:tcPr>
                <w:p w14:paraId="2EF98C31">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nil"/>
                  </w:tcBorders>
                  <w:noWrap w:val="0"/>
                  <w:vAlign w:val="center"/>
                </w:tcPr>
                <w:p w14:paraId="1D23ABB8">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single" w:color="auto" w:sz="4" w:space="0"/>
                  </w:tcBorders>
                  <w:noWrap w:val="0"/>
                  <w:vAlign w:val="center"/>
                </w:tcPr>
                <w:p w14:paraId="34110181">
                  <w:pPr>
                    <w:pStyle w:val="31"/>
                    <w:bidi w:val="0"/>
                    <w:jc w:val="center"/>
                    <w:rPr>
                      <w:rFonts w:hint="default" w:ascii="Times New Roman" w:hAnsi="Times New Roman" w:cs="Times New Roman"/>
                      <w:b/>
                      <w:bCs/>
                      <w:color w:val="000000"/>
                      <w:highlight w:val="none"/>
                      <w:lang w:val="en-US" w:eastAsia="zh-CN"/>
                    </w:rPr>
                  </w:pPr>
                </w:p>
              </w:tc>
              <w:tc>
                <w:tcPr>
                  <w:tcW w:w="119" w:type="pct"/>
                  <w:tcBorders>
                    <w:top w:val="single" w:color="auto" w:sz="4" w:space="0"/>
                    <w:left w:val="single" w:color="auto" w:sz="4" w:space="0"/>
                    <w:bottom w:val="single" w:color="auto" w:sz="4" w:space="0"/>
                    <w:right w:val="nil"/>
                  </w:tcBorders>
                  <w:noWrap w:val="0"/>
                  <w:vAlign w:val="center"/>
                </w:tcPr>
                <w:p w14:paraId="60D590C6">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nil"/>
                  </w:tcBorders>
                  <w:noWrap w:val="0"/>
                  <w:vAlign w:val="center"/>
                </w:tcPr>
                <w:p w14:paraId="5E53D7BB">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single" w:color="auto" w:sz="4" w:space="0"/>
                  </w:tcBorders>
                  <w:noWrap w:val="0"/>
                  <w:vAlign w:val="center"/>
                </w:tcPr>
                <w:p w14:paraId="10335176">
                  <w:pPr>
                    <w:pStyle w:val="31"/>
                    <w:bidi w:val="0"/>
                    <w:jc w:val="center"/>
                    <w:rPr>
                      <w:rFonts w:hint="default" w:ascii="Times New Roman" w:hAnsi="Times New Roman" w:cs="Times New Roman"/>
                      <w:b/>
                      <w:bCs/>
                      <w:color w:val="000000"/>
                      <w:highlight w:val="none"/>
                      <w:lang w:val="en-US" w:eastAsia="zh-CN"/>
                    </w:rPr>
                  </w:pPr>
                </w:p>
              </w:tc>
              <w:tc>
                <w:tcPr>
                  <w:tcW w:w="119" w:type="pct"/>
                  <w:tcBorders>
                    <w:top w:val="single" w:color="auto" w:sz="4" w:space="0"/>
                    <w:left w:val="single" w:color="auto" w:sz="4" w:space="0"/>
                    <w:bottom w:val="single" w:color="auto" w:sz="4" w:space="0"/>
                    <w:right w:val="nil"/>
                  </w:tcBorders>
                  <w:noWrap w:val="0"/>
                  <w:vAlign w:val="center"/>
                </w:tcPr>
                <w:p w14:paraId="7AA75463">
                  <w:pPr>
                    <w:pStyle w:val="31"/>
                    <w:bidi w:val="0"/>
                    <w:jc w:val="center"/>
                    <w:rPr>
                      <w:rFonts w:hint="default" w:ascii="Times New Roman" w:hAnsi="Times New Roman" w:cs="Times New Roman"/>
                      <w:b/>
                      <w:bCs/>
                      <w:color w:val="000000"/>
                      <w:highlight w:val="none"/>
                      <w:lang w:val="en-US" w:eastAsia="zh-CN"/>
                    </w:rPr>
                  </w:pPr>
                </w:p>
              </w:tc>
              <w:tc>
                <w:tcPr>
                  <w:tcW w:w="122" w:type="pct"/>
                  <w:tcBorders>
                    <w:top w:val="single" w:color="auto" w:sz="4" w:space="0"/>
                    <w:left w:val="nil"/>
                    <w:bottom w:val="single" w:color="auto" w:sz="4" w:space="0"/>
                    <w:right w:val="nil"/>
                  </w:tcBorders>
                  <w:noWrap w:val="0"/>
                  <w:vAlign w:val="center"/>
                </w:tcPr>
                <w:p w14:paraId="1B9072BD">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single" w:color="auto" w:sz="4" w:space="0"/>
                  </w:tcBorders>
                  <w:noWrap w:val="0"/>
                  <w:vAlign w:val="center"/>
                </w:tcPr>
                <w:p w14:paraId="7AE5B612">
                  <w:pPr>
                    <w:pStyle w:val="31"/>
                    <w:bidi w:val="0"/>
                    <w:jc w:val="center"/>
                    <w:rPr>
                      <w:rFonts w:hint="default" w:ascii="Times New Roman" w:hAnsi="Times New Roman" w:cs="Times New Roman"/>
                      <w:b/>
                      <w:bCs/>
                      <w:color w:val="000000"/>
                      <w:highlight w:val="none"/>
                      <w:lang w:val="en-US" w:eastAsia="zh-CN"/>
                    </w:rPr>
                  </w:pPr>
                </w:p>
              </w:tc>
              <w:tc>
                <w:tcPr>
                  <w:tcW w:w="119" w:type="pct"/>
                  <w:tcBorders>
                    <w:top w:val="single" w:color="auto" w:sz="4" w:space="0"/>
                    <w:left w:val="single" w:color="auto" w:sz="4" w:space="0"/>
                    <w:bottom w:val="single" w:color="auto" w:sz="4" w:space="0"/>
                    <w:right w:val="nil"/>
                  </w:tcBorders>
                  <w:noWrap w:val="0"/>
                  <w:vAlign w:val="center"/>
                </w:tcPr>
                <w:p w14:paraId="71CFDD00">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nil"/>
                  </w:tcBorders>
                  <w:noWrap w:val="0"/>
                  <w:vAlign w:val="center"/>
                </w:tcPr>
                <w:p w14:paraId="23FE4A20">
                  <w:pPr>
                    <w:pStyle w:val="31"/>
                    <w:bidi w:val="0"/>
                    <w:jc w:val="center"/>
                    <w:rPr>
                      <w:rFonts w:hint="default" w:ascii="Times New Roman" w:hAnsi="Times New Roman" w:cs="Times New Roman"/>
                      <w:b/>
                      <w:bCs/>
                      <w:color w:val="000000"/>
                      <w:highlight w:val="none"/>
                      <w:lang w:val="en-US" w:eastAsia="zh-CN"/>
                    </w:rPr>
                  </w:pPr>
                </w:p>
              </w:tc>
              <w:tc>
                <w:tcPr>
                  <w:tcW w:w="123" w:type="pct"/>
                  <w:tcBorders>
                    <w:top w:val="single" w:color="auto" w:sz="4" w:space="0"/>
                    <w:left w:val="nil"/>
                    <w:bottom w:val="single" w:color="auto" w:sz="4" w:space="0"/>
                    <w:right w:val="single" w:color="auto" w:sz="4" w:space="0"/>
                  </w:tcBorders>
                  <w:noWrap w:val="0"/>
                  <w:vAlign w:val="center"/>
                </w:tcPr>
                <w:p w14:paraId="0BA9CE4C">
                  <w:pPr>
                    <w:pStyle w:val="31"/>
                    <w:bidi w:val="0"/>
                    <w:jc w:val="center"/>
                    <w:rPr>
                      <w:rFonts w:hint="default" w:ascii="Times New Roman" w:hAnsi="Times New Roman" w:cs="Times New Roman"/>
                      <w:b/>
                      <w:bCs/>
                      <w:color w:val="000000"/>
                      <w:highlight w:val="none"/>
                      <w:lang w:val="en-US" w:eastAsia="zh-CN"/>
                    </w:rPr>
                  </w:pPr>
                </w:p>
              </w:tc>
              <w:tc>
                <w:tcPr>
                  <w:tcW w:w="119" w:type="pct"/>
                  <w:tcBorders>
                    <w:top w:val="single" w:color="auto" w:sz="4" w:space="0"/>
                    <w:left w:val="single" w:color="auto" w:sz="4" w:space="0"/>
                    <w:bottom w:val="single" w:color="auto" w:sz="4" w:space="0"/>
                    <w:right w:val="nil"/>
                  </w:tcBorders>
                  <w:noWrap w:val="0"/>
                  <w:vAlign w:val="center"/>
                </w:tcPr>
                <w:p w14:paraId="5919D708">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nil"/>
                  </w:tcBorders>
                  <w:noWrap w:val="0"/>
                  <w:vAlign w:val="center"/>
                </w:tcPr>
                <w:p w14:paraId="53FAF644">
                  <w:pPr>
                    <w:pStyle w:val="31"/>
                    <w:bidi w:val="0"/>
                    <w:jc w:val="center"/>
                    <w:rPr>
                      <w:rFonts w:hint="default" w:ascii="Times New Roman" w:hAnsi="Times New Roman" w:cs="Times New Roman"/>
                      <w:b/>
                      <w:bCs/>
                      <w:color w:val="000000"/>
                      <w:highlight w:val="none"/>
                      <w:lang w:val="en-US" w:eastAsia="zh-CN"/>
                    </w:rPr>
                  </w:pPr>
                </w:p>
              </w:tc>
              <w:tc>
                <w:tcPr>
                  <w:tcW w:w="125" w:type="pct"/>
                  <w:tcBorders>
                    <w:top w:val="single" w:color="auto" w:sz="4" w:space="0"/>
                    <w:left w:val="nil"/>
                    <w:bottom w:val="single" w:color="auto" w:sz="4" w:space="0"/>
                    <w:right w:val="single" w:color="auto" w:sz="4" w:space="0"/>
                  </w:tcBorders>
                  <w:noWrap w:val="0"/>
                  <w:vAlign w:val="center"/>
                </w:tcPr>
                <w:p w14:paraId="6C253986">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single" w:color="auto" w:sz="4" w:space="0"/>
                    <w:bottom w:val="single" w:color="auto" w:sz="4" w:space="0"/>
                    <w:right w:val="nil"/>
                  </w:tcBorders>
                  <w:noWrap w:val="0"/>
                  <w:vAlign w:val="center"/>
                </w:tcPr>
                <w:p w14:paraId="1D0DDAB8">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nil"/>
                  </w:tcBorders>
                  <w:noWrap w:val="0"/>
                  <w:vAlign w:val="center"/>
                </w:tcPr>
                <w:p w14:paraId="0DB6DC3B">
                  <w:pPr>
                    <w:pStyle w:val="31"/>
                    <w:bidi w:val="0"/>
                    <w:jc w:val="center"/>
                    <w:rPr>
                      <w:rFonts w:hint="default" w:ascii="Times New Roman" w:hAnsi="Times New Roman" w:cs="Times New Roman"/>
                      <w:b/>
                      <w:bCs/>
                      <w:color w:val="000000"/>
                      <w:highlight w:val="none"/>
                      <w:lang w:val="en-US" w:eastAsia="zh-CN"/>
                    </w:rPr>
                  </w:pPr>
                </w:p>
              </w:tc>
              <w:tc>
                <w:tcPr>
                  <w:tcW w:w="126" w:type="pct"/>
                  <w:tcBorders>
                    <w:top w:val="single" w:color="auto" w:sz="4" w:space="0"/>
                    <w:left w:val="nil"/>
                    <w:bottom w:val="single" w:color="auto" w:sz="4" w:space="0"/>
                    <w:right w:val="single" w:color="auto" w:sz="4" w:space="0"/>
                  </w:tcBorders>
                  <w:noWrap w:val="0"/>
                  <w:vAlign w:val="center"/>
                </w:tcPr>
                <w:p w14:paraId="40828E8A">
                  <w:pPr>
                    <w:pStyle w:val="31"/>
                    <w:bidi w:val="0"/>
                    <w:jc w:val="center"/>
                    <w:rPr>
                      <w:rFonts w:hint="default" w:ascii="Times New Roman" w:hAnsi="Times New Roman" w:cs="Times New Roman"/>
                      <w:b/>
                      <w:bCs/>
                      <w:color w:val="000000"/>
                      <w:highlight w:val="none"/>
                      <w:lang w:val="en-US" w:eastAsia="zh-CN"/>
                    </w:rPr>
                  </w:pPr>
                </w:p>
              </w:tc>
              <w:tc>
                <w:tcPr>
                  <w:tcW w:w="119" w:type="pct"/>
                  <w:tcBorders>
                    <w:top w:val="single" w:color="auto" w:sz="4" w:space="0"/>
                    <w:left w:val="single" w:color="auto" w:sz="4" w:space="0"/>
                    <w:bottom w:val="single" w:color="auto" w:sz="4" w:space="0"/>
                    <w:right w:val="nil"/>
                  </w:tcBorders>
                  <w:noWrap w:val="0"/>
                  <w:vAlign w:val="center"/>
                </w:tcPr>
                <w:p w14:paraId="00AF7DF3">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nil"/>
                  </w:tcBorders>
                  <w:noWrap w:val="0"/>
                  <w:vAlign w:val="center"/>
                </w:tcPr>
                <w:p w14:paraId="0430F414">
                  <w:pPr>
                    <w:pStyle w:val="31"/>
                    <w:bidi w:val="0"/>
                    <w:jc w:val="center"/>
                    <w:rPr>
                      <w:rFonts w:hint="default" w:ascii="Times New Roman" w:hAnsi="Times New Roman" w:cs="Times New Roman"/>
                      <w:b/>
                      <w:bCs/>
                      <w:color w:val="000000"/>
                      <w:highlight w:val="none"/>
                      <w:lang w:val="en-US" w:eastAsia="zh-CN"/>
                    </w:rPr>
                  </w:pPr>
                </w:p>
              </w:tc>
              <w:tc>
                <w:tcPr>
                  <w:tcW w:w="128" w:type="pct"/>
                  <w:tcBorders>
                    <w:top w:val="single" w:color="auto" w:sz="4" w:space="0"/>
                    <w:left w:val="nil"/>
                    <w:bottom w:val="single" w:color="auto" w:sz="4" w:space="0"/>
                    <w:right w:val="single" w:color="auto" w:sz="4" w:space="0"/>
                  </w:tcBorders>
                  <w:noWrap w:val="0"/>
                  <w:vAlign w:val="center"/>
                </w:tcPr>
                <w:p w14:paraId="0D0BF9FA">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single" w:color="auto" w:sz="4" w:space="0"/>
                    <w:bottom w:val="single" w:color="auto" w:sz="4" w:space="0"/>
                    <w:right w:val="nil"/>
                  </w:tcBorders>
                  <w:noWrap w:val="0"/>
                  <w:vAlign w:val="center"/>
                </w:tcPr>
                <w:p w14:paraId="4A56A656">
                  <w:pPr>
                    <w:pStyle w:val="31"/>
                    <w:bidi w:val="0"/>
                    <w:jc w:val="center"/>
                    <w:rPr>
                      <w:rFonts w:hint="default" w:ascii="Times New Roman" w:hAnsi="Times New Roman" w:cs="Times New Roman"/>
                      <w:b/>
                      <w:bCs/>
                      <w:color w:val="000000"/>
                      <w:highlight w:val="none"/>
                      <w:lang w:val="en-US" w:eastAsia="zh-CN"/>
                    </w:rPr>
                  </w:pPr>
                </w:p>
              </w:tc>
              <w:tc>
                <w:tcPr>
                  <w:tcW w:w="120" w:type="pct"/>
                  <w:tcBorders>
                    <w:top w:val="single" w:color="auto" w:sz="4" w:space="0"/>
                    <w:left w:val="nil"/>
                    <w:bottom w:val="single" w:color="auto" w:sz="4" w:space="0"/>
                    <w:right w:val="nil"/>
                  </w:tcBorders>
                  <w:shd w:val="clear" w:color="auto" w:fill="BEBEBE" w:themeFill="background1" w:themeFillShade="BF"/>
                  <w:noWrap w:val="0"/>
                  <w:vAlign w:val="center"/>
                </w:tcPr>
                <w:p w14:paraId="16E83661">
                  <w:pPr>
                    <w:pStyle w:val="31"/>
                    <w:bidi w:val="0"/>
                    <w:jc w:val="center"/>
                    <w:rPr>
                      <w:rFonts w:hint="default" w:ascii="Times New Roman" w:hAnsi="Times New Roman" w:cs="Times New Roman"/>
                      <w:b/>
                      <w:bCs/>
                      <w:color w:val="000000"/>
                      <w:highlight w:val="none"/>
                      <w:lang w:val="en-US" w:eastAsia="zh-CN"/>
                    </w:rPr>
                  </w:pPr>
                </w:p>
              </w:tc>
              <w:tc>
                <w:tcPr>
                  <w:tcW w:w="135" w:type="pct"/>
                  <w:tcBorders>
                    <w:top w:val="single" w:color="auto" w:sz="4" w:space="0"/>
                    <w:left w:val="nil"/>
                    <w:bottom w:val="single" w:color="auto" w:sz="4" w:space="0"/>
                    <w:right w:val="single" w:color="auto" w:sz="4" w:space="0"/>
                  </w:tcBorders>
                  <w:shd w:val="clear" w:color="auto" w:fill="BEBEBE" w:themeFill="background1" w:themeFillShade="BF"/>
                  <w:noWrap w:val="0"/>
                  <w:vAlign w:val="center"/>
                </w:tcPr>
                <w:p w14:paraId="7B23D76E">
                  <w:pPr>
                    <w:pStyle w:val="31"/>
                    <w:bidi w:val="0"/>
                    <w:jc w:val="center"/>
                    <w:rPr>
                      <w:rFonts w:hint="default" w:ascii="Times New Roman" w:hAnsi="Times New Roman" w:cs="Times New Roman"/>
                      <w:b/>
                      <w:bCs/>
                      <w:color w:val="000000"/>
                      <w:highlight w:val="none"/>
                      <w:lang w:val="en-US" w:eastAsia="zh-CN"/>
                    </w:rPr>
                  </w:pPr>
                </w:p>
              </w:tc>
            </w:tr>
          </w:tbl>
          <w:p w14:paraId="5D54A89F">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jc w:val="left"/>
              <w:textAlignment w:val="auto"/>
              <w:rPr>
                <w:rFonts w:hint="default" w:ascii="Times New Roman" w:hAnsi="Times New Roman" w:cs="Times New Roman"/>
                <w:color w:val="000000"/>
                <w:u w:val="none"/>
                <w:lang w:val="en-US" w:eastAsia="zh-CN"/>
              </w:rPr>
            </w:pPr>
          </w:p>
          <w:p w14:paraId="6529DA60">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jc w:val="left"/>
              <w:textAlignment w:val="auto"/>
              <w:rPr>
                <w:rFonts w:hint="default" w:ascii="Times New Roman" w:hAnsi="Times New Roman" w:cs="Times New Roman"/>
                <w:color w:val="000000"/>
                <w:u w:val="none"/>
                <w:lang w:val="en-US" w:eastAsia="zh-CN"/>
              </w:rPr>
            </w:pPr>
          </w:p>
          <w:p w14:paraId="61C02839">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p>
          <w:p w14:paraId="600E0F1E">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p>
          <w:p w14:paraId="1971C637">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rPr>
            </w:pPr>
          </w:p>
          <w:p w14:paraId="277962C6">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rPr>
            </w:pPr>
          </w:p>
          <w:p w14:paraId="57C638AE">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rPr>
            </w:pPr>
          </w:p>
          <w:p w14:paraId="07B558C2">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rPr>
            </w:pPr>
          </w:p>
          <w:p w14:paraId="14F9B764">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p>
          <w:p w14:paraId="55C25077">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rPr>
            </w:pPr>
          </w:p>
          <w:p w14:paraId="5EB65FA3">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rPr>
            </w:pPr>
          </w:p>
          <w:p w14:paraId="56FF9F40">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u w:val="none"/>
                <w:lang w:val="en-US" w:eastAsia="zh-CN"/>
              </w:rPr>
            </w:pPr>
          </w:p>
        </w:tc>
      </w:tr>
    </w:tbl>
    <w:p w14:paraId="2F541014">
      <w:pPr>
        <w:bidi w:val="0"/>
        <w:rPr>
          <w:rFonts w:hint="default"/>
        </w:rPr>
        <w:sectPr>
          <w:pgSz w:w="16838" w:h="11906" w:orient="landscape"/>
          <w:pgMar w:top="1531" w:right="1701" w:bottom="1531" w:left="1701" w:header="851" w:footer="1077" w:gutter="0"/>
          <w:pgNumType w:fmt="decimal"/>
          <w:cols w:space="720" w:num="1"/>
          <w:docGrid w:linePitch="312" w:charSpace="0"/>
        </w:sectPr>
      </w:pPr>
    </w:p>
    <w:tbl>
      <w:tblPr>
        <w:tblStyle w:val="21"/>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08" w:type="dxa"/>
          <w:left w:w="108" w:type="dxa"/>
          <w:bottom w:w="108" w:type="dxa"/>
          <w:right w:w="108" w:type="dxa"/>
        </w:tblCellMar>
      </w:tblPr>
      <w:tblGrid>
        <w:gridCol w:w="710"/>
        <w:gridCol w:w="8380"/>
      </w:tblGrid>
      <w:tr w14:paraId="0E1788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8" w:type="dxa"/>
            <w:left w:w="108" w:type="dxa"/>
            <w:bottom w:w="108" w:type="dxa"/>
            <w:right w:w="108" w:type="dxa"/>
          </w:tblCellMar>
        </w:tblPrEx>
        <w:trPr>
          <w:trHeight w:val="9091" w:hRule="atLeast"/>
          <w:jc w:val="center"/>
        </w:trPr>
        <w:tc>
          <w:tcPr>
            <w:tcW w:w="710" w:type="dxa"/>
            <w:noWrap w:val="0"/>
            <w:vAlign w:val="center"/>
          </w:tcPr>
          <w:p w14:paraId="00FF6E0E">
            <w:pPr>
              <w:bidi w:val="0"/>
              <w:spacing w:line="360" w:lineRule="auto"/>
              <w:jc w:val="center"/>
              <w:rPr>
                <w:rFonts w:hint="default" w:ascii="Times New Roman" w:hAnsi="Times New Roman" w:cs="Times New Roman"/>
                <w:color w:val="000000"/>
                <w:u w:val="none"/>
              </w:rPr>
            </w:pPr>
            <w:r>
              <w:rPr>
                <w:rFonts w:hint="default" w:ascii="Times New Roman" w:hAnsi="Times New Roman" w:cs="Times New Roman"/>
                <w:color w:val="000000"/>
                <w:u w:val="none"/>
              </w:rPr>
              <w:t>其他</w:t>
            </w:r>
          </w:p>
        </w:tc>
        <w:tc>
          <w:tcPr>
            <w:tcW w:w="8380" w:type="dxa"/>
            <w:noWrap w:val="0"/>
            <w:vAlign w:val="center"/>
          </w:tcPr>
          <w:p w14:paraId="509169DB">
            <w:pPr>
              <w:pStyle w:val="3"/>
              <w:bidi w:val="0"/>
              <w:ind w:left="567" w:leftChars="0" w:hanging="567" w:firstLineChars="0"/>
              <w:rPr>
                <w:rFonts w:hint="default"/>
                <w:lang w:val="en-US" w:eastAsia="zh-CN"/>
              </w:rPr>
            </w:pPr>
            <w:bookmarkStart w:id="164" w:name="_Toc18904"/>
            <w:r>
              <w:rPr>
                <w:rFonts w:hint="eastAsia"/>
                <w:lang w:val="en-US" w:eastAsia="zh-CN"/>
              </w:rPr>
              <w:t>平面布置方案比选</w:t>
            </w:r>
            <w:bookmarkEnd w:id="164"/>
          </w:p>
          <w:p w14:paraId="21DDB7EF">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本项目工可设计提出两个平面布置方案，分别为方案二和方案三。后期根据项目初步设计评审意见、区域地质及周边用海开发活动情况，设计单位进一步优化平面布置，优化后平面布置方案一（推荐方案）见</w:t>
            </w:r>
            <w:r>
              <w:rPr>
                <w:rFonts w:hint="eastAsia" w:cs="Times New Roman"/>
                <w:color w:val="000000"/>
                <w:highlight w:val="none"/>
                <w:lang w:val="en-US" w:eastAsia="zh-CN"/>
              </w:rPr>
              <w:t>附图3</w:t>
            </w:r>
            <w:r>
              <w:rPr>
                <w:rFonts w:hint="default" w:ascii="Times New Roman" w:hAnsi="Times New Roman" w:cs="Times New Roman"/>
                <w:color w:val="000000"/>
                <w:highlight w:val="none"/>
                <w:lang w:val="en-US" w:eastAsia="zh-CN"/>
              </w:rPr>
              <w:t>，方案二、方案三的平面布置分别见</w:t>
            </w:r>
            <w:r>
              <w:rPr>
                <w:rFonts w:hint="eastAsia" w:cs="Times New Roman"/>
                <w:color w:val="000000"/>
                <w:highlight w:val="none"/>
                <w:lang w:val="en-US" w:eastAsia="zh-CN"/>
              </w:rPr>
              <w:t>附图17、附图18</w:t>
            </w:r>
            <w:r>
              <w:rPr>
                <w:rFonts w:hint="default" w:ascii="Times New Roman" w:hAnsi="Times New Roman" w:cs="Times New Roman"/>
                <w:color w:val="000000"/>
                <w:highlight w:val="none"/>
                <w:lang w:val="en-US" w:eastAsia="zh-CN"/>
              </w:rPr>
              <w:t>。方案一平面布置详见章节</w:t>
            </w:r>
            <w:r>
              <w:rPr>
                <w:rFonts w:hint="eastAsia" w:cs="Times New Roman"/>
                <w:color w:val="000000"/>
                <w:highlight w:val="none"/>
                <w:lang w:val="en-US" w:eastAsia="zh-CN"/>
              </w:rPr>
              <w:t>2.4</w:t>
            </w:r>
            <w:r>
              <w:rPr>
                <w:rFonts w:hint="default" w:ascii="Times New Roman" w:hAnsi="Times New Roman" w:cs="Times New Roman"/>
                <w:color w:val="000000"/>
                <w:highlight w:val="none"/>
                <w:lang w:val="en-US" w:eastAsia="zh-CN"/>
              </w:rPr>
              <w:t>。方案二、方案三陆域平面布置与方案一相同。</w:t>
            </w:r>
          </w:p>
          <w:p w14:paraId="2A7C9747">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（1）平面布置方案二</w:t>
            </w:r>
          </w:p>
          <w:p w14:paraId="503518ED">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方案二拟建防波堤2495m，从港区北侧陆地突出部自西向东建设防波堤AB段长850m，随后拐向东南侧建设东防波堤BC段长1125m。另在二级渔港东北侧山体突出部建设南防波堤兼码头长220m，其中防波堤内侧160m兼做4个200HP渔船泊位，外侧150m兼做3个600HP渔船泊位（兼靠3000t冷藏船）；东、南防波堤间形成朝向南侧、宽168m的口门，形成港内水域面积约为89.4公顷。此外，考虑港内避风水域狭长，为防止在港内形成小风区波浪，在港内距南防波堤400m处设一道自西向东长300m岛堤，岛堤与西侧山体间形成口门宽178m，与东防波堤间形成口门宽184m，岛堤将港内水域分为两块，其中内港水域70.0公顷，外港水域19.2公顷。</w:t>
            </w:r>
          </w:p>
          <w:p w14:paraId="5052AE87">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（2）平面布置方案三</w:t>
            </w:r>
          </w:p>
          <w:p w14:paraId="4B238989">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方案三拟建防波堤2535m，拟从港区北侧陆地突出部（大王马屿西侧）自西向东建设防波堤AB段长825m，随后拐向东南侧建设防波堤BC段长590m。在二级渔港所在澳口口门附近山体突出部建设南防波堤600m，防波堤内侧设150m兼做600HP渔船泊位（兼靠3000t冷藏船）；东、南防波堤间形成朝向东侧，宽262m的口门，形成港内水域面积约为86.0公顷。此外，考虑港内纵向长度较长，防止在港内形成小风区波浪，拟在港内距南防波堤465m处设一道自西向东长520m港内防波堤，防波堤头部南侧160m兼做200HP渔船泊位，港内防波堤与东防波堤间形成口门258m，防波堤将港内水域分为两块，其中内港水域59.4公顷，外港水域26.6公顷。</w:t>
            </w:r>
          </w:p>
          <w:p w14:paraId="69F07C5A">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lang w:val="en-US" w:eastAsia="zh-CN"/>
              </w:rPr>
            </w:pPr>
            <w:r>
              <w:rPr>
                <w:rFonts w:hint="default" w:ascii="Times New Roman" w:hAnsi="Times New Roman" w:cs="Times New Roman"/>
                <w:color w:val="000000"/>
                <w:highlight w:val="none"/>
                <w:lang w:val="en-US" w:eastAsia="zh-CN"/>
              </w:rPr>
              <w:t>三个方案的优缺点对比见</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REF _Ref11061 \h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3.5</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1</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val="en-US" w:eastAsia="zh-CN"/>
              </w:rPr>
              <w:t>。经比选，三个方案均能够满足一级渔港的运营需求，但方案一（推荐方案）占用海域面积最小</w:t>
            </w:r>
            <w:r>
              <w:rPr>
                <w:rFonts w:hint="eastAsia" w:cs="Times New Roman"/>
                <w:color w:val="000000"/>
                <w:highlight w:val="none"/>
                <w:lang w:val="en-US" w:eastAsia="zh-CN"/>
              </w:rPr>
              <w:t>且</w:t>
            </w:r>
            <w:r>
              <w:rPr>
                <w:rFonts w:hint="default" w:ascii="Times New Roman" w:hAnsi="Times New Roman" w:cs="Times New Roman"/>
                <w:color w:val="000000"/>
                <w:highlight w:val="none"/>
                <w:lang w:val="en-US" w:eastAsia="zh-CN"/>
              </w:rPr>
              <w:t>有效避风水域面积大，对海域水文动力环境影响较小。因此，推荐采用平面布置方案一。</w:t>
            </w:r>
          </w:p>
          <w:p w14:paraId="60E010A2">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lang w:val="en-US" w:eastAsia="zh-CN"/>
              </w:rPr>
            </w:pPr>
            <w:r>
              <w:rPr>
                <w:rFonts w:hint="eastAsia"/>
                <w:lang w:val="en-US" w:eastAsia="zh-CN"/>
              </w:rPr>
              <w:t>综上所述，本项目平面布置合理。</w:t>
            </w:r>
          </w:p>
          <w:p w14:paraId="50E6C4A3">
            <w:pPr>
              <w:pStyle w:val="30"/>
              <w:bidi w:val="0"/>
              <w:rPr>
                <w:rFonts w:hint="default" w:ascii="Times New Roman" w:hAnsi="Times New Roman" w:cs="Times New Roman"/>
                <w:color w:val="000000"/>
                <w:highlight w:val="none"/>
                <w:lang w:val="en-US" w:eastAsia="zh-CN"/>
              </w:rPr>
            </w:pPr>
            <w:bookmarkStart w:id="165" w:name="_Ref11061"/>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3.5</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表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1</w:t>
            </w:r>
            <w:r>
              <w:rPr>
                <w:rFonts w:hint="default" w:ascii="Times New Roman" w:hAnsi="Times New Roman" w:cs="Times New Roman"/>
                <w:color w:val="000000"/>
                <w:highlight w:val="none"/>
              </w:rPr>
              <w:fldChar w:fldCharType="end"/>
            </w:r>
            <w:bookmarkEnd w:id="165"/>
            <w:r>
              <w:rPr>
                <w:rFonts w:hint="default" w:ascii="Times New Roman" w:hAnsi="Times New Roman" w:cs="Times New Roman"/>
                <w:color w:val="000000"/>
                <w:highlight w:val="none"/>
                <w:lang w:val="en-US" w:eastAsia="zh-CN"/>
              </w:rPr>
              <w:t xml:space="preserve"> 总平面布置方案对比表</w:t>
            </w:r>
          </w:p>
          <w:tbl>
            <w:tblPr>
              <w:tblStyle w:val="2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72"/>
              <w:gridCol w:w="1538"/>
              <w:gridCol w:w="1639"/>
              <w:gridCol w:w="1680"/>
              <w:gridCol w:w="1925"/>
            </w:tblGrid>
            <w:tr w14:paraId="56634A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1625" w:type="dxa"/>
                  <w:noWrap w:val="0"/>
                  <w:vAlign w:val="center"/>
                </w:tcPr>
                <w:p w14:paraId="32C043B6">
                  <w:pPr>
                    <w:pStyle w:val="31"/>
                    <w:bidi w:val="0"/>
                    <w:jc w:val="center"/>
                    <w:rPr>
                      <w:rFonts w:hint="default" w:ascii="Times New Roman" w:hAnsi="Times New Roman" w:cs="Times New Roman"/>
                      <w:b/>
                      <w:bCs/>
                      <w:color w:val="000000"/>
                      <w:highlight w:val="none"/>
                      <w:vertAlign w:val="baseline"/>
                      <w:lang w:val="en-US" w:eastAsia="zh-CN"/>
                    </w:rPr>
                  </w:pPr>
                  <w:r>
                    <w:rPr>
                      <w:rFonts w:hint="default" w:ascii="Times New Roman" w:hAnsi="Times New Roman" w:cs="Times New Roman"/>
                      <w:b/>
                      <w:bCs/>
                      <w:color w:val="000000"/>
                      <w:highlight w:val="none"/>
                      <w:vertAlign w:val="baseline"/>
                      <w:lang w:val="en-US" w:eastAsia="zh-CN"/>
                    </w:rPr>
                    <w:t>项目</w:t>
                  </w:r>
                </w:p>
              </w:tc>
              <w:tc>
                <w:tcPr>
                  <w:tcW w:w="1680" w:type="dxa"/>
                  <w:noWrap w:val="0"/>
                  <w:vAlign w:val="center"/>
                </w:tcPr>
                <w:p w14:paraId="729BA202">
                  <w:pPr>
                    <w:pStyle w:val="31"/>
                    <w:bidi w:val="0"/>
                    <w:jc w:val="center"/>
                    <w:rPr>
                      <w:rFonts w:hint="default" w:ascii="Times New Roman" w:hAnsi="Times New Roman" w:cs="Times New Roman"/>
                      <w:b/>
                      <w:bCs/>
                      <w:color w:val="000000"/>
                      <w:highlight w:val="none"/>
                      <w:vertAlign w:val="baseline"/>
                      <w:lang w:val="en-US" w:eastAsia="zh-CN"/>
                    </w:rPr>
                  </w:pPr>
                  <w:r>
                    <w:rPr>
                      <w:rFonts w:hint="default" w:ascii="Times New Roman" w:hAnsi="Times New Roman" w:cs="Times New Roman"/>
                      <w:b/>
                      <w:bCs/>
                      <w:color w:val="000000"/>
                      <w:highlight w:val="none"/>
                      <w:vertAlign w:val="baseline"/>
                      <w:lang w:val="en-US" w:eastAsia="zh-CN"/>
                    </w:rPr>
                    <w:t>方案一</w:t>
                  </w:r>
                </w:p>
              </w:tc>
              <w:tc>
                <w:tcPr>
                  <w:tcW w:w="1808" w:type="dxa"/>
                  <w:noWrap w:val="0"/>
                  <w:vAlign w:val="center"/>
                </w:tcPr>
                <w:p w14:paraId="0275E62C">
                  <w:pPr>
                    <w:pStyle w:val="31"/>
                    <w:bidi w:val="0"/>
                    <w:jc w:val="center"/>
                    <w:rPr>
                      <w:rFonts w:hint="default" w:ascii="Times New Roman" w:hAnsi="Times New Roman" w:cs="Times New Roman"/>
                      <w:b/>
                      <w:bCs/>
                      <w:color w:val="000000"/>
                      <w:highlight w:val="none"/>
                      <w:vertAlign w:val="baseline"/>
                      <w:lang w:val="en-US" w:eastAsia="zh-CN"/>
                    </w:rPr>
                  </w:pPr>
                  <w:r>
                    <w:rPr>
                      <w:rFonts w:hint="default" w:ascii="Times New Roman" w:hAnsi="Times New Roman" w:cs="Times New Roman"/>
                      <w:b/>
                      <w:bCs/>
                      <w:color w:val="000000"/>
                      <w:highlight w:val="none"/>
                      <w:vertAlign w:val="baseline"/>
                      <w:lang w:val="en-US" w:eastAsia="zh-CN"/>
                    </w:rPr>
                    <w:t>方案二</w:t>
                  </w:r>
                </w:p>
              </w:tc>
              <w:tc>
                <w:tcPr>
                  <w:tcW w:w="1860" w:type="dxa"/>
                  <w:noWrap w:val="0"/>
                  <w:vAlign w:val="center"/>
                </w:tcPr>
                <w:p w14:paraId="17095F26">
                  <w:pPr>
                    <w:pStyle w:val="31"/>
                    <w:bidi w:val="0"/>
                    <w:jc w:val="center"/>
                    <w:rPr>
                      <w:rFonts w:hint="default" w:ascii="Times New Roman" w:hAnsi="Times New Roman" w:cs="Times New Roman"/>
                      <w:b/>
                      <w:bCs/>
                      <w:color w:val="000000"/>
                      <w:highlight w:val="none"/>
                      <w:vertAlign w:val="baseline"/>
                      <w:lang w:val="en-US" w:eastAsia="zh-CN"/>
                    </w:rPr>
                  </w:pPr>
                  <w:r>
                    <w:rPr>
                      <w:rFonts w:hint="default" w:ascii="Times New Roman" w:hAnsi="Times New Roman" w:cs="Times New Roman"/>
                      <w:b/>
                      <w:bCs/>
                      <w:color w:val="000000"/>
                      <w:highlight w:val="none"/>
                      <w:vertAlign w:val="baseline"/>
                      <w:lang w:val="en-US" w:eastAsia="zh-CN"/>
                    </w:rPr>
                    <w:t>方案三</w:t>
                  </w:r>
                </w:p>
              </w:tc>
              <w:tc>
                <w:tcPr>
                  <w:tcW w:w="2269" w:type="dxa"/>
                  <w:noWrap w:val="0"/>
                  <w:vAlign w:val="center"/>
                </w:tcPr>
                <w:p w14:paraId="56A492DC">
                  <w:pPr>
                    <w:pStyle w:val="31"/>
                    <w:bidi w:val="0"/>
                    <w:jc w:val="center"/>
                    <w:rPr>
                      <w:rFonts w:hint="default" w:ascii="Times New Roman" w:hAnsi="Times New Roman" w:cs="Times New Roman"/>
                      <w:b/>
                      <w:bCs/>
                      <w:color w:val="000000"/>
                      <w:highlight w:val="none"/>
                      <w:vertAlign w:val="baseline"/>
                      <w:lang w:val="en-US" w:eastAsia="zh-CN"/>
                    </w:rPr>
                  </w:pPr>
                  <w:r>
                    <w:rPr>
                      <w:rFonts w:hint="default" w:ascii="Times New Roman" w:hAnsi="Times New Roman" w:cs="Times New Roman"/>
                      <w:b/>
                      <w:bCs/>
                      <w:color w:val="000000"/>
                      <w:highlight w:val="none"/>
                      <w:vertAlign w:val="baseline"/>
                      <w:lang w:val="en-US" w:eastAsia="zh-CN"/>
                    </w:rPr>
                    <w:t>对比结果</w:t>
                  </w:r>
                </w:p>
              </w:tc>
            </w:tr>
            <w:tr w14:paraId="3899F3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25" w:type="dxa"/>
                  <w:noWrap w:val="0"/>
                  <w:vAlign w:val="center"/>
                </w:tcPr>
                <w:p w14:paraId="57CB5D62">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防波堤长度</w:t>
                  </w:r>
                </w:p>
              </w:tc>
              <w:tc>
                <w:tcPr>
                  <w:tcW w:w="1680" w:type="dxa"/>
                  <w:noWrap w:val="0"/>
                  <w:vAlign w:val="center"/>
                </w:tcPr>
                <w:p w14:paraId="40AF7DF8">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1770m</w:t>
                  </w:r>
                </w:p>
              </w:tc>
              <w:tc>
                <w:tcPr>
                  <w:tcW w:w="1808" w:type="dxa"/>
                  <w:noWrap w:val="0"/>
                  <w:vAlign w:val="center"/>
                </w:tcPr>
                <w:p w14:paraId="55DF7AE8">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2495m</w:t>
                  </w:r>
                </w:p>
              </w:tc>
              <w:tc>
                <w:tcPr>
                  <w:tcW w:w="1860" w:type="dxa"/>
                  <w:noWrap w:val="0"/>
                  <w:vAlign w:val="center"/>
                </w:tcPr>
                <w:p w14:paraId="3B6D1E97">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2535m</w:t>
                  </w:r>
                </w:p>
              </w:tc>
              <w:tc>
                <w:tcPr>
                  <w:tcW w:w="2269" w:type="dxa"/>
                  <w:noWrap w:val="0"/>
                  <w:vAlign w:val="center"/>
                </w:tcPr>
                <w:p w14:paraId="4460C47D">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方案一最短，对海洋生态环境影响最小</w:t>
                  </w:r>
                </w:p>
              </w:tc>
            </w:tr>
            <w:tr w14:paraId="589981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25" w:type="dxa"/>
                  <w:noWrap w:val="0"/>
                  <w:vAlign w:val="center"/>
                </w:tcPr>
                <w:p w14:paraId="6176A039">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码头位置</w:t>
                  </w:r>
                </w:p>
              </w:tc>
              <w:tc>
                <w:tcPr>
                  <w:tcW w:w="3488" w:type="dxa"/>
                  <w:gridSpan w:val="2"/>
                  <w:noWrap w:val="0"/>
                  <w:vAlign w:val="center"/>
                </w:tcPr>
                <w:p w14:paraId="2A7BCA3E">
                  <w:pPr>
                    <w:pStyle w:val="31"/>
                    <w:bidi w:val="0"/>
                    <w:jc w:val="center"/>
                    <w:rPr>
                      <w:rFonts w:hint="default" w:ascii="Times New Roman" w:hAnsi="Times New Roman" w:cs="Times New Roman"/>
                      <w:color w:val="000000"/>
                      <w:highlight w:val="none"/>
                      <w:vertAlign w:val="baseline"/>
                      <w:lang w:eastAsia="zh-CN"/>
                    </w:rPr>
                  </w:pPr>
                  <w:r>
                    <w:rPr>
                      <w:rFonts w:hint="default" w:ascii="Times New Roman" w:hAnsi="Times New Roman" w:cs="Times New Roman"/>
                      <w:color w:val="000000"/>
                      <w:highlight w:val="none"/>
                      <w:vertAlign w:val="baseline"/>
                      <w:lang w:val="en-US" w:eastAsia="zh-CN"/>
                    </w:rPr>
                    <w:t>码头布置于南防波堤内外侧</w:t>
                  </w:r>
                </w:p>
              </w:tc>
              <w:tc>
                <w:tcPr>
                  <w:tcW w:w="1860" w:type="dxa"/>
                  <w:noWrap w:val="0"/>
                  <w:vAlign w:val="center"/>
                </w:tcPr>
                <w:p w14:paraId="00F006E7">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南防波堤内侧和内防波堤南侧</w:t>
                  </w:r>
                </w:p>
              </w:tc>
              <w:tc>
                <w:tcPr>
                  <w:tcW w:w="2269" w:type="dxa"/>
                  <w:noWrap w:val="0"/>
                  <w:vAlign w:val="center"/>
                </w:tcPr>
                <w:p w14:paraId="0B9C41F4">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方案一和方案二码头水深条件良好，渔船装卸便利</w:t>
                  </w:r>
                  <w:r>
                    <w:rPr>
                      <w:rFonts w:hint="eastAsia" w:cs="Times New Roman"/>
                      <w:color w:val="000000"/>
                      <w:highlight w:val="none"/>
                      <w:vertAlign w:val="baseline"/>
                      <w:lang w:val="en-US" w:eastAsia="zh-CN"/>
                    </w:rPr>
                    <w:t>且</w:t>
                  </w:r>
                  <w:r>
                    <w:rPr>
                      <w:rFonts w:hint="default" w:ascii="Times New Roman" w:hAnsi="Times New Roman" w:cs="Times New Roman"/>
                      <w:color w:val="000000"/>
                      <w:highlight w:val="none"/>
                      <w:vertAlign w:val="baseline"/>
                      <w:lang w:val="en-US" w:eastAsia="zh-CN"/>
                    </w:rPr>
                    <w:t>码头前沿淤积相对更小，后期维护费用少</w:t>
                  </w:r>
                </w:p>
              </w:tc>
            </w:tr>
            <w:tr w14:paraId="20834C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25" w:type="dxa"/>
                  <w:noWrap w:val="0"/>
                  <w:vAlign w:val="center"/>
                </w:tcPr>
                <w:p w14:paraId="7F463EA7">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码头长度</w:t>
                  </w:r>
                </w:p>
              </w:tc>
              <w:tc>
                <w:tcPr>
                  <w:tcW w:w="5348" w:type="dxa"/>
                  <w:gridSpan w:val="3"/>
                  <w:noWrap w:val="0"/>
                  <w:vAlign w:val="center"/>
                </w:tcPr>
                <w:p w14:paraId="678EF935">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310m</w:t>
                  </w:r>
                </w:p>
              </w:tc>
              <w:tc>
                <w:tcPr>
                  <w:tcW w:w="2269" w:type="dxa"/>
                  <w:noWrap w:val="0"/>
                  <w:vAlign w:val="center"/>
                </w:tcPr>
                <w:p w14:paraId="6B844CF9">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三个方案一致</w:t>
                  </w:r>
                </w:p>
              </w:tc>
            </w:tr>
            <w:tr w14:paraId="798D24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25" w:type="dxa"/>
                  <w:noWrap w:val="0"/>
                  <w:vAlign w:val="center"/>
                </w:tcPr>
                <w:p w14:paraId="0DFEACEF">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占用岸线情况</w:t>
                  </w:r>
                </w:p>
              </w:tc>
              <w:tc>
                <w:tcPr>
                  <w:tcW w:w="1680" w:type="dxa"/>
                  <w:noWrap w:val="0"/>
                  <w:vAlign w:val="center"/>
                </w:tcPr>
                <w:p w14:paraId="2C7F841D">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26.6m</w:t>
                  </w:r>
                </w:p>
              </w:tc>
              <w:tc>
                <w:tcPr>
                  <w:tcW w:w="1808" w:type="dxa"/>
                  <w:noWrap w:val="0"/>
                  <w:vAlign w:val="center"/>
                </w:tcPr>
                <w:p w14:paraId="5C84C79C">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202m</w:t>
                  </w:r>
                </w:p>
              </w:tc>
              <w:tc>
                <w:tcPr>
                  <w:tcW w:w="1860" w:type="dxa"/>
                  <w:noWrap w:val="0"/>
                  <w:vAlign w:val="center"/>
                </w:tcPr>
                <w:p w14:paraId="5E5239FA">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222m</w:t>
                  </w:r>
                </w:p>
              </w:tc>
              <w:tc>
                <w:tcPr>
                  <w:tcW w:w="2269" w:type="dxa"/>
                  <w:noWrap w:val="0"/>
                  <w:vAlign w:val="center"/>
                </w:tcPr>
                <w:p w14:paraId="14C21047">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方案一占用岸线最短</w:t>
                  </w:r>
                </w:p>
              </w:tc>
            </w:tr>
            <w:tr w14:paraId="7F82F2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25" w:type="dxa"/>
                  <w:noWrap w:val="0"/>
                  <w:vAlign w:val="center"/>
                </w:tcPr>
                <w:p w14:paraId="408AD437">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码头泊稳条件</w:t>
                  </w:r>
                </w:p>
              </w:tc>
              <w:tc>
                <w:tcPr>
                  <w:tcW w:w="3488" w:type="dxa"/>
                  <w:gridSpan w:val="2"/>
                  <w:noWrap w:val="0"/>
                  <w:vAlign w:val="center"/>
                </w:tcPr>
                <w:p w14:paraId="2A43A814">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外海风浪对码头泊稳条件有一定的影响</w:t>
                  </w:r>
                </w:p>
              </w:tc>
              <w:tc>
                <w:tcPr>
                  <w:tcW w:w="1860" w:type="dxa"/>
                  <w:noWrap w:val="0"/>
                  <w:vAlign w:val="center"/>
                </w:tcPr>
                <w:p w14:paraId="1FCC8F01">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码头位于港内，作业条件相对较好；港内泊位条件相对较好</w:t>
                  </w:r>
                </w:p>
              </w:tc>
              <w:tc>
                <w:tcPr>
                  <w:tcW w:w="2269" w:type="dxa"/>
                  <w:noWrap w:val="0"/>
                  <w:vAlign w:val="center"/>
                </w:tcPr>
                <w:p w14:paraId="72C7AA10">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方案三码头泊稳条件最好</w:t>
                  </w:r>
                </w:p>
              </w:tc>
            </w:tr>
            <w:tr w14:paraId="4829C7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25" w:type="dxa"/>
                  <w:noWrap w:val="0"/>
                  <w:vAlign w:val="center"/>
                </w:tcPr>
                <w:p w14:paraId="175F2779">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口门数量</w:t>
                  </w:r>
                </w:p>
              </w:tc>
              <w:tc>
                <w:tcPr>
                  <w:tcW w:w="1680" w:type="dxa"/>
                  <w:noWrap w:val="0"/>
                  <w:vAlign w:val="center"/>
                </w:tcPr>
                <w:p w14:paraId="5F81DAFC">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双口门</w:t>
                  </w:r>
                </w:p>
              </w:tc>
              <w:tc>
                <w:tcPr>
                  <w:tcW w:w="3668" w:type="dxa"/>
                  <w:gridSpan w:val="2"/>
                  <w:noWrap w:val="0"/>
                  <w:vAlign w:val="center"/>
                </w:tcPr>
                <w:p w14:paraId="4B4EAB43">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一个口门</w:t>
                  </w:r>
                </w:p>
              </w:tc>
              <w:tc>
                <w:tcPr>
                  <w:tcW w:w="2269" w:type="dxa"/>
                  <w:noWrap w:val="0"/>
                  <w:vAlign w:val="center"/>
                </w:tcPr>
                <w:p w14:paraId="720EBE1C">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方案一设置双口门，方便渔船进出</w:t>
                  </w:r>
                </w:p>
              </w:tc>
            </w:tr>
            <w:tr w14:paraId="4453C3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25" w:type="dxa"/>
                  <w:noWrap w:val="0"/>
                  <w:vAlign w:val="center"/>
                </w:tcPr>
                <w:p w14:paraId="03702DD3">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对海域水动力环境的影响</w:t>
                  </w:r>
                </w:p>
              </w:tc>
              <w:tc>
                <w:tcPr>
                  <w:tcW w:w="1680" w:type="dxa"/>
                  <w:noWrap w:val="0"/>
                  <w:vAlign w:val="center"/>
                </w:tcPr>
                <w:p w14:paraId="37F70FEC">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港内海水交换能力强</w:t>
                  </w:r>
                </w:p>
              </w:tc>
              <w:tc>
                <w:tcPr>
                  <w:tcW w:w="3668" w:type="dxa"/>
                  <w:gridSpan w:val="2"/>
                  <w:noWrap w:val="0"/>
                  <w:vAlign w:val="center"/>
                </w:tcPr>
                <w:p w14:paraId="581B46BF">
                  <w:pPr>
                    <w:pStyle w:val="31"/>
                    <w:bidi w:val="0"/>
                    <w:jc w:val="center"/>
                    <w:rPr>
                      <w:rFonts w:hint="default" w:ascii="Times New Roman" w:hAnsi="Times New Roman" w:cs="Times New Roman"/>
                      <w:color w:val="000000"/>
                      <w:highlight w:val="none"/>
                      <w:vertAlign w:val="baseline"/>
                      <w:lang w:eastAsia="zh-CN"/>
                    </w:rPr>
                  </w:pPr>
                  <w:r>
                    <w:rPr>
                      <w:rFonts w:hint="default" w:ascii="Times New Roman" w:hAnsi="Times New Roman" w:cs="Times New Roman"/>
                      <w:color w:val="000000"/>
                      <w:highlight w:val="none"/>
                      <w:vertAlign w:val="baseline"/>
                      <w:lang w:val="en-US" w:eastAsia="zh-CN"/>
                    </w:rPr>
                    <w:t>港内海水交换能力较差</w:t>
                  </w:r>
                </w:p>
              </w:tc>
              <w:tc>
                <w:tcPr>
                  <w:tcW w:w="2269" w:type="dxa"/>
                  <w:noWrap w:val="0"/>
                  <w:vAlign w:val="center"/>
                </w:tcPr>
                <w:p w14:paraId="36A16406">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方案一对海域水动力环境影响最小</w:t>
                  </w:r>
                </w:p>
              </w:tc>
            </w:tr>
            <w:tr w14:paraId="503AF6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25" w:type="dxa"/>
                  <w:noWrap w:val="0"/>
                  <w:vAlign w:val="center"/>
                </w:tcPr>
                <w:p w14:paraId="7F07A80E">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港内淤积情况</w:t>
                  </w:r>
                </w:p>
              </w:tc>
              <w:tc>
                <w:tcPr>
                  <w:tcW w:w="1680" w:type="dxa"/>
                  <w:noWrap w:val="0"/>
                  <w:vAlign w:val="center"/>
                </w:tcPr>
                <w:p w14:paraId="10A56603">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最大淤积强度约0.21m/a</w:t>
                  </w:r>
                </w:p>
              </w:tc>
              <w:tc>
                <w:tcPr>
                  <w:tcW w:w="1808" w:type="dxa"/>
                  <w:noWrap w:val="0"/>
                  <w:vAlign w:val="center"/>
                </w:tcPr>
                <w:p w14:paraId="78D93F09">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最大淤积强度约0.25m/a</w:t>
                  </w:r>
                </w:p>
              </w:tc>
              <w:tc>
                <w:tcPr>
                  <w:tcW w:w="1860" w:type="dxa"/>
                  <w:noWrap w:val="0"/>
                  <w:vAlign w:val="center"/>
                </w:tcPr>
                <w:p w14:paraId="24BC6676">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最大淤积强度大于0.25m/a</w:t>
                  </w:r>
                </w:p>
              </w:tc>
              <w:tc>
                <w:tcPr>
                  <w:tcW w:w="2269" w:type="dxa"/>
                  <w:noWrap w:val="0"/>
                  <w:vAlign w:val="center"/>
                </w:tcPr>
                <w:p w14:paraId="55BBD00E">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方案一港内淤积强度最小</w:t>
                  </w:r>
                </w:p>
              </w:tc>
            </w:tr>
            <w:tr w14:paraId="4F292B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25" w:type="dxa"/>
                  <w:noWrap w:val="0"/>
                  <w:vAlign w:val="center"/>
                </w:tcPr>
                <w:p w14:paraId="0EF9C15A">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有效避风水域面积</w:t>
                  </w:r>
                </w:p>
              </w:tc>
              <w:tc>
                <w:tcPr>
                  <w:tcW w:w="1680" w:type="dxa"/>
                  <w:noWrap w:val="0"/>
                  <w:vAlign w:val="center"/>
                </w:tcPr>
                <w:p w14:paraId="2A20CF30">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39.24公顷</w:t>
                  </w:r>
                </w:p>
              </w:tc>
              <w:tc>
                <w:tcPr>
                  <w:tcW w:w="1808" w:type="dxa"/>
                  <w:noWrap w:val="0"/>
                  <w:vAlign w:val="center"/>
                </w:tcPr>
                <w:p w14:paraId="78734CA8">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30.49公顷</w:t>
                  </w:r>
                </w:p>
              </w:tc>
              <w:tc>
                <w:tcPr>
                  <w:tcW w:w="1860" w:type="dxa"/>
                  <w:noWrap w:val="0"/>
                  <w:vAlign w:val="center"/>
                </w:tcPr>
                <w:p w14:paraId="21214FF0">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30.59公顷</w:t>
                  </w:r>
                </w:p>
              </w:tc>
              <w:tc>
                <w:tcPr>
                  <w:tcW w:w="2269" w:type="dxa"/>
                  <w:noWrap w:val="0"/>
                  <w:vAlign w:val="center"/>
                </w:tcPr>
                <w:p w14:paraId="3B272DDE">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方案一有效避风水域面积最大</w:t>
                  </w:r>
                </w:p>
              </w:tc>
            </w:tr>
            <w:tr w14:paraId="6BB0DD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25" w:type="dxa"/>
                  <w:noWrap w:val="0"/>
                  <w:vAlign w:val="center"/>
                </w:tcPr>
                <w:p w14:paraId="30ABE30B">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是否能够满足一级渔港的运营需求</w:t>
                  </w:r>
                </w:p>
              </w:tc>
              <w:tc>
                <w:tcPr>
                  <w:tcW w:w="5348" w:type="dxa"/>
                  <w:gridSpan w:val="3"/>
                  <w:noWrap w:val="0"/>
                  <w:vAlign w:val="center"/>
                </w:tcPr>
                <w:p w14:paraId="6EAC17B9">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能</w:t>
                  </w:r>
                </w:p>
              </w:tc>
              <w:tc>
                <w:tcPr>
                  <w:tcW w:w="2269" w:type="dxa"/>
                  <w:noWrap w:val="0"/>
                  <w:vAlign w:val="center"/>
                </w:tcPr>
                <w:p w14:paraId="2759D01F">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三个方案均能够满足一级渔港的运营需求</w:t>
                  </w:r>
                </w:p>
              </w:tc>
            </w:tr>
            <w:tr w14:paraId="0E102B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25" w:type="dxa"/>
                  <w:noWrap w:val="0"/>
                  <w:vAlign w:val="center"/>
                </w:tcPr>
                <w:p w14:paraId="007D16BC">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占用海域面积</w:t>
                  </w:r>
                </w:p>
              </w:tc>
              <w:tc>
                <w:tcPr>
                  <w:tcW w:w="1680" w:type="dxa"/>
                  <w:noWrap w:val="0"/>
                  <w:vAlign w:val="center"/>
                </w:tcPr>
                <w:p w14:paraId="0FFAF0AE">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89.8406公顷</w:t>
                  </w:r>
                </w:p>
              </w:tc>
              <w:tc>
                <w:tcPr>
                  <w:tcW w:w="1808" w:type="dxa"/>
                  <w:noWrap w:val="0"/>
                  <w:vAlign w:val="center"/>
                </w:tcPr>
                <w:p w14:paraId="5D9D042B">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94.6359公顷</w:t>
                  </w:r>
                </w:p>
              </w:tc>
              <w:tc>
                <w:tcPr>
                  <w:tcW w:w="1860" w:type="dxa"/>
                  <w:noWrap w:val="0"/>
                  <w:vAlign w:val="center"/>
                </w:tcPr>
                <w:p w14:paraId="2AD12177">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大于100公顷</w:t>
                  </w:r>
                </w:p>
              </w:tc>
              <w:tc>
                <w:tcPr>
                  <w:tcW w:w="2269" w:type="dxa"/>
                  <w:noWrap w:val="0"/>
                  <w:vAlign w:val="center"/>
                </w:tcPr>
                <w:p w14:paraId="390C155A">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方案一占用海域面积最小</w:t>
                  </w:r>
                </w:p>
              </w:tc>
            </w:tr>
            <w:tr w14:paraId="60F99E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25" w:type="dxa"/>
                  <w:noWrap w:val="0"/>
                  <w:vAlign w:val="center"/>
                </w:tcPr>
                <w:p w14:paraId="2D8BB0C9">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总投资</w:t>
                  </w:r>
                </w:p>
              </w:tc>
              <w:tc>
                <w:tcPr>
                  <w:tcW w:w="1680" w:type="dxa"/>
                  <w:noWrap w:val="0"/>
                  <w:vAlign w:val="center"/>
                </w:tcPr>
                <w:p w14:paraId="73E0D484">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39101.91万元</w:t>
                  </w:r>
                </w:p>
              </w:tc>
              <w:tc>
                <w:tcPr>
                  <w:tcW w:w="1808" w:type="dxa"/>
                  <w:noWrap w:val="0"/>
                  <w:vAlign w:val="center"/>
                </w:tcPr>
                <w:p w14:paraId="4A5D9349">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37590.46万元</w:t>
                  </w:r>
                </w:p>
              </w:tc>
              <w:tc>
                <w:tcPr>
                  <w:tcW w:w="1860" w:type="dxa"/>
                  <w:noWrap w:val="0"/>
                  <w:vAlign w:val="center"/>
                </w:tcPr>
                <w:p w14:paraId="31C470BA">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39420.51万元</w:t>
                  </w:r>
                </w:p>
              </w:tc>
              <w:tc>
                <w:tcPr>
                  <w:tcW w:w="2269" w:type="dxa"/>
                  <w:noWrap w:val="0"/>
                  <w:vAlign w:val="center"/>
                </w:tcPr>
                <w:p w14:paraId="23DE5E9F">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方案二投资最少</w:t>
                  </w:r>
                </w:p>
              </w:tc>
            </w:tr>
          </w:tbl>
          <w:p w14:paraId="1801BA3C">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lang w:val="en-US" w:eastAsia="zh-CN"/>
              </w:rPr>
            </w:pPr>
          </w:p>
          <w:p w14:paraId="6BA610CE">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lang w:val="en-US" w:eastAsia="zh-CN"/>
              </w:rPr>
            </w:pPr>
          </w:p>
          <w:p w14:paraId="2DF22E59">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lang w:val="en-US" w:eastAsia="zh-CN"/>
              </w:rPr>
            </w:pPr>
          </w:p>
          <w:p w14:paraId="3B24FC75">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lang w:val="en-US" w:eastAsia="zh-CN"/>
              </w:rPr>
            </w:pPr>
          </w:p>
          <w:p w14:paraId="73E1C40B">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lang w:val="en-US" w:eastAsia="zh-CN"/>
              </w:rPr>
            </w:pPr>
          </w:p>
        </w:tc>
      </w:tr>
    </w:tbl>
    <w:p w14:paraId="2F9EBCF1">
      <w:pPr>
        <w:pStyle w:val="2"/>
        <w:bidi w:val="0"/>
        <w:ind w:left="425" w:leftChars="0" w:hanging="425" w:firstLineChars="0"/>
        <w:rPr>
          <w:rFonts w:hint="default"/>
        </w:rPr>
      </w:pPr>
      <w:r>
        <w:rPr>
          <w:rFonts w:hint="default"/>
        </w:rPr>
        <w:br w:type="page"/>
      </w:r>
      <w:bookmarkStart w:id="166" w:name="_Toc15202"/>
      <w:bookmarkStart w:id="167" w:name="_Toc353"/>
      <w:bookmarkStart w:id="168" w:name="_Toc15864"/>
      <w:bookmarkStart w:id="169" w:name="_Toc12997"/>
      <w:bookmarkStart w:id="170" w:name="_Toc8613"/>
      <w:r>
        <w:rPr>
          <w:rFonts w:hint="default"/>
        </w:rPr>
        <w:t>生态环境现状、保护目标及评价标准</w:t>
      </w:r>
      <w:bookmarkEnd w:id="166"/>
      <w:bookmarkEnd w:id="167"/>
      <w:bookmarkEnd w:id="168"/>
      <w:bookmarkEnd w:id="169"/>
      <w:bookmarkEnd w:id="170"/>
    </w:p>
    <w:tbl>
      <w:tblPr>
        <w:tblStyle w:val="21"/>
        <w:tblW w:w="915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8" w:type="dxa"/>
          <w:left w:w="108" w:type="dxa"/>
          <w:bottom w:w="108" w:type="dxa"/>
          <w:right w:w="108" w:type="dxa"/>
        </w:tblCellMar>
      </w:tblPr>
      <w:tblGrid>
        <w:gridCol w:w="743"/>
        <w:gridCol w:w="8414"/>
      </w:tblGrid>
      <w:tr w14:paraId="16E5FF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8" w:type="dxa"/>
            <w:left w:w="108" w:type="dxa"/>
            <w:bottom w:w="108" w:type="dxa"/>
            <w:right w:w="108" w:type="dxa"/>
          </w:tblCellMar>
        </w:tblPrEx>
        <w:trPr>
          <w:trHeight w:val="2337" w:hRule="atLeast"/>
          <w:jc w:val="center"/>
        </w:trPr>
        <w:tc>
          <w:tcPr>
            <w:tcW w:w="743" w:type="dxa"/>
            <w:noWrap w:val="0"/>
            <w:vAlign w:val="center"/>
          </w:tcPr>
          <w:p w14:paraId="5C40761A">
            <w:pPr>
              <w:adjustRightInd w:val="0"/>
              <w:snapToGrid w:val="0"/>
              <w:spacing w:line="360" w:lineRule="auto"/>
              <w:jc w:val="center"/>
              <w:rPr>
                <w:rFonts w:hint="default" w:ascii="Times New Roman" w:hAnsi="Times New Roman" w:cs="Times New Roman"/>
                <w:color w:val="000000"/>
                <w:kern w:val="0"/>
                <w:szCs w:val="21"/>
                <w:u w:val="none"/>
              </w:rPr>
            </w:pPr>
            <w:r>
              <w:rPr>
                <w:rFonts w:hint="default" w:ascii="Times New Roman" w:hAnsi="Times New Roman" w:cs="Times New Roman"/>
                <w:color w:val="000000"/>
                <w:kern w:val="0"/>
                <w:szCs w:val="21"/>
                <w:u w:val="none"/>
              </w:rPr>
              <w:t>生态环境现状</w:t>
            </w:r>
          </w:p>
        </w:tc>
        <w:tc>
          <w:tcPr>
            <w:tcW w:w="8414" w:type="dxa"/>
            <w:noWrap w:val="0"/>
            <w:vAlign w:val="top"/>
          </w:tcPr>
          <w:p w14:paraId="30D41D2D">
            <w:pPr>
              <w:pStyle w:val="3"/>
              <w:bidi w:val="0"/>
              <w:ind w:left="567" w:leftChars="0" w:hanging="567" w:firstLineChars="0"/>
              <w:rPr>
                <w:rFonts w:hint="default"/>
              </w:rPr>
            </w:pPr>
            <w:bookmarkStart w:id="171" w:name="_Toc22172"/>
            <w:bookmarkStart w:id="172" w:name="_Toc9887"/>
            <w:bookmarkStart w:id="173" w:name="_Toc31962"/>
            <w:r>
              <w:rPr>
                <w:rFonts w:hint="default"/>
              </w:rPr>
              <w:t>环境功能区划及质量标准</w:t>
            </w:r>
            <w:bookmarkEnd w:id="171"/>
          </w:p>
          <w:p w14:paraId="390CF70B">
            <w:pPr>
              <w:pStyle w:val="4"/>
              <w:bidi w:val="0"/>
              <w:rPr>
                <w:rFonts w:hint="default"/>
              </w:rPr>
            </w:pPr>
            <w:r>
              <w:rPr>
                <w:rFonts w:hint="default"/>
              </w:rPr>
              <w:t>生态环境功能区划</w:t>
            </w:r>
          </w:p>
          <w:p w14:paraId="31075CAD">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rPr>
            </w:pPr>
            <w:r>
              <w:rPr>
                <w:rFonts w:hint="eastAsia" w:cs="Times New Roman"/>
                <w:color w:val="000000"/>
                <w:highlight w:val="none"/>
                <w:lang w:val="en-US" w:eastAsia="zh-CN"/>
              </w:rPr>
              <w:t>（1）</w:t>
            </w:r>
            <w:r>
              <w:rPr>
                <w:rFonts w:hint="default" w:ascii="Times New Roman" w:hAnsi="Times New Roman" w:cs="Times New Roman"/>
                <w:color w:val="000000"/>
                <w:highlight w:val="none"/>
                <w:lang w:val="en-US" w:eastAsia="zh-CN"/>
              </w:rPr>
              <w:t>福建省生态功能区划</w:t>
            </w:r>
          </w:p>
          <w:p w14:paraId="3627F617">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rPr>
            </w:pPr>
            <w:r>
              <w:rPr>
                <w:rFonts w:hint="default" w:ascii="Times New Roman" w:hAnsi="Times New Roman" w:cs="Times New Roman"/>
                <w:color w:val="000000"/>
                <w:highlight w:val="none"/>
                <w:lang w:val="en-US" w:eastAsia="zh-CN"/>
              </w:rPr>
              <w:t>根据《福建省生态功能区划》（福建省人民政府，2010年1月），本项目所在区域生态功能为“</w:t>
            </w:r>
            <w:r>
              <w:rPr>
                <w:rFonts w:hint="default" w:ascii="Times New Roman" w:hAnsi="Times New Roman" w:cs="Times New Roman"/>
                <w:color w:val="000000"/>
                <w:highlight w:val="none"/>
              </w:rPr>
              <w:t>Ⅱ</w:t>
            </w:r>
            <w:r>
              <w:rPr>
                <w:rFonts w:hint="default" w:ascii="Times New Roman" w:hAnsi="Times New Roman" w:cs="Times New Roman"/>
                <w:color w:val="000000"/>
                <w:highlight w:val="none"/>
                <w:vertAlign w:val="subscript"/>
              </w:rPr>
              <w:t>2</w:t>
            </w:r>
            <w:r>
              <w:rPr>
                <w:rFonts w:hint="default" w:ascii="Times New Roman" w:hAnsi="Times New Roman" w:cs="Times New Roman"/>
                <w:color w:val="000000"/>
                <w:highlight w:val="none"/>
              </w:rPr>
              <w:t>闽东南沿海台丘平原与近岸海域生态亚区</w:t>
            </w:r>
            <w:r>
              <w:rPr>
                <w:rFonts w:hint="default" w:ascii="Times New Roman" w:hAnsi="Times New Roman" w:cs="Times New Roman"/>
                <w:color w:val="000000"/>
                <w:highlight w:val="none"/>
                <w:lang w:val="en-US" w:eastAsia="zh-CN"/>
              </w:rPr>
              <w:t>”，陆域部分位于“5206龙高半岛土壤保持风沙控制和滨海旅游生态功能区”，海域部分位于“5208福清-崇武海域渔业和生物多样性保护生态功能区”，详见</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REF _Ref3219 \h </w:instrText>
            </w:r>
            <w:r>
              <w:rPr>
                <w:rFonts w:hint="default" w:ascii="Times New Roman" w:hAnsi="Times New Roman" w:cs="Times New Roman"/>
                <w:color w:val="000000"/>
                <w:highlight w:val="none"/>
                <w:lang w:val="en-US" w:eastAsia="zh-CN"/>
              </w:rPr>
              <w:fldChar w:fldCharType="separate"/>
            </w:r>
            <w:r>
              <w:rPr>
                <w:rFonts w:hint="default"/>
              </w:rPr>
              <w:t>图</w:t>
            </w:r>
            <w:r>
              <w:rPr>
                <w:rFonts w:hint="default"/>
              </w:rPr>
              <w:fldChar w:fldCharType="begin"/>
            </w:r>
            <w:r>
              <w:rPr>
                <w:rFonts w:hint="default"/>
              </w:rPr>
              <w:instrText xml:space="preserve"> STYLEREF 2 \s </w:instrText>
            </w:r>
            <w:r>
              <w:rPr>
                <w:rFonts w:hint="default"/>
              </w:rPr>
              <w:fldChar w:fldCharType="separate"/>
            </w:r>
            <w:r>
              <w:rPr>
                <w:rFonts w:hint="default"/>
              </w:rPr>
              <w:t>3.1</w:t>
            </w:r>
            <w:r>
              <w:rPr>
                <w:rFonts w:hint="default"/>
              </w:rPr>
              <w:fldChar w:fldCharType="end"/>
            </w:r>
            <w:r>
              <w:rPr>
                <w:rFonts w:hint="default"/>
                <w:lang w:eastAsia="zh-CN"/>
              </w:rPr>
              <w:t>-</w:t>
            </w:r>
            <w:r>
              <w:rPr>
                <w:rFonts w:hint="default"/>
              </w:rPr>
              <w:t>1</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val="en-US" w:eastAsia="zh-CN"/>
              </w:rPr>
              <w:t>。</w:t>
            </w:r>
          </w:p>
          <w:p w14:paraId="4ED1F446">
            <w:pPr>
              <w:pStyle w:val="31"/>
              <w:bidi w:val="0"/>
              <w:rPr>
                <w:rFonts w:hint="default"/>
              </w:rPr>
            </w:pPr>
            <w:r>
              <w:rPr>
                <w:rFonts w:hint="default" w:ascii="Times New Roman" w:hAnsi="Times New Roman" w:cs="Times New Roman"/>
                <w:color w:val="000000"/>
                <w:highlight w:val="none"/>
                <w:lang w:val="en-US" w:eastAsia="zh-CN"/>
              </w:rPr>
              <w:drawing>
                <wp:inline distT="0" distB="0" distL="114300" distR="114300">
                  <wp:extent cx="5093970" cy="3605530"/>
                  <wp:effectExtent l="9525" t="9525" r="20955" b="23495"/>
                  <wp:docPr id="61" name="图片 1053" descr="图2.3-1 与《福建省生态环境功能区划》位置关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053" descr="图2.3-1 与《福建省生态环境功能区划》位置关系"/>
                          <pic:cNvPicPr>
                            <a:picLocks noChangeAspect="1"/>
                          </pic:cNvPicPr>
                        </pic:nvPicPr>
                        <pic:blipFill>
                          <a:blip r:embed="rId16"/>
                          <a:stretch>
                            <a:fillRect/>
                          </a:stretch>
                        </pic:blipFill>
                        <pic:spPr>
                          <a:xfrm>
                            <a:off x="0" y="0"/>
                            <a:ext cx="5093970" cy="3605530"/>
                          </a:xfrm>
                          <a:prstGeom prst="rect">
                            <a:avLst/>
                          </a:prstGeom>
                          <a:noFill/>
                          <a:ln w="9525" cap="flat" cmpd="sng">
                            <a:solidFill>
                              <a:srgbClr val="000000"/>
                            </a:solidFill>
                            <a:prstDash val="solid"/>
                            <a:round/>
                            <a:headEnd type="none" w="med" len="med"/>
                            <a:tailEnd type="none" w="med" len="med"/>
                          </a:ln>
                        </pic:spPr>
                      </pic:pic>
                    </a:graphicData>
                  </a:graphic>
                </wp:inline>
              </w:drawing>
            </w:r>
          </w:p>
          <w:p w14:paraId="0F5B2E22">
            <w:pPr>
              <w:pStyle w:val="30"/>
              <w:bidi w:val="0"/>
              <w:rPr>
                <w:rFonts w:hint="default"/>
              </w:rPr>
            </w:pPr>
            <w:bookmarkStart w:id="174" w:name="_Ref3219"/>
            <w:r>
              <w:rPr>
                <w:rFonts w:hint="default"/>
              </w:rPr>
              <w:t>图</w:t>
            </w:r>
            <w:r>
              <w:rPr>
                <w:rFonts w:hint="default"/>
              </w:rPr>
              <w:fldChar w:fldCharType="begin"/>
            </w:r>
            <w:r>
              <w:rPr>
                <w:rFonts w:hint="default"/>
              </w:rPr>
              <w:instrText xml:space="preserve"> STYLEREF 2 \s </w:instrText>
            </w:r>
            <w:r>
              <w:rPr>
                <w:rFonts w:hint="default"/>
              </w:rPr>
              <w:fldChar w:fldCharType="separate"/>
            </w:r>
            <w:r>
              <w:rPr>
                <w:rFonts w:hint="default"/>
              </w:rPr>
              <w:t>3.1</w:t>
            </w:r>
            <w:r>
              <w:rPr>
                <w:rFonts w:hint="default"/>
              </w:rPr>
              <w:fldChar w:fldCharType="end"/>
            </w:r>
            <w:r>
              <w:rPr>
                <w:rFonts w:hint="default"/>
                <w:lang w:eastAsia="zh-CN"/>
              </w:rPr>
              <w:t>-</w:t>
            </w:r>
            <w:r>
              <w:rPr>
                <w:rFonts w:hint="default"/>
              </w:rPr>
              <w:fldChar w:fldCharType="begin"/>
            </w:r>
            <w:r>
              <w:rPr>
                <w:rFonts w:hint="default"/>
              </w:rPr>
              <w:instrText xml:space="preserve"> SEQ 图 \* ARABIC \s 2 </w:instrText>
            </w:r>
            <w:r>
              <w:rPr>
                <w:rFonts w:hint="default"/>
              </w:rPr>
              <w:fldChar w:fldCharType="separate"/>
            </w:r>
            <w:r>
              <w:rPr>
                <w:rFonts w:hint="default"/>
              </w:rPr>
              <w:t>1</w:t>
            </w:r>
            <w:r>
              <w:rPr>
                <w:rFonts w:hint="default"/>
              </w:rPr>
              <w:fldChar w:fldCharType="end"/>
            </w:r>
            <w:bookmarkEnd w:id="174"/>
            <w:r>
              <w:rPr>
                <w:rFonts w:hint="default"/>
                <w:lang w:val="en-US" w:eastAsia="zh-CN"/>
              </w:rPr>
              <w:t xml:space="preserve"> 与《福建省生态环境功能区划》位置关系</w:t>
            </w:r>
          </w:p>
          <w:p w14:paraId="73B052CA">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eastAsia" w:cs="Times New Roman"/>
                <w:color w:val="000000"/>
                <w:highlight w:val="none"/>
                <w:lang w:val="en-US" w:eastAsia="zh-CN"/>
              </w:rPr>
              <w:t>（2）</w:t>
            </w:r>
            <w:r>
              <w:rPr>
                <w:rFonts w:hint="default" w:ascii="Times New Roman" w:hAnsi="Times New Roman" w:cs="Times New Roman"/>
                <w:color w:val="000000"/>
                <w:highlight w:val="none"/>
                <w:lang w:val="en-US" w:eastAsia="zh-CN"/>
              </w:rPr>
              <w:t>福清市生态功能区划</w:t>
            </w:r>
          </w:p>
          <w:p w14:paraId="112F299A">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rPr>
            </w:pPr>
            <w:r>
              <w:rPr>
                <w:rFonts w:hint="default" w:ascii="Times New Roman" w:hAnsi="Times New Roman" w:cs="Times New Roman"/>
                <w:color w:val="000000"/>
                <w:highlight w:val="none"/>
                <w:lang w:val="en-US" w:eastAsia="zh-CN"/>
              </w:rPr>
              <w:t>本项目位于福清市东瀚镇海亮村东侧海域，根据福州市政府批复的《福清市生态功能区划》（榕政综[2006]63号），本项目陆域部分位于“520618101福清龙高半岛东南部沿海防风固沙与石漠化防治生态功能小区”，海域部分位于“520118112兴化湾渔业养殖与旅游环境生态功能小区”，详见</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REF _Ref9416 \h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rPr>
              <w:t>图</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3.1</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2</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val="en-US" w:eastAsia="zh-CN"/>
              </w:rPr>
              <w:t>。</w:t>
            </w:r>
          </w:p>
          <w:p w14:paraId="6E7008E9">
            <w:pPr>
              <w:pStyle w:val="31"/>
              <w:bidi w:val="0"/>
              <w:rPr>
                <w:rFonts w:hint="default"/>
              </w:rPr>
            </w:pPr>
            <w:r>
              <w:rPr>
                <w:rFonts w:hint="default" w:ascii="Times New Roman" w:hAnsi="Times New Roman" w:cs="Times New Roman"/>
                <w:color w:val="000000"/>
                <w:highlight w:val="none"/>
                <w:lang w:val="en-US" w:eastAsia="zh-CN"/>
              </w:rPr>
              <w:drawing>
                <wp:inline distT="0" distB="0" distL="114300" distR="114300">
                  <wp:extent cx="5093970" cy="4363720"/>
                  <wp:effectExtent l="0" t="0" r="11430" b="17780"/>
                  <wp:docPr id="62" name="图片 1054" descr="图2.3-2 与《福清市生态功能区划》位置关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054" descr="图2.3-2 与《福清市生态功能区划》位置关系"/>
                          <pic:cNvPicPr>
                            <a:picLocks noChangeAspect="1"/>
                          </pic:cNvPicPr>
                        </pic:nvPicPr>
                        <pic:blipFill>
                          <a:blip r:embed="rId17"/>
                          <a:stretch>
                            <a:fillRect/>
                          </a:stretch>
                        </pic:blipFill>
                        <pic:spPr>
                          <a:xfrm>
                            <a:off x="0" y="0"/>
                            <a:ext cx="5093970" cy="4363720"/>
                          </a:xfrm>
                          <a:prstGeom prst="rect">
                            <a:avLst/>
                          </a:prstGeom>
                          <a:noFill/>
                          <a:ln>
                            <a:noFill/>
                          </a:ln>
                        </pic:spPr>
                      </pic:pic>
                    </a:graphicData>
                  </a:graphic>
                </wp:inline>
              </w:drawing>
            </w:r>
          </w:p>
          <w:p w14:paraId="3F5C43E7">
            <w:pPr>
              <w:pStyle w:val="30"/>
              <w:bidi w:val="0"/>
              <w:rPr>
                <w:rFonts w:hint="default" w:ascii="Times New Roman" w:hAnsi="Times New Roman" w:cs="Times New Roman"/>
                <w:color w:val="000000"/>
                <w:highlight w:val="none"/>
                <w:lang w:val="en-US" w:eastAsia="zh-CN"/>
              </w:rPr>
            </w:pPr>
            <w:bookmarkStart w:id="175" w:name="_Ref9416"/>
            <w:r>
              <w:rPr>
                <w:rFonts w:hint="default" w:ascii="Times New Roman" w:hAnsi="Times New Roman" w:cs="Times New Roman"/>
                <w:color w:val="000000"/>
                <w:highlight w:val="none"/>
              </w:rPr>
              <w:t>图</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3.1</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图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2</w:t>
            </w:r>
            <w:r>
              <w:rPr>
                <w:rFonts w:hint="default" w:ascii="Times New Roman" w:hAnsi="Times New Roman" w:cs="Times New Roman"/>
                <w:color w:val="000000"/>
                <w:highlight w:val="none"/>
              </w:rPr>
              <w:fldChar w:fldCharType="end"/>
            </w:r>
            <w:bookmarkEnd w:id="175"/>
            <w:r>
              <w:rPr>
                <w:rFonts w:hint="default" w:ascii="Times New Roman" w:hAnsi="Times New Roman" w:cs="Times New Roman"/>
                <w:color w:val="000000"/>
                <w:highlight w:val="none"/>
                <w:lang w:val="en-US" w:eastAsia="zh-CN"/>
              </w:rPr>
              <w:t xml:space="preserve"> 与《福清市生态功能区划》位置关系</w:t>
            </w:r>
          </w:p>
          <w:p w14:paraId="620E78C1">
            <w:pPr>
              <w:pStyle w:val="4"/>
              <w:bidi w:val="0"/>
              <w:rPr>
                <w:rFonts w:hint="default"/>
              </w:rPr>
            </w:pPr>
            <w:r>
              <w:rPr>
                <w:rFonts w:hint="default"/>
              </w:rPr>
              <w:t>海水水质</w:t>
            </w:r>
          </w:p>
          <w:p w14:paraId="2EC655F8">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rPr>
            </w:pPr>
            <w:r>
              <w:rPr>
                <w:rFonts w:hint="default" w:ascii="Times New Roman" w:hAnsi="Times New Roman" w:cs="Times New Roman"/>
                <w:color w:val="000000"/>
                <w:highlight w:val="none"/>
                <w:lang w:val="en-US" w:eastAsia="zh-CN"/>
              </w:rPr>
              <w:t>根据《福州市近岸海域环境功能区划（修编）》（2024年），本工程所处海域为海坛海峡-兴化湾二类区（FZ28-B-Ⅱ），执行《海水水质标准》（GB3097-1997）中第二类标准；周边海域为万安港四类区（FZ30-D-Ⅲ），执行《海水水质标准》（GB3097-1997）中第三类标准。福州市近岸海域环境功能区划图见</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REF _Ref11946 \h </w:instrText>
            </w:r>
            <w:r>
              <w:rPr>
                <w:rFonts w:hint="default" w:ascii="Times New Roman" w:hAnsi="Times New Roman" w:cs="Times New Roman"/>
                <w:color w:val="000000"/>
                <w:highlight w:val="none"/>
                <w:lang w:val="en-US" w:eastAsia="zh-CN"/>
              </w:rPr>
              <w:fldChar w:fldCharType="separate"/>
            </w:r>
            <w:r>
              <w:rPr>
                <w:rFonts w:hint="default"/>
              </w:rPr>
              <w:t>图</w:t>
            </w:r>
            <w:r>
              <w:rPr>
                <w:rFonts w:hint="default"/>
              </w:rPr>
              <w:fldChar w:fldCharType="begin"/>
            </w:r>
            <w:r>
              <w:rPr>
                <w:rFonts w:hint="default"/>
              </w:rPr>
              <w:instrText xml:space="preserve"> STYLEREF 2 \s </w:instrText>
            </w:r>
            <w:r>
              <w:rPr>
                <w:rFonts w:hint="default"/>
              </w:rPr>
              <w:fldChar w:fldCharType="separate"/>
            </w:r>
            <w:r>
              <w:rPr>
                <w:rFonts w:hint="default"/>
              </w:rPr>
              <w:t>3.1</w:t>
            </w:r>
            <w:r>
              <w:rPr>
                <w:rFonts w:hint="default"/>
              </w:rPr>
              <w:fldChar w:fldCharType="end"/>
            </w:r>
            <w:r>
              <w:rPr>
                <w:rFonts w:hint="default"/>
                <w:lang w:eastAsia="zh-CN"/>
              </w:rPr>
              <w:t>-</w:t>
            </w:r>
            <w:r>
              <w:rPr>
                <w:rFonts w:hint="default"/>
              </w:rPr>
              <w:t>3</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val="en-US" w:eastAsia="zh-CN"/>
              </w:rPr>
              <w:t>，具体标准限值见</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REF _Ref11488 \h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3.1</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1</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val="en-US" w:eastAsia="zh-CN"/>
              </w:rPr>
              <w:t>。</w:t>
            </w:r>
          </w:p>
          <w:p w14:paraId="3FEF7812">
            <w:pPr>
              <w:pStyle w:val="31"/>
              <w:bidi w:val="0"/>
              <w:rPr>
                <w:rFonts w:hint="eastAsia" w:eastAsia="宋体"/>
                <w:lang w:eastAsia="zh-CN"/>
              </w:rPr>
            </w:pPr>
            <w:bookmarkStart w:id="176" w:name="_Ref18519"/>
            <w:r>
              <w:rPr>
                <w:rFonts w:hint="eastAsia"/>
                <w:lang w:eastAsia="zh-CN"/>
              </w:rPr>
              <w:t>（</w:t>
            </w:r>
            <w:r>
              <w:rPr>
                <w:rFonts w:hint="eastAsia"/>
                <w:lang w:val="en-US" w:eastAsia="zh-CN"/>
              </w:rPr>
              <w:t>涉密删除</w:t>
            </w:r>
            <w:r>
              <w:rPr>
                <w:rFonts w:hint="eastAsia"/>
                <w:lang w:eastAsia="zh-CN"/>
              </w:rPr>
              <w:t>）</w:t>
            </w:r>
          </w:p>
          <w:p w14:paraId="41A78A19">
            <w:pPr>
              <w:pStyle w:val="30"/>
              <w:bidi w:val="0"/>
              <w:rPr>
                <w:rFonts w:hint="default"/>
              </w:rPr>
            </w:pPr>
            <w:bookmarkStart w:id="177" w:name="_Ref11946"/>
            <w:r>
              <w:rPr>
                <w:rFonts w:hint="default"/>
              </w:rPr>
              <w:t>图</w:t>
            </w:r>
            <w:r>
              <w:rPr>
                <w:rFonts w:hint="default"/>
              </w:rPr>
              <w:fldChar w:fldCharType="begin"/>
            </w:r>
            <w:r>
              <w:rPr>
                <w:rFonts w:hint="default"/>
              </w:rPr>
              <w:instrText xml:space="preserve"> STYLEREF 2 \s </w:instrText>
            </w:r>
            <w:r>
              <w:rPr>
                <w:rFonts w:hint="default"/>
              </w:rPr>
              <w:fldChar w:fldCharType="separate"/>
            </w:r>
            <w:r>
              <w:rPr>
                <w:rFonts w:hint="default"/>
              </w:rPr>
              <w:t>3.1</w:t>
            </w:r>
            <w:r>
              <w:rPr>
                <w:rFonts w:hint="default"/>
              </w:rPr>
              <w:fldChar w:fldCharType="end"/>
            </w:r>
            <w:r>
              <w:rPr>
                <w:rFonts w:hint="default"/>
                <w:lang w:eastAsia="zh-CN"/>
              </w:rPr>
              <w:t>-</w:t>
            </w:r>
            <w:r>
              <w:rPr>
                <w:rFonts w:hint="default"/>
              </w:rPr>
              <w:fldChar w:fldCharType="begin"/>
            </w:r>
            <w:r>
              <w:rPr>
                <w:rFonts w:hint="default"/>
              </w:rPr>
              <w:instrText xml:space="preserve"> SEQ 图 \* ARABIC \s 2 </w:instrText>
            </w:r>
            <w:r>
              <w:rPr>
                <w:rFonts w:hint="default"/>
              </w:rPr>
              <w:fldChar w:fldCharType="separate"/>
            </w:r>
            <w:r>
              <w:rPr>
                <w:rFonts w:hint="default"/>
              </w:rPr>
              <w:t>3</w:t>
            </w:r>
            <w:r>
              <w:rPr>
                <w:rFonts w:hint="default"/>
              </w:rPr>
              <w:fldChar w:fldCharType="end"/>
            </w:r>
            <w:bookmarkEnd w:id="177"/>
            <w:r>
              <w:rPr>
                <w:rFonts w:hint="default"/>
                <w:lang w:val="en-US" w:eastAsia="zh-CN"/>
              </w:rPr>
              <w:t xml:space="preserve"> 福州市近岸海域环境功能区划图</w:t>
            </w:r>
          </w:p>
          <w:p w14:paraId="113E7D00">
            <w:pPr>
              <w:pStyle w:val="11"/>
              <w:rPr>
                <w:rFonts w:hint="default" w:ascii="Times New Roman" w:hAnsi="Times New Roman" w:cs="Times New Roman"/>
                <w:color w:val="000000"/>
                <w:highlight w:val="none"/>
                <w:lang w:val="en-US" w:eastAsia="zh-CN"/>
              </w:rPr>
            </w:pPr>
            <w:bookmarkStart w:id="178" w:name="_Ref11488"/>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3.1</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表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1</w:t>
            </w:r>
            <w:r>
              <w:rPr>
                <w:rFonts w:hint="default" w:ascii="Times New Roman" w:hAnsi="Times New Roman" w:cs="Times New Roman"/>
                <w:color w:val="000000"/>
                <w:highlight w:val="none"/>
              </w:rPr>
              <w:fldChar w:fldCharType="end"/>
            </w:r>
            <w:bookmarkEnd w:id="176"/>
            <w:bookmarkEnd w:id="178"/>
            <w:r>
              <w:rPr>
                <w:rFonts w:hint="default" w:ascii="Times New Roman" w:hAnsi="Times New Roman" w:cs="Times New Roman"/>
                <w:color w:val="000000"/>
                <w:highlight w:val="none"/>
                <w:lang w:val="en-US" w:eastAsia="zh-CN"/>
              </w:rPr>
              <w:t xml:space="preserve"> 《海水水质标准》（GB3097-1997）（摘录）</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5"/>
              <w:gridCol w:w="1288"/>
              <w:gridCol w:w="776"/>
              <w:gridCol w:w="1146"/>
              <w:gridCol w:w="1073"/>
              <w:gridCol w:w="1174"/>
              <w:gridCol w:w="2096"/>
            </w:tblGrid>
            <w:tr w14:paraId="28DAE9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7" w:type="pct"/>
                  <w:shd w:val="clear" w:color="auto" w:fill="auto"/>
                  <w:noWrap w:val="0"/>
                  <w:vAlign w:val="center"/>
                </w:tcPr>
                <w:p w14:paraId="6678E7D0">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序号</w:t>
                  </w:r>
                </w:p>
              </w:tc>
              <w:tc>
                <w:tcPr>
                  <w:tcW w:w="786" w:type="pct"/>
                  <w:shd w:val="clear" w:color="auto" w:fill="auto"/>
                  <w:noWrap w:val="0"/>
                  <w:vAlign w:val="center"/>
                </w:tcPr>
                <w:p w14:paraId="73F12B33">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项目</w:t>
                  </w:r>
                </w:p>
              </w:tc>
              <w:tc>
                <w:tcPr>
                  <w:tcW w:w="473" w:type="pct"/>
                  <w:shd w:val="clear" w:color="auto" w:fill="auto"/>
                  <w:noWrap w:val="0"/>
                  <w:vAlign w:val="center"/>
                </w:tcPr>
                <w:p w14:paraId="730F7192">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单位</w:t>
                  </w:r>
                </w:p>
              </w:tc>
              <w:tc>
                <w:tcPr>
                  <w:tcW w:w="699" w:type="pct"/>
                  <w:shd w:val="clear" w:color="auto" w:fill="auto"/>
                  <w:noWrap w:val="0"/>
                  <w:vAlign w:val="center"/>
                </w:tcPr>
                <w:p w14:paraId="30D063D8">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第一类</w:t>
                  </w:r>
                </w:p>
              </w:tc>
              <w:tc>
                <w:tcPr>
                  <w:tcW w:w="655" w:type="pct"/>
                  <w:shd w:val="clear" w:color="auto" w:fill="BEBEBE"/>
                  <w:noWrap w:val="0"/>
                  <w:vAlign w:val="center"/>
                </w:tcPr>
                <w:p w14:paraId="69A62D5C">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第二类</w:t>
                  </w:r>
                </w:p>
              </w:tc>
              <w:tc>
                <w:tcPr>
                  <w:tcW w:w="716" w:type="pct"/>
                  <w:noWrap w:val="0"/>
                  <w:vAlign w:val="center"/>
                </w:tcPr>
                <w:p w14:paraId="7655111B">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第三类</w:t>
                  </w:r>
                </w:p>
              </w:tc>
              <w:tc>
                <w:tcPr>
                  <w:tcW w:w="1280" w:type="pct"/>
                  <w:noWrap w:val="0"/>
                  <w:vAlign w:val="center"/>
                </w:tcPr>
                <w:p w14:paraId="089FAF30">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第四类</w:t>
                  </w:r>
                </w:p>
              </w:tc>
            </w:tr>
            <w:tr w14:paraId="3D6A47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7" w:type="pct"/>
                  <w:shd w:val="clear" w:color="auto" w:fill="auto"/>
                  <w:noWrap w:val="0"/>
                  <w:vAlign w:val="center"/>
                </w:tcPr>
                <w:p w14:paraId="693B39A8">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w:t>
                  </w:r>
                </w:p>
              </w:tc>
              <w:tc>
                <w:tcPr>
                  <w:tcW w:w="786" w:type="pct"/>
                  <w:shd w:val="clear" w:color="auto" w:fill="auto"/>
                  <w:noWrap w:val="0"/>
                  <w:vAlign w:val="center"/>
                </w:tcPr>
                <w:p w14:paraId="67E70BC3">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悬浮物质</w:t>
                  </w:r>
                </w:p>
              </w:tc>
              <w:tc>
                <w:tcPr>
                  <w:tcW w:w="473" w:type="pct"/>
                  <w:shd w:val="clear" w:color="auto" w:fill="auto"/>
                  <w:noWrap w:val="0"/>
                  <w:vAlign w:val="center"/>
                </w:tcPr>
                <w:p w14:paraId="559646C5">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mg/L</w:t>
                  </w:r>
                </w:p>
              </w:tc>
              <w:tc>
                <w:tcPr>
                  <w:tcW w:w="1354" w:type="pct"/>
                  <w:gridSpan w:val="2"/>
                  <w:shd w:val="clear" w:color="auto" w:fill="BEBEBE"/>
                  <w:noWrap w:val="0"/>
                  <w:vAlign w:val="center"/>
                </w:tcPr>
                <w:p w14:paraId="331B7E6D">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人为增加的量≤10</w:t>
                  </w:r>
                </w:p>
              </w:tc>
              <w:tc>
                <w:tcPr>
                  <w:tcW w:w="716" w:type="pct"/>
                  <w:noWrap w:val="0"/>
                  <w:vAlign w:val="center"/>
                </w:tcPr>
                <w:p w14:paraId="7B178AA9">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人为增加的量≤100</w:t>
                  </w:r>
                </w:p>
              </w:tc>
              <w:tc>
                <w:tcPr>
                  <w:tcW w:w="1280" w:type="pct"/>
                  <w:noWrap w:val="0"/>
                  <w:vAlign w:val="center"/>
                </w:tcPr>
                <w:p w14:paraId="2BD5E853">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人为增加的量≤150</w:t>
                  </w:r>
                </w:p>
              </w:tc>
            </w:tr>
            <w:tr w14:paraId="37C4C0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7" w:type="pct"/>
                  <w:shd w:val="clear" w:color="auto" w:fill="auto"/>
                  <w:noWrap w:val="0"/>
                  <w:vAlign w:val="center"/>
                </w:tcPr>
                <w:p w14:paraId="0491B5C9">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w:t>
                  </w:r>
                </w:p>
              </w:tc>
              <w:tc>
                <w:tcPr>
                  <w:tcW w:w="786" w:type="pct"/>
                  <w:shd w:val="clear" w:color="auto" w:fill="auto"/>
                  <w:noWrap w:val="0"/>
                  <w:vAlign w:val="center"/>
                </w:tcPr>
                <w:p w14:paraId="7D954548">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水温</w:t>
                  </w:r>
                </w:p>
              </w:tc>
              <w:tc>
                <w:tcPr>
                  <w:tcW w:w="473" w:type="pct"/>
                  <w:shd w:val="clear" w:color="auto" w:fill="auto"/>
                  <w:noWrap w:val="0"/>
                  <w:vAlign w:val="center"/>
                </w:tcPr>
                <w:p w14:paraId="6C17F77D">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w:t>
                  </w:r>
                </w:p>
              </w:tc>
              <w:tc>
                <w:tcPr>
                  <w:tcW w:w="1354" w:type="pct"/>
                  <w:gridSpan w:val="2"/>
                  <w:shd w:val="clear" w:color="auto" w:fill="BEBEBE"/>
                  <w:noWrap w:val="0"/>
                  <w:vAlign w:val="center"/>
                </w:tcPr>
                <w:p w14:paraId="36DB00FD">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人为造成的海水温升夏季不超过当时当地1℃，其它季节不超过2℃</w:t>
                  </w:r>
                </w:p>
              </w:tc>
              <w:tc>
                <w:tcPr>
                  <w:tcW w:w="1996" w:type="pct"/>
                  <w:gridSpan w:val="2"/>
                  <w:noWrap w:val="0"/>
                  <w:vAlign w:val="center"/>
                </w:tcPr>
                <w:p w14:paraId="2442B007">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人为造成的海水温升不超过当时当地4℃</w:t>
                  </w:r>
                </w:p>
              </w:tc>
            </w:tr>
            <w:tr w14:paraId="38BD64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7" w:type="pct"/>
                  <w:shd w:val="clear" w:color="auto" w:fill="auto"/>
                  <w:noWrap w:val="0"/>
                  <w:vAlign w:val="center"/>
                </w:tcPr>
                <w:p w14:paraId="44CF3C0A">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3</w:t>
                  </w:r>
                </w:p>
              </w:tc>
              <w:tc>
                <w:tcPr>
                  <w:tcW w:w="786" w:type="pct"/>
                  <w:shd w:val="clear" w:color="auto" w:fill="auto"/>
                  <w:noWrap w:val="0"/>
                  <w:vAlign w:val="center"/>
                </w:tcPr>
                <w:p w14:paraId="61C0F2A4">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pH</w:t>
                  </w:r>
                </w:p>
              </w:tc>
              <w:tc>
                <w:tcPr>
                  <w:tcW w:w="473" w:type="pct"/>
                  <w:shd w:val="clear" w:color="auto" w:fill="auto"/>
                  <w:noWrap w:val="0"/>
                  <w:vAlign w:val="center"/>
                </w:tcPr>
                <w:p w14:paraId="21614676">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无量纲</w:t>
                  </w:r>
                </w:p>
              </w:tc>
              <w:tc>
                <w:tcPr>
                  <w:tcW w:w="1354" w:type="pct"/>
                  <w:gridSpan w:val="2"/>
                  <w:shd w:val="clear" w:color="auto" w:fill="BEBEBE"/>
                  <w:noWrap w:val="0"/>
                  <w:vAlign w:val="center"/>
                </w:tcPr>
                <w:p w14:paraId="02B317BF">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7.8~8.5</w:t>
                  </w:r>
                </w:p>
                <w:p w14:paraId="443E36E8">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同时不超出该海域正常变动范围的0.2pH单位</w:t>
                  </w:r>
                </w:p>
              </w:tc>
              <w:tc>
                <w:tcPr>
                  <w:tcW w:w="1996" w:type="pct"/>
                  <w:gridSpan w:val="2"/>
                  <w:noWrap w:val="0"/>
                  <w:vAlign w:val="center"/>
                </w:tcPr>
                <w:p w14:paraId="5C40F8DC">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6.8~8.8</w:t>
                  </w:r>
                </w:p>
                <w:p w14:paraId="090363E3">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同时不超出该海域正常变动范围的0.5pH单位</w:t>
                  </w:r>
                </w:p>
              </w:tc>
            </w:tr>
            <w:tr w14:paraId="75B39D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7" w:type="pct"/>
                  <w:shd w:val="clear" w:color="auto" w:fill="auto"/>
                  <w:noWrap w:val="0"/>
                  <w:vAlign w:val="center"/>
                </w:tcPr>
                <w:p w14:paraId="57188ABC">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4</w:t>
                  </w:r>
                </w:p>
              </w:tc>
              <w:tc>
                <w:tcPr>
                  <w:tcW w:w="786" w:type="pct"/>
                  <w:shd w:val="clear" w:color="auto" w:fill="auto"/>
                  <w:noWrap w:val="0"/>
                  <w:vAlign w:val="center"/>
                </w:tcPr>
                <w:p w14:paraId="6F307F0A">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溶解氧＞</w:t>
                  </w:r>
                </w:p>
              </w:tc>
              <w:tc>
                <w:tcPr>
                  <w:tcW w:w="473" w:type="pct"/>
                  <w:shd w:val="clear" w:color="auto" w:fill="auto"/>
                  <w:noWrap w:val="0"/>
                  <w:vAlign w:val="center"/>
                </w:tcPr>
                <w:p w14:paraId="5BF5DE13">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mg/L</w:t>
                  </w:r>
                </w:p>
              </w:tc>
              <w:tc>
                <w:tcPr>
                  <w:tcW w:w="699" w:type="pct"/>
                  <w:shd w:val="clear" w:color="auto" w:fill="auto"/>
                  <w:noWrap w:val="0"/>
                  <w:vAlign w:val="center"/>
                </w:tcPr>
                <w:p w14:paraId="539C75CF">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6</w:t>
                  </w:r>
                </w:p>
              </w:tc>
              <w:tc>
                <w:tcPr>
                  <w:tcW w:w="655" w:type="pct"/>
                  <w:shd w:val="clear" w:color="auto" w:fill="BEBEBE"/>
                  <w:noWrap w:val="0"/>
                  <w:vAlign w:val="center"/>
                </w:tcPr>
                <w:p w14:paraId="230EBDA2">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5</w:t>
                  </w:r>
                </w:p>
              </w:tc>
              <w:tc>
                <w:tcPr>
                  <w:tcW w:w="716" w:type="pct"/>
                  <w:noWrap w:val="0"/>
                  <w:vAlign w:val="center"/>
                </w:tcPr>
                <w:p w14:paraId="55A8C038">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4</w:t>
                  </w:r>
                </w:p>
              </w:tc>
              <w:tc>
                <w:tcPr>
                  <w:tcW w:w="1280" w:type="pct"/>
                  <w:noWrap w:val="0"/>
                  <w:vAlign w:val="center"/>
                </w:tcPr>
                <w:p w14:paraId="6A5886D8">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3</w:t>
                  </w:r>
                </w:p>
              </w:tc>
            </w:tr>
            <w:tr w14:paraId="1DA5DF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7" w:type="pct"/>
                  <w:shd w:val="clear" w:color="auto" w:fill="auto"/>
                  <w:noWrap w:val="0"/>
                  <w:vAlign w:val="center"/>
                </w:tcPr>
                <w:p w14:paraId="10B534F3">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5</w:t>
                  </w:r>
                </w:p>
              </w:tc>
              <w:tc>
                <w:tcPr>
                  <w:tcW w:w="786" w:type="pct"/>
                  <w:shd w:val="clear" w:color="auto" w:fill="auto"/>
                  <w:noWrap w:val="0"/>
                  <w:vAlign w:val="center"/>
                </w:tcPr>
                <w:p w14:paraId="17DE4DE5">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化学需氧量（COD）≤</w:t>
                  </w:r>
                </w:p>
              </w:tc>
              <w:tc>
                <w:tcPr>
                  <w:tcW w:w="473" w:type="pct"/>
                  <w:shd w:val="clear" w:color="auto" w:fill="auto"/>
                  <w:noWrap w:val="0"/>
                  <w:vAlign w:val="center"/>
                </w:tcPr>
                <w:p w14:paraId="45BF8CF6">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mg/L</w:t>
                  </w:r>
                </w:p>
              </w:tc>
              <w:tc>
                <w:tcPr>
                  <w:tcW w:w="699" w:type="pct"/>
                  <w:shd w:val="clear" w:color="auto" w:fill="auto"/>
                  <w:noWrap w:val="0"/>
                  <w:vAlign w:val="center"/>
                </w:tcPr>
                <w:p w14:paraId="0DED6BA6">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w:t>
                  </w:r>
                </w:p>
              </w:tc>
              <w:tc>
                <w:tcPr>
                  <w:tcW w:w="655" w:type="pct"/>
                  <w:shd w:val="clear" w:color="auto" w:fill="BEBEBE"/>
                  <w:noWrap w:val="0"/>
                  <w:vAlign w:val="center"/>
                </w:tcPr>
                <w:p w14:paraId="39530C2E">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3</w:t>
                  </w:r>
                </w:p>
              </w:tc>
              <w:tc>
                <w:tcPr>
                  <w:tcW w:w="716" w:type="pct"/>
                  <w:noWrap w:val="0"/>
                  <w:vAlign w:val="center"/>
                </w:tcPr>
                <w:p w14:paraId="25B7DA22">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4</w:t>
                  </w:r>
                </w:p>
              </w:tc>
              <w:tc>
                <w:tcPr>
                  <w:tcW w:w="1280" w:type="pct"/>
                  <w:noWrap w:val="0"/>
                  <w:vAlign w:val="center"/>
                </w:tcPr>
                <w:p w14:paraId="2E8B375D">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5</w:t>
                  </w:r>
                </w:p>
              </w:tc>
            </w:tr>
            <w:tr w14:paraId="12F29D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7" w:type="pct"/>
                  <w:shd w:val="clear" w:color="auto" w:fill="auto"/>
                  <w:noWrap w:val="0"/>
                  <w:vAlign w:val="center"/>
                </w:tcPr>
                <w:p w14:paraId="6BFC4FC4">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6</w:t>
                  </w:r>
                </w:p>
              </w:tc>
              <w:tc>
                <w:tcPr>
                  <w:tcW w:w="786" w:type="pct"/>
                  <w:shd w:val="clear" w:color="auto" w:fill="auto"/>
                  <w:noWrap w:val="0"/>
                  <w:vAlign w:val="center"/>
                </w:tcPr>
                <w:p w14:paraId="2B0DE1F1">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生化需氧量（BOD</w:t>
                  </w:r>
                  <w:r>
                    <w:rPr>
                      <w:rFonts w:hint="default" w:ascii="Times New Roman" w:hAnsi="Times New Roman" w:cs="Times New Roman"/>
                      <w:color w:val="000000"/>
                      <w:highlight w:val="none"/>
                      <w:vertAlign w:val="subscript"/>
                      <w:lang w:val="en-US" w:eastAsia="zh-CN"/>
                    </w:rPr>
                    <w:t>5</w:t>
                  </w:r>
                  <w:r>
                    <w:rPr>
                      <w:rFonts w:hint="default" w:ascii="Times New Roman" w:hAnsi="Times New Roman" w:cs="Times New Roman"/>
                      <w:color w:val="000000"/>
                      <w:highlight w:val="none"/>
                      <w:lang w:val="en-US" w:eastAsia="zh-CN"/>
                    </w:rPr>
                    <w:t>）≤</w:t>
                  </w:r>
                </w:p>
              </w:tc>
              <w:tc>
                <w:tcPr>
                  <w:tcW w:w="473" w:type="pct"/>
                  <w:shd w:val="clear" w:color="auto" w:fill="auto"/>
                  <w:noWrap w:val="0"/>
                  <w:vAlign w:val="center"/>
                </w:tcPr>
                <w:p w14:paraId="2EA77E4B">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mg/L</w:t>
                  </w:r>
                </w:p>
              </w:tc>
              <w:tc>
                <w:tcPr>
                  <w:tcW w:w="699" w:type="pct"/>
                  <w:shd w:val="clear" w:color="auto" w:fill="auto"/>
                  <w:noWrap w:val="0"/>
                  <w:vAlign w:val="center"/>
                </w:tcPr>
                <w:p w14:paraId="3EC35E3C">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w:t>
                  </w:r>
                </w:p>
              </w:tc>
              <w:tc>
                <w:tcPr>
                  <w:tcW w:w="655" w:type="pct"/>
                  <w:shd w:val="clear" w:color="auto" w:fill="BEBEBE"/>
                  <w:noWrap w:val="0"/>
                  <w:vAlign w:val="center"/>
                </w:tcPr>
                <w:p w14:paraId="2D4CEEF1">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3</w:t>
                  </w:r>
                </w:p>
              </w:tc>
              <w:tc>
                <w:tcPr>
                  <w:tcW w:w="716" w:type="pct"/>
                  <w:noWrap w:val="0"/>
                  <w:vAlign w:val="center"/>
                </w:tcPr>
                <w:p w14:paraId="0040937E">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4</w:t>
                  </w:r>
                </w:p>
              </w:tc>
              <w:tc>
                <w:tcPr>
                  <w:tcW w:w="1280" w:type="pct"/>
                  <w:noWrap w:val="0"/>
                  <w:vAlign w:val="center"/>
                </w:tcPr>
                <w:p w14:paraId="4649F061">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5</w:t>
                  </w:r>
                </w:p>
              </w:tc>
            </w:tr>
            <w:tr w14:paraId="406AB3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7" w:type="pct"/>
                  <w:shd w:val="clear" w:color="auto" w:fill="auto"/>
                  <w:noWrap w:val="0"/>
                  <w:vAlign w:val="center"/>
                </w:tcPr>
                <w:p w14:paraId="0BB2669F">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7</w:t>
                  </w:r>
                </w:p>
              </w:tc>
              <w:tc>
                <w:tcPr>
                  <w:tcW w:w="786" w:type="pct"/>
                  <w:shd w:val="clear" w:color="auto" w:fill="auto"/>
                  <w:noWrap w:val="0"/>
                  <w:vAlign w:val="center"/>
                </w:tcPr>
                <w:p w14:paraId="17041D45">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无机氮（以N计）≤</w:t>
                  </w:r>
                </w:p>
              </w:tc>
              <w:tc>
                <w:tcPr>
                  <w:tcW w:w="473" w:type="pct"/>
                  <w:shd w:val="clear" w:color="auto" w:fill="auto"/>
                  <w:noWrap w:val="0"/>
                  <w:vAlign w:val="center"/>
                </w:tcPr>
                <w:p w14:paraId="6873E64C">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mg/L</w:t>
                  </w:r>
                </w:p>
              </w:tc>
              <w:tc>
                <w:tcPr>
                  <w:tcW w:w="699" w:type="pct"/>
                  <w:shd w:val="clear" w:color="auto" w:fill="auto"/>
                  <w:noWrap w:val="0"/>
                  <w:vAlign w:val="center"/>
                </w:tcPr>
                <w:p w14:paraId="62616570">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0.20</w:t>
                  </w:r>
                </w:p>
              </w:tc>
              <w:tc>
                <w:tcPr>
                  <w:tcW w:w="655" w:type="pct"/>
                  <w:shd w:val="clear" w:color="auto" w:fill="BEBEBE"/>
                  <w:noWrap w:val="0"/>
                  <w:vAlign w:val="center"/>
                </w:tcPr>
                <w:p w14:paraId="33C7B54C">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0.30</w:t>
                  </w:r>
                </w:p>
              </w:tc>
              <w:tc>
                <w:tcPr>
                  <w:tcW w:w="716" w:type="pct"/>
                  <w:noWrap w:val="0"/>
                  <w:vAlign w:val="center"/>
                </w:tcPr>
                <w:p w14:paraId="766B30FB">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0.40</w:t>
                  </w:r>
                </w:p>
              </w:tc>
              <w:tc>
                <w:tcPr>
                  <w:tcW w:w="1280" w:type="pct"/>
                  <w:noWrap w:val="0"/>
                  <w:vAlign w:val="center"/>
                </w:tcPr>
                <w:p w14:paraId="62737707">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0.50</w:t>
                  </w:r>
                </w:p>
              </w:tc>
            </w:tr>
            <w:tr w14:paraId="65174C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7" w:type="pct"/>
                  <w:shd w:val="clear" w:color="auto" w:fill="auto"/>
                  <w:noWrap w:val="0"/>
                  <w:vAlign w:val="center"/>
                </w:tcPr>
                <w:p w14:paraId="265CF600">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8</w:t>
                  </w:r>
                </w:p>
              </w:tc>
              <w:tc>
                <w:tcPr>
                  <w:tcW w:w="786" w:type="pct"/>
                  <w:shd w:val="clear" w:color="auto" w:fill="auto"/>
                  <w:noWrap w:val="0"/>
                  <w:vAlign w:val="center"/>
                </w:tcPr>
                <w:p w14:paraId="5554A13B">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活性磷酸盐（以P计）≤</w:t>
                  </w:r>
                </w:p>
              </w:tc>
              <w:tc>
                <w:tcPr>
                  <w:tcW w:w="473" w:type="pct"/>
                  <w:shd w:val="clear" w:color="auto" w:fill="auto"/>
                  <w:noWrap w:val="0"/>
                  <w:vAlign w:val="center"/>
                </w:tcPr>
                <w:p w14:paraId="7F9AD5A6">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mg/L</w:t>
                  </w:r>
                </w:p>
              </w:tc>
              <w:tc>
                <w:tcPr>
                  <w:tcW w:w="699" w:type="pct"/>
                  <w:shd w:val="clear" w:color="auto" w:fill="auto"/>
                  <w:noWrap w:val="0"/>
                  <w:vAlign w:val="center"/>
                </w:tcPr>
                <w:p w14:paraId="7A17C94B">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0.015</w:t>
                  </w:r>
                </w:p>
              </w:tc>
              <w:tc>
                <w:tcPr>
                  <w:tcW w:w="1371" w:type="pct"/>
                  <w:gridSpan w:val="2"/>
                  <w:shd w:val="clear" w:color="auto" w:fill="BEBEBE"/>
                  <w:noWrap w:val="0"/>
                  <w:vAlign w:val="center"/>
                </w:tcPr>
                <w:p w14:paraId="3BB56393">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0.030</w:t>
                  </w:r>
                </w:p>
              </w:tc>
              <w:tc>
                <w:tcPr>
                  <w:tcW w:w="1280" w:type="pct"/>
                  <w:noWrap w:val="0"/>
                  <w:vAlign w:val="center"/>
                </w:tcPr>
                <w:p w14:paraId="679E344B">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0.045</w:t>
                  </w:r>
                </w:p>
              </w:tc>
            </w:tr>
            <w:tr w14:paraId="7FDDFE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7" w:type="pct"/>
                  <w:shd w:val="clear" w:color="auto" w:fill="auto"/>
                  <w:noWrap w:val="0"/>
                  <w:vAlign w:val="center"/>
                </w:tcPr>
                <w:p w14:paraId="79234D53">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9</w:t>
                  </w:r>
                </w:p>
              </w:tc>
              <w:tc>
                <w:tcPr>
                  <w:tcW w:w="786" w:type="pct"/>
                  <w:shd w:val="clear" w:color="auto" w:fill="auto"/>
                  <w:noWrap w:val="0"/>
                  <w:vAlign w:val="center"/>
                </w:tcPr>
                <w:p w14:paraId="287560F8">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汞≤</w:t>
                  </w:r>
                </w:p>
              </w:tc>
              <w:tc>
                <w:tcPr>
                  <w:tcW w:w="473" w:type="pct"/>
                  <w:shd w:val="clear" w:color="auto" w:fill="auto"/>
                  <w:noWrap w:val="0"/>
                  <w:vAlign w:val="center"/>
                </w:tcPr>
                <w:p w14:paraId="5C1EA219">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mg/L</w:t>
                  </w:r>
                </w:p>
              </w:tc>
              <w:tc>
                <w:tcPr>
                  <w:tcW w:w="699" w:type="pct"/>
                  <w:shd w:val="clear" w:color="auto" w:fill="auto"/>
                  <w:noWrap w:val="0"/>
                  <w:vAlign w:val="center"/>
                </w:tcPr>
                <w:p w14:paraId="2BE776B7">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0.00005</w:t>
                  </w:r>
                </w:p>
              </w:tc>
              <w:tc>
                <w:tcPr>
                  <w:tcW w:w="1371" w:type="pct"/>
                  <w:gridSpan w:val="2"/>
                  <w:shd w:val="clear" w:color="auto" w:fill="BEBEBE"/>
                  <w:noWrap w:val="0"/>
                  <w:vAlign w:val="center"/>
                </w:tcPr>
                <w:p w14:paraId="05F273C7">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0.0002</w:t>
                  </w:r>
                </w:p>
              </w:tc>
              <w:tc>
                <w:tcPr>
                  <w:tcW w:w="1280" w:type="pct"/>
                  <w:noWrap w:val="0"/>
                  <w:vAlign w:val="center"/>
                </w:tcPr>
                <w:p w14:paraId="6D2C70EC">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0.0005</w:t>
                  </w:r>
                </w:p>
              </w:tc>
            </w:tr>
            <w:tr w14:paraId="434E97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7" w:type="pct"/>
                  <w:shd w:val="clear" w:color="auto" w:fill="auto"/>
                  <w:noWrap w:val="0"/>
                  <w:vAlign w:val="center"/>
                </w:tcPr>
                <w:p w14:paraId="71BD7CB0">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10</w:t>
                  </w:r>
                </w:p>
              </w:tc>
              <w:tc>
                <w:tcPr>
                  <w:tcW w:w="786" w:type="pct"/>
                  <w:shd w:val="clear" w:color="auto" w:fill="auto"/>
                  <w:noWrap w:val="0"/>
                  <w:vAlign w:val="center"/>
                </w:tcPr>
                <w:p w14:paraId="73893067">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镉≤</w:t>
                  </w:r>
                </w:p>
              </w:tc>
              <w:tc>
                <w:tcPr>
                  <w:tcW w:w="473" w:type="pct"/>
                  <w:shd w:val="clear" w:color="auto" w:fill="auto"/>
                  <w:noWrap w:val="0"/>
                  <w:vAlign w:val="center"/>
                </w:tcPr>
                <w:p w14:paraId="795898AB">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mg/L</w:t>
                  </w:r>
                </w:p>
              </w:tc>
              <w:tc>
                <w:tcPr>
                  <w:tcW w:w="699" w:type="pct"/>
                  <w:shd w:val="clear" w:color="auto" w:fill="auto"/>
                  <w:noWrap w:val="0"/>
                  <w:vAlign w:val="center"/>
                </w:tcPr>
                <w:p w14:paraId="04F1B7A2">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0.001</w:t>
                  </w:r>
                </w:p>
              </w:tc>
              <w:tc>
                <w:tcPr>
                  <w:tcW w:w="655" w:type="pct"/>
                  <w:shd w:val="clear" w:color="auto" w:fill="BEBEBE"/>
                  <w:noWrap w:val="0"/>
                  <w:vAlign w:val="center"/>
                </w:tcPr>
                <w:p w14:paraId="43D640FA">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0.005</w:t>
                  </w:r>
                </w:p>
              </w:tc>
              <w:tc>
                <w:tcPr>
                  <w:tcW w:w="1996" w:type="pct"/>
                  <w:gridSpan w:val="2"/>
                  <w:noWrap w:val="0"/>
                  <w:vAlign w:val="center"/>
                </w:tcPr>
                <w:p w14:paraId="4055F88E">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0.010</w:t>
                  </w:r>
                </w:p>
              </w:tc>
            </w:tr>
            <w:tr w14:paraId="253BB5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7" w:type="pct"/>
                  <w:shd w:val="clear" w:color="auto" w:fill="auto"/>
                  <w:noWrap w:val="0"/>
                  <w:vAlign w:val="center"/>
                </w:tcPr>
                <w:p w14:paraId="47891718">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11</w:t>
                  </w:r>
                </w:p>
              </w:tc>
              <w:tc>
                <w:tcPr>
                  <w:tcW w:w="786" w:type="pct"/>
                  <w:shd w:val="clear" w:color="auto" w:fill="auto"/>
                  <w:noWrap w:val="0"/>
                  <w:vAlign w:val="center"/>
                </w:tcPr>
                <w:p w14:paraId="4B3D2E07">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铅≤</w:t>
                  </w:r>
                </w:p>
              </w:tc>
              <w:tc>
                <w:tcPr>
                  <w:tcW w:w="473" w:type="pct"/>
                  <w:shd w:val="clear" w:color="auto" w:fill="auto"/>
                  <w:noWrap w:val="0"/>
                  <w:vAlign w:val="center"/>
                </w:tcPr>
                <w:p w14:paraId="5F119979">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mg/L</w:t>
                  </w:r>
                </w:p>
              </w:tc>
              <w:tc>
                <w:tcPr>
                  <w:tcW w:w="699" w:type="pct"/>
                  <w:shd w:val="clear" w:color="auto" w:fill="auto"/>
                  <w:noWrap w:val="0"/>
                  <w:vAlign w:val="center"/>
                </w:tcPr>
                <w:p w14:paraId="530EB2E5">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0.001</w:t>
                  </w:r>
                </w:p>
              </w:tc>
              <w:tc>
                <w:tcPr>
                  <w:tcW w:w="655" w:type="pct"/>
                  <w:shd w:val="clear" w:color="auto" w:fill="BEBEBE"/>
                  <w:noWrap w:val="0"/>
                  <w:vAlign w:val="center"/>
                </w:tcPr>
                <w:p w14:paraId="5FFFF12D">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0.005</w:t>
                  </w:r>
                </w:p>
              </w:tc>
              <w:tc>
                <w:tcPr>
                  <w:tcW w:w="716" w:type="pct"/>
                  <w:noWrap w:val="0"/>
                  <w:vAlign w:val="center"/>
                </w:tcPr>
                <w:p w14:paraId="3562CEEF">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0.010</w:t>
                  </w:r>
                </w:p>
              </w:tc>
              <w:tc>
                <w:tcPr>
                  <w:tcW w:w="1280" w:type="pct"/>
                  <w:noWrap w:val="0"/>
                  <w:vAlign w:val="center"/>
                </w:tcPr>
                <w:p w14:paraId="08A62CB3">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0.050</w:t>
                  </w:r>
                </w:p>
              </w:tc>
            </w:tr>
            <w:tr w14:paraId="795000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7" w:type="pct"/>
                  <w:shd w:val="clear" w:color="auto" w:fill="auto"/>
                  <w:noWrap w:val="0"/>
                  <w:vAlign w:val="center"/>
                </w:tcPr>
                <w:p w14:paraId="06148411">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12</w:t>
                  </w:r>
                </w:p>
              </w:tc>
              <w:tc>
                <w:tcPr>
                  <w:tcW w:w="786" w:type="pct"/>
                  <w:shd w:val="clear" w:color="auto" w:fill="auto"/>
                  <w:noWrap w:val="0"/>
                  <w:vAlign w:val="center"/>
                </w:tcPr>
                <w:p w14:paraId="463D20A5">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六价铬≤</w:t>
                  </w:r>
                </w:p>
              </w:tc>
              <w:tc>
                <w:tcPr>
                  <w:tcW w:w="473" w:type="pct"/>
                  <w:shd w:val="clear" w:color="auto" w:fill="auto"/>
                  <w:noWrap w:val="0"/>
                  <w:vAlign w:val="center"/>
                </w:tcPr>
                <w:p w14:paraId="1BE88D41">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mg/L</w:t>
                  </w:r>
                </w:p>
              </w:tc>
              <w:tc>
                <w:tcPr>
                  <w:tcW w:w="699" w:type="pct"/>
                  <w:shd w:val="clear" w:color="auto" w:fill="auto"/>
                  <w:noWrap w:val="0"/>
                  <w:vAlign w:val="center"/>
                </w:tcPr>
                <w:p w14:paraId="715AA2ED">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0.005</w:t>
                  </w:r>
                </w:p>
              </w:tc>
              <w:tc>
                <w:tcPr>
                  <w:tcW w:w="655" w:type="pct"/>
                  <w:shd w:val="clear" w:color="auto" w:fill="BEBEBE"/>
                  <w:noWrap w:val="0"/>
                  <w:vAlign w:val="center"/>
                </w:tcPr>
                <w:p w14:paraId="6B1A4742">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0.010</w:t>
                  </w:r>
                </w:p>
              </w:tc>
              <w:tc>
                <w:tcPr>
                  <w:tcW w:w="716" w:type="pct"/>
                  <w:noWrap w:val="0"/>
                  <w:vAlign w:val="center"/>
                </w:tcPr>
                <w:p w14:paraId="293A6231">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0.020</w:t>
                  </w:r>
                </w:p>
              </w:tc>
              <w:tc>
                <w:tcPr>
                  <w:tcW w:w="1280" w:type="pct"/>
                  <w:noWrap w:val="0"/>
                  <w:vAlign w:val="center"/>
                </w:tcPr>
                <w:p w14:paraId="13CB48CF">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0.050</w:t>
                  </w:r>
                </w:p>
              </w:tc>
            </w:tr>
            <w:tr w14:paraId="1599F9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7" w:type="pct"/>
                  <w:shd w:val="clear" w:color="auto" w:fill="auto"/>
                  <w:noWrap w:val="0"/>
                  <w:vAlign w:val="center"/>
                </w:tcPr>
                <w:p w14:paraId="2FB900A1">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13</w:t>
                  </w:r>
                </w:p>
              </w:tc>
              <w:tc>
                <w:tcPr>
                  <w:tcW w:w="786" w:type="pct"/>
                  <w:shd w:val="clear" w:color="auto" w:fill="auto"/>
                  <w:noWrap w:val="0"/>
                  <w:vAlign w:val="center"/>
                </w:tcPr>
                <w:p w14:paraId="2477A028">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总铬≤</w:t>
                  </w:r>
                </w:p>
              </w:tc>
              <w:tc>
                <w:tcPr>
                  <w:tcW w:w="473" w:type="pct"/>
                  <w:shd w:val="clear" w:color="auto" w:fill="auto"/>
                  <w:noWrap w:val="0"/>
                  <w:vAlign w:val="center"/>
                </w:tcPr>
                <w:p w14:paraId="1A52C0BE">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mg/L</w:t>
                  </w:r>
                </w:p>
              </w:tc>
              <w:tc>
                <w:tcPr>
                  <w:tcW w:w="699" w:type="pct"/>
                  <w:shd w:val="clear" w:color="auto" w:fill="auto"/>
                  <w:noWrap w:val="0"/>
                  <w:vAlign w:val="center"/>
                </w:tcPr>
                <w:p w14:paraId="37D5953D">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0.05</w:t>
                  </w:r>
                </w:p>
              </w:tc>
              <w:tc>
                <w:tcPr>
                  <w:tcW w:w="655" w:type="pct"/>
                  <w:shd w:val="clear" w:color="auto" w:fill="BEBEBE"/>
                  <w:noWrap w:val="0"/>
                  <w:vAlign w:val="center"/>
                </w:tcPr>
                <w:p w14:paraId="75F0FBE8">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0.10</w:t>
                  </w:r>
                </w:p>
              </w:tc>
              <w:tc>
                <w:tcPr>
                  <w:tcW w:w="716" w:type="pct"/>
                  <w:noWrap w:val="0"/>
                  <w:vAlign w:val="center"/>
                </w:tcPr>
                <w:p w14:paraId="1D2803E1">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0.20</w:t>
                  </w:r>
                </w:p>
              </w:tc>
              <w:tc>
                <w:tcPr>
                  <w:tcW w:w="1280" w:type="pct"/>
                  <w:noWrap w:val="0"/>
                  <w:vAlign w:val="center"/>
                </w:tcPr>
                <w:p w14:paraId="7BC2C465">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0.50</w:t>
                  </w:r>
                </w:p>
              </w:tc>
            </w:tr>
            <w:tr w14:paraId="6BA80C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7" w:type="pct"/>
                  <w:shd w:val="clear" w:color="auto" w:fill="auto"/>
                  <w:noWrap w:val="0"/>
                  <w:vAlign w:val="center"/>
                </w:tcPr>
                <w:p w14:paraId="2D26C703">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14</w:t>
                  </w:r>
                </w:p>
              </w:tc>
              <w:tc>
                <w:tcPr>
                  <w:tcW w:w="786" w:type="pct"/>
                  <w:shd w:val="clear" w:color="auto" w:fill="auto"/>
                  <w:noWrap w:val="0"/>
                  <w:vAlign w:val="center"/>
                </w:tcPr>
                <w:p w14:paraId="6B1FDF55">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砷≤</w:t>
                  </w:r>
                </w:p>
              </w:tc>
              <w:tc>
                <w:tcPr>
                  <w:tcW w:w="473" w:type="pct"/>
                  <w:shd w:val="clear" w:color="auto" w:fill="auto"/>
                  <w:noWrap w:val="0"/>
                  <w:vAlign w:val="center"/>
                </w:tcPr>
                <w:p w14:paraId="4D209915">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mg/L</w:t>
                  </w:r>
                </w:p>
              </w:tc>
              <w:tc>
                <w:tcPr>
                  <w:tcW w:w="699" w:type="pct"/>
                  <w:shd w:val="clear" w:color="auto" w:fill="auto"/>
                  <w:noWrap w:val="0"/>
                  <w:vAlign w:val="center"/>
                </w:tcPr>
                <w:p w14:paraId="28E583C7">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0.020</w:t>
                  </w:r>
                </w:p>
              </w:tc>
              <w:tc>
                <w:tcPr>
                  <w:tcW w:w="655" w:type="pct"/>
                  <w:shd w:val="clear" w:color="auto" w:fill="BEBEBE"/>
                  <w:noWrap w:val="0"/>
                  <w:vAlign w:val="center"/>
                </w:tcPr>
                <w:p w14:paraId="406819AD">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0.030</w:t>
                  </w:r>
                </w:p>
              </w:tc>
              <w:tc>
                <w:tcPr>
                  <w:tcW w:w="1996" w:type="pct"/>
                  <w:gridSpan w:val="2"/>
                  <w:noWrap w:val="0"/>
                  <w:vAlign w:val="center"/>
                </w:tcPr>
                <w:p w14:paraId="68EF6DAE">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0.050</w:t>
                  </w:r>
                </w:p>
              </w:tc>
            </w:tr>
            <w:tr w14:paraId="3BF031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7" w:type="pct"/>
                  <w:shd w:val="clear" w:color="auto" w:fill="auto"/>
                  <w:noWrap w:val="0"/>
                  <w:vAlign w:val="center"/>
                </w:tcPr>
                <w:p w14:paraId="512831C5">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15</w:t>
                  </w:r>
                </w:p>
              </w:tc>
              <w:tc>
                <w:tcPr>
                  <w:tcW w:w="786" w:type="pct"/>
                  <w:shd w:val="clear" w:color="auto" w:fill="auto"/>
                  <w:noWrap w:val="0"/>
                  <w:vAlign w:val="center"/>
                </w:tcPr>
                <w:p w14:paraId="0C524475">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铜≤</w:t>
                  </w:r>
                </w:p>
              </w:tc>
              <w:tc>
                <w:tcPr>
                  <w:tcW w:w="473" w:type="pct"/>
                  <w:shd w:val="clear" w:color="auto" w:fill="auto"/>
                  <w:noWrap w:val="0"/>
                  <w:vAlign w:val="center"/>
                </w:tcPr>
                <w:p w14:paraId="276A88EF">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mg/L</w:t>
                  </w:r>
                </w:p>
              </w:tc>
              <w:tc>
                <w:tcPr>
                  <w:tcW w:w="699" w:type="pct"/>
                  <w:shd w:val="clear" w:color="auto" w:fill="auto"/>
                  <w:noWrap w:val="0"/>
                  <w:vAlign w:val="center"/>
                </w:tcPr>
                <w:p w14:paraId="3B18C92E">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0.005</w:t>
                  </w:r>
                </w:p>
              </w:tc>
              <w:tc>
                <w:tcPr>
                  <w:tcW w:w="655" w:type="pct"/>
                  <w:shd w:val="clear" w:color="auto" w:fill="BEBEBE"/>
                  <w:noWrap w:val="0"/>
                  <w:vAlign w:val="center"/>
                </w:tcPr>
                <w:p w14:paraId="0D1A82DE">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0.010</w:t>
                  </w:r>
                </w:p>
              </w:tc>
              <w:tc>
                <w:tcPr>
                  <w:tcW w:w="1996" w:type="pct"/>
                  <w:gridSpan w:val="2"/>
                  <w:noWrap w:val="0"/>
                  <w:vAlign w:val="center"/>
                </w:tcPr>
                <w:p w14:paraId="6A3977EB">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0.050</w:t>
                  </w:r>
                </w:p>
              </w:tc>
            </w:tr>
            <w:tr w14:paraId="4A5571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7" w:type="pct"/>
                  <w:shd w:val="clear" w:color="auto" w:fill="auto"/>
                  <w:noWrap w:val="0"/>
                  <w:vAlign w:val="center"/>
                </w:tcPr>
                <w:p w14:paraId="60303E1B">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16</w:t>
                  </w:r>
                </w:p>
              </w:tc>
              <w:tc>
                <w:tcPr>
                  <w:tcW w:w="786" w:type="pct"/>
                  <w:shd w:val="clear" w:color="auto" w:fill="auto"/>
                  <w:noWrap w:val="0"/>
                  <w:vAlign w:val="center"/>
                </w:tcPr>
                <w:p w14:paraId="0247A693">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锌≤</w:t>
                  </w:r>
                </w:p>
              </w:tc>
              <w:tc>
                <w:tcPr>
                  <w:tcW w:w="473" w:type="pct"/>
                  <w:shd w:val="clear" w:color="auto" w:fill="auto"/>
                  <w:noWrap w:val="0"/>
                  <w:vAlign w:val="center"/>
                </w:tcPr>
                <w:p w14:paraId="37A03221">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mg/L</w:t>
                  </w:r>
                </w:p>
              </w:tc>
              <w:tc>
                <w:tcPr>
                  <w:tcW w:w="699" w:type="pct"/>
                  <w:shd w:val="clear" w:color="auto" w:fill="auto"/>
                  <w:noWrap w:val="0"/>
                  <w:vAlign w:val="center"/>
                </w:tcPr>
                <w:p w14:paraId="3EE5151F">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0.020</w:t>
                  </w:r>
                </w:p>
              </w:tc>
              <w:tc>
                <w:tcPr>
                  <w:tcW w:w="655" w:type="pct"/>
                  <w:shd w:val="clear" w:color="auto" w:fill="BEBEBE"/>
                  <w:noWrap w:val="0"/>
                  <w:vAlign w:val="center"/>
                </w:tcPr>
                <w:p w14:paraId="6AA8C573">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0.050</w:t>
                  </w:r>
                </w:p>
              </w:tc>
              <w:tc>
                <w:tcPr>
                  <w:tcW w:w="716" w:type="pct"/>
                  <w:noWrap w:val="0"/>
                  <w:vAlign w:val="center"/>
                </w:tcPr>
                <w:p w14:paraId="21073BF8">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0.10</w:t>
                  </w:r>
                </w:p>
              </w:tc>
              <w:tc>
                <w:tcPr>
                  <w:tcW w:w="1280" w:type="pct"/>
                  <w:noWrap w:val="0"/>
                  <w:vAlign w:val="center"/>
                </w:tcPr>
                <w:p w14:paraId="0AD20654">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0.50</w:t>
                  </w:r>
                </w:p>
              </w:tc>
            </w:tr>
            <w:tr w14:paraId="683851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7" w:type="pct"/>
                  <w:shd w:val="clear" w:color="auto" w:fill="auto"/>
                  <w:noWrap w:val="0"/>
                  <w:vAlign w:val="center"/>
                </w:tcPr>
                <w:p w14:paraId="5BAA404B">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17</w:t>
                  </w:r>
                </w:p>
              </w:tc>
              <w:tc>
                <w:tcPr>
                  <w:tcW w:w="786" w:type="pct"/>
                  <w:shd w:val="clear" w:color="auto" w:fill="auto"/>
                  <w:noWrap w:val="0"/>
                  <w:vAlign w:val="center"/>
                </w:tcPr>
                <w:p w14:paraId="3FDAE8CE">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镍≤</w:t>
                  </w:r>
                </w:p>
              </w:tc>
              <w:tc>
                <w:tcPr>
                  <w:tcW w:w="473" w:type="pct"/>
                  <w:shd w:val="clear" w:color="auto" w:fill="auto"/>
                  <w:noWrap w:val="0"/>
                  <w:vAlign w:val="center"/>
                </w:tcPr>
                <w:p w14:paraId="31AFF997">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mg/L</w:t>
                  </w:r>
                </w:p>
              </w:tc>
              <w:tc>
                <w:tcPr>
                  <w:tcW w:w="699" w:type="pct"/>
                  <w:shd w:val="clear" w:color="auto" w:fill="auto"/>
                  <w:noWrap w:val="0"/>
                  <w:vAlign w:val="center"/>
                </w:tcPr>
                <w:p w14:paraId="2F361EF0">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0.005</w:t>
                  </w:r>
                </w:p>
              </w:tc>
              <w:tc>
                <w:tcPr>
                  <w:tcW w:w="655" w:type="pct"/>
                  <w:shd w:val="clear" w:color="auto" w:fill="BEBEBE"/>
                  <w:noWrap w:val="0"/>
                  <w:vAlign w:val="center"/>
                </w:tcPr>
                <w:p w14:paraId="524A3950">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0.010</w:t>
                  </w:r>
                </w:p>
              </w:tc>
              <w:tc>
                <w:tcPr>
                  <w:tcW w:w="716" w:type="pct"/>
                  <w:noWrap w:val="0"/>
                  <w:vAlign w:val="center"/>
                </w:tcPr>
                <w:p w14:paraId="71C0C36A">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0.020</w:t>
                  </w:r>
                </w:p>
              </w:tc>
              <w:tc>
                <w:tcPr>
                  <w:tcW w:w="1280" w:type="pct"/>
                  <w:noWrap w:val="0"/>
                  <w:vAlign w:val="center"/>
                </w:tcPr>
                <w:p w14:paraId="343BE8FD">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0.050</w:t>
                  </w:r>
                </w:p>
              </w:tc>
            </w:tr>
            <w:tr w14:paraId="49D91A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7" w:type="pct"/>
                  <w:shd w:val="clear" w:color="auto" w:fill="auto"/>
                  <w:noWrap w:val="0"/>
                  <w:vAlign w:val="center"/>
                </w:tcPr>
                <w:p w14:paraId="6A2EE5C8">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18</w:t>
                  </w:r>
                </w:p>
              </w:tc>
              <w:tc>
                <w:tcPr>
                  <w:tcW w:w="786" w:type="pct"/>
                  <w:shd w:val="clear" w:color="auto" w:fill="auto"/>
                  <w:noWrap w:val="0"/>
                  <w:vAlign w:val="center"/>
                </w:tcPr>
                <w:p w14:paraId="13CB6FCD">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氰化物≤</w:t>
                  </w:r>
                </w:p>
              </w:tc>
              <w:tc>
                <w:tcPr>
                  <w:tcW w:w="473" w:type="pct"/>
                  <w:shd w:val="clear" w:color="auto" w:fill="auto"/>
                  <w:noWrap w:val="0"/>
                  <w:vAlign w:val="center"/>
                </w:tcPr>
                <w:p w14:paraId="1832A1FE">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mg/L</w:t>
                  </w:r>
                </w:p>
              </w:tc>
              <w:tc>
                <w:tcPr>
                  <w:tcW w:w="1354" w:type="pct"/>
                  <w:gridSpan w:val="2"/>
                  <w:shd w:val="clear" w:color="auto" w:fill="BEBEBE"/>
                  <w:noWrap w:val="0"/>
                  <w:vAlign w:val="center"/>
                </w:tcPr>
                <w:p w14:paraId="156DF5C5">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0.005</w:t>
                  </w:r>
                </w:p>
              </w:tc>
              <w:tc>
                <w:tcPr>
                  <w:tcW w:w="716" w:type="pct"/>
                  <w:noWrap w:val="0"/>
                  <w:vAlign w:val="center"/>
                </w:tcPr>
                <w:p w14:paraId="50C95156">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0.10</w:t>
                  </w:r>
                </w:p>
              </w:tc>
              <w:tc>
                <w:tcPr>
                  <w:tcW w:w="1280" w:type="pct"/>
                  <w:noWrap w:val="0"/>
                  <w:vAlign w:val="center"/>
                </w:tcPr>
                <w:p w14:paraId="74082749">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0.20</w:t>
                  </w:r>
                </w:p>
              </w:tc>
            </w:tr>
            <w:tr w14:paraId="34D8A3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7" w:type="pct"/>
                  <w:shd w:val="clear" w:color="auto" w:fill="auto"/>
                  <w:noWrap w:val="0"/>
                  <w:vAlign w:val="center"/>
                </w:tcPr>
                <w:p w14:paraId="7C3DB8D4">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19</w:t>
                  </w:r>
                </w:p>
              </w:tc>
              <w:tc>
                <w:tcPr>
                  <w:tcW w:w="786" w:type="pct"/>
                  <w:shd w:val="clear" w:color="auto" w:fill="auto"/>
                  <w:noWrap w:val="0"/>
                  <w:vAlign w:val="center"/>
                </w:tcPr>
                <w:p w14:paraId="5B580AE2">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硫化物（以S计）≤</w:t>
                  </w:r>
                </w:p>
              </w:tc>
              <w:tc>
                <w:tcPr>
                  <w:tcW w:w="473" w:type="pct"/>
                  <w:shd w:val="clear" w:color="auto" w:fill="auto"/>
                  <w:noWrap w:val="0"/>
                  <w:vAlign w:val="center"/>
                </w:tcPr>
                <w:p w14:paraId="74028C19">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mg/L</w:t>
                  </w:r>
                </w:p>
              </w:tc>
              <w:tc>
                <w:tcPr>
                  <w:tcW w:w="699" w:type="pct"/>
                  <w:shd w:val="clear" w:color="auto" w:fill="auto"/>
                  <w:noWrap w:val="0"/>
                  <w:vAlign w:val="center"/>
                </w:tcPr>
                <w:p w14:paraId="4F506F1A">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0.02</w:t>
                  </w:r>
                </w:p>
              </w:tc>
              <w:tc>
                <w:tcPr>
                  <w:tcW w:w="655" w:type="pct"/>
                  <w:shd w:val="clear" w:color="auto" w:fill="BEBEBE"/>
                  <w:noWrap w:val="0"/>
                  <w:vAlign w:val="center"/>
                </w:tcPr>
                <w:p w14:paraId="39BF6D49">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0.05</w:t>
                  </w:r>
                </w:p>
              </w:tc>
              <w:tc>
                <w:tcPr>
                  <w:tcW w:w="716" w:type="pct"/>
                  <w:noWrap w:val="0"/>
                  <w:vAlign w:val="center"/>
                </w:tcPr>
                <w:p w14:paraId="40DCB8A5">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0.10</w:t>
                  </w:r>
                </w:p>
              </w:tc>
              <w:tc>
                <w:tcPr>
                  <w:tcW w:w="1280" w:type="pct"/>
                  <w:noWrap w:val="0"/>
                  <w:vAlign w:val="center"/>
                </w:tcPr>
                <w:p w14:paraId="16185153">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0.25</w:t>
                  </w:r>
                </w:p>
              </w:tc>
            </w:tr>
            <w:tr w14:paraId="4AC229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7" w:type="pct"/>
                  <w:shd w:val="clear" w:color="auto" w:fill="auto"/>
                  <w:noWrap w:val="0"/>
                  <w:vAlign w:val="center"/>
                </w:tcPr>
                <w:p w14:paraId="47371921">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20</w:t>
                  </w:r>
                </w:p>
              </w:tc>
              <w:tc>
                <w:tcPr>
                  <w:tcW w:w="786" w:type="pct"/>
                  <w:shd w:val="clear" w:color="auto" w:fill="auto"/>
                  <w:noWrap w:val="0"/>
                  <w:vAlign w:val="center"/>
                </w:tcPr>
                <w:p w14:paraId="53B4E53B">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挥发性酚≤</w:t>
                  </w:r>
                </w:p>
              </w:tc>
              <w:tc>
                <w:tcPr>
                  <w:tcW w:w="473" w:type="pct"/>
                  <w:shd w:val="clear" w:color="auto" w:fill="auto"/>
                  <w:noWrap w:val="0"/>
                  <w:vAlign w:val="center"/>
                </w:tcPr>
                <w:p w14:paraId="583BFA4E">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mg/L</w:t>
                  </w:r>
                </w:p>
              </w:tc>
              <w:tc>
                <w:tcPr>
                  <w:tcW w:w="1354" w:type="pct"/>
                  <w:gridSpan w:val="2"/>
                  <w:shd w:val="clear" w:color="auto" w:fill="BEBEBE"/>
                  <w:noWrap w:val="0"/>
                  <w:vAlign w:val="center"/>
                </w:tcPr>
                <w:p w14:paraId="51D2810A">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0.005</w:t>
                  </w:r>
                </w:p>
              </w:tc>
              <w:tc>
                <w:tcPr>
                  <w:tcW w:w="716" w:type="pct"/>
                  <w:noWrap w:val="0"/>
                  <w:vAlign w:val="center"/>
                </w:tcPr>
                <w:p w14:paraId="01A0D54A">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0.010</w:t>
                  </w:r>
                </w:p>
              </w:tc>
              <w:tc>
                <w:tcPr>
                  <w:tcW w:w="1280" w:type="pct"/>
                  <w:noWrap w:val="0"/>
                  <w:vAlign w:val="center"/>
                </w:tcPr>
                <w:p w14:paraId="1F55E91F">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0.050</w:t>
                  </w:r>
                </w:p>
              </w:tc>
            </w:tr>
            <w:tr w14:paraId="7AC433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7" w:type="pct"/>
                  <w:shd w:val="clear" w:color="auto" w:fill="auto"/>
                  <w:noWrap w:val="0"/>
                  <w:vAlign w:val="center"/>
                </w:tcPr>
                <w:p w14:paraId="57B3E68F">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21</w:t>
                  </w:r>
                </w:p>
              </w:tc>
              <w:tc>
                <w:tcPr>
                  <w:tcW w:w="786" w:type="pct"/>
                  <w:shd w:val="clear" w:color="auto" w:fill="auto"/>
                  <w:noWrap w:val="0"/>
                  <w:vAlign w:val="center"/>
                </w:tcPr>
                <w:p w14:paraId="21930A21">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石油类≤</w:t>
                  </w:r>
                </w:p>
              </w:tc>
              <w:tc>
                <w:tcPr>
                  <w:tcW w:w="473" w:type="pct"/>
                  <w:shd w:val="clear" w:color="auto" w:fill="auto"/>
                  <w:noWrap w:val="0"/>
                  <w:vAlign w:val="center"/>
                </w:tcPr>
                <w:p w14:paraId="0DC166BC">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mg/L</w:t>
                  </w:r>
                </w:p>
              </w:tc>
              <w:tc>
                <w:tcPr>
                  <w:tcW w:w="1354" w:type="pct"/>
                  <w:gridSpan w:val="2"/>
                  <w:shd w:val="clear" w:color="auto" w:fill="BEBEBE"/>
                  <w:noWrap w:val="0"/>
                  <w:vAlign w:val="center"/>
                </w:tcPr>
                <w:p w14:paraId="1A2E6D85">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0.05</w:t>
                  </w:r>
                </w:p>
              </w:tc>
              <w:tc>
                <w:tcPr>
                  <w:tcW w:w="716" w:type="pct"/>
                  <w:noWrap w:val="0"/>
                  <w:vAlign w:val="center"/>
                </w:tcPr>
                <w:p w14:paraId="74BE105E">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0.30</w:t>
                  </w:r>
                </w:p>
              </w:tc>
              <w:tc>
                <w:tcPr>
                  <w:tcW w:w="1280" w:type="pct"/>
                  <w:noWrap w:val="0"/>
                  <w:vAlign w:val="center"/>
                </w:tcPr>
                <w:p w14:paraId="48A20215">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0.50</w:t>
                  </w:r>
                </w:p>
              </w:tc>
            </w:tr>
          </w:tbl>
          <w:p w14:paraId="722BBBAC">
            <w:pPr>
              <w:pStyle w:val="4"/>
              <w:bidi w:val="0"/>
              <w:rPr>
                <w:rFonts w:hint="default"/>
              </w:rPr>
            </w:pPr>
            <w:r>
              <w:rPr>
                <w:rFonts w:hint="default"/>
              </w:rPr>
              <w:t>海洋沉积物</w:t>
            </w:r>
          </w:p>
          <w:p w14:paraId="293C7835">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根据国土空间规划以及相关海洋环境保护要求，本工程所在海域海洋沉积物执行《海洋沉积物质量》（GB18668-2002）第一类标准，工程周边海域海洋沉积物执行第一类标准。具体标准限值见</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REF _Ref14164 \h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3.1</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2</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val="en-US" w:eastAsia="zh-CN"/>
              </w:rPr>
              <w:t>。</w:t>
            </w:r>
          </w:p>
          <w:p w14:paraId="10CDBAD8">
            <w:pPr>
              <w:pStyle w:val="11"/>
              <w:rPr>
                <w:rFonts w:hint="default" w:ascii="Times New Roman" w:hAnsi="Times New Roman" w:cs="Times New Roman"/>
                <w:color w:val="000000"/>
                <w:highlight w:val="none"/>
                <w:lang w:val="en-US" w:eastAsia="zh-CN"/>
              </w:rPr>
            </w:pPr>
            <w:bookmarkStart w:id="179" w:name="_Ref14164"/>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3.1</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表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2</w:t>
            </w:r>
            <w:r>
              <w:rPr>
                <w:rFonts w:hint="default" w:ascii="Times New Roman" w:hAnsi="Times New Roman" w:cs="Times New Roman"/>
                <w:color w:val="000000"/>
                <w:highlight w:val="none"/>
              </w:rPr>
              <w:fldChar w:fldCharType="end"/>
            </w:r>
            <w:bookmarkEnd w:id="179"/>
            <w:r>
              <w:rPr>
                <w:rFonts w:hint="default" w:ascii="Times New Roman" w:hAnsi="Times New Roman" w:cs="Times New Roman"/>
                <w:color w:val="000000"/>
                <w:highlight w:val="none"/>
                <w:lang w:val="en-US" w:eastAsia="zh-CN"/>
              </w:rPr>
              <w:t xml:space="preserve"> 《海洋沉积物质量》（GB18668-2002）（摘录）</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4"/>
              <w:gridCol w:w="2629"/>
              <w:gridCol w:w="1636"/>
              <w:gridCol w:w="1638"/>
              <w:gridCol w:w="1641"/>
            </w:tblGrid>
            <w:tr w14:paraId="21F95F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393" w:type="pct"/>
                  <w:vMerge w:val="restart"/>
                  <w:noWrap w:val="0"/>
                  <w:vAlign w:val="center"/>
                </w:tcPr>
                <w:p w14:paraId="5664B960">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序号</w:t>
                  </w:r>
                </w:p>
              </w:tc>
              <w:tc>
                <w:tcPr>
                  <w:tcW w:w="1605" w:type="pct"/>
                  <w:vMerge w:val="restart"/>
                  <w:noWrap w:val="0"/>
                  <w:vAlign w:val="center"/>
                </w:tcPr>
                <w:p w14:paraId="667B96FA">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项目</w:t>
                  </w:r>
                </w:p>
              </w:tc>
              <w:tc>
                <w:tcPr>
                  <w:tcW w:w="3001" w:type="pct"/>
                  <w:gridSpan w:val="3"/>
                  <w:noWrap w:val="0"/>
                  <w:vAlign w:val="center"/>
                </w:tcPr>
                <w:p w14:paraId="3C86B924">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指标</w:t>
                  </w:r>
                </w:p>
              </w:tc>
            </w:tr>
            <w:tr w14:paraId="06A1F7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393" w:type="pct"/>
                  <w:vMerge w:val="continue"/>
                  <w:shd w:val="clear" w:color="auto" w:fill="auto"/>
                  <w:noWrap w:val="0"/>
                  <w:vAlign w:val="center"/>
                </w:tcPr>
                <w:p w14:paraId="20DF28D6">
                  <w:pPr>
                    <w:pStyle w:val="31"/>
                    <w:bidi w:val="0"/>
                    <w:jc w:val="center"/>
                    <w:rPr>
                      <w:rFonts w:hint="default" w:ascii="Times New Roman" w:hAnsi="Times New Roman" w:cs="Times New Roman"/>
                      <w:b/>
                      <w:bCs/>
                      <w:color w:val="000000"/>
                      <w:highlight w:val="none"/>
                      <w:lang w:val="en-US" w:eastAsia="zh-CN"/>
                    </w:rPr>
                  </w:pPr>
                </w:p>
              </w:tc>
              <w:tc>
                <w:tcPr>
                  <w:tcW w:w="1605" w:type="pct"/>
                  <w:vMerge w:val="continue"/>
                  <w:shd w:val="clear" w:color="auto" w:fill="auto"/>
                  <w:noWrap w:val="0"/>
                  <w:vAlign w:val="center"/>
                </w:tcPr>
                <w:p w14:paraId="25E2304C">
                  <w:pPr>
                    <w:pStyle w:val="31"/>
                    <w:bidi w:val="0"/>
                    <w:jc w:val="center"/>
                    <w:rPr>
                      <w:rFonts w:hint="default" w:ascii="Times New Roman" w:hAnsi="Times New Roman" w:cs="Times New Roman"/>
                      <w:b/>
                      <w:bCs/>
                      <w:color w:val="000000"/>
                      <w:highlight w:val="none"/>
                      <w:lang w:val="en-US" w:eastAsia="zh-CN"/>
                    </w:rPr>
                  </w:pPr>
                </w:p>
              </w:tc>
              <w:tc>
                <w:tcPr>
                  <w:tcW w:w="999" w:type="pct"/>
                  <w:shd w:val="clear" w:color="auto" w:fill="BEBEBE"/>
                  <w:noWrap w:val="0"/>
                  <w:vAlign w:val="center"/>
                </w:tcPr>
                <w:p w14:paraId="2CD6B95F">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第一类</w:t>
                  </w:r>
                </w:p>
              </w:tc>
              <w:tc>
                <w:tcPr>
                  <w:tcW w:w="1000" w:type="pct"/>
                  <w:noWrap w:val="0"/>
                  <w:vAlign w:val="center"/>
                </w:tcPr>
                <w:p w14:paraId="57A236B0">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第二类</w:t>
                  </w:r>
                </w:p>
              </w:tc>
              <w:tc>
                <w:tcPr>
                  <w:tcW w:w="1001" w:type="pct"/>
                  <w:noWrap w:val="0"/>
                  <w:vAlign w:val="center"/>
                </w:tcPr>
                <w:p w14:paraId="0CCEE2BF">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第三类</w:t>
                  </w:r>
                </w:p>
              </w:tc>
            </w:tr>
            <w:tr w14:paraId="115502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3" w:type="pct"/>
                  <w:shd w:val="clear" w:color="auto" w:fill="auto"/>
                  <w:noWrap w:val="0"/>
                  <w:vAlign w:val="center"/>
                </w:tcPr>
                <w:p w14:paraId="34AC110B">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w:t>
                  </w:r>
                </w:p>
              </w:tc>
              <w:tc>
                <w:tcPr>
                  <w:tcW w:w="1605" w:type="pct"/>
                  <w:shd w:val="clear" w:color="auto" w:fill="auto"/>
                  <w:noWrap w:val="0"/>
                  <w:vAlign w:val="center"/>
                </w:tcPr>
                <w:p w14:paraId="1A422A3C">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汞（×10</w:t>
                  </w:r>
                  <w:r>
                    <w:rPr>
                      <w:rFonts w:hint="default" w:ascii="Times New Roman" w:hAnsi="Times New Roman" w:cs="Times New Roman"/>
                      <w:color w:val="000000"/>
                      <w:highlight w:val="none"/>
                      <w:vertAlign w:val="superscript"/>
                      <w:lang w:val="en-US" w:eastAsia="zh-CN"/>
                    </w:rPr>
                    <w:t>-6</w:t>
                  </w:r>
                  <w:r>
                    <w:rPr>
                      <w:rFonts w:hint="default" w:ascii="Times New Roman" w:hAnsi="Times New Roman" w:cs="Times New Roman"/>
                      <w:color w:val="000000"/>
                      <w:highlight w:val="none"/>
                      <w:lang w:val="en-US" w:eastAsia="zh-CN"/>
                    </w:rPr>
                    <w:t>）≤</w:t>
                  </w:r>
                </w:p>
              </w:tc>
              <w:tc>
                <w:tcPr>
                  <w:tcW w:w="999" w:type="pct"/>
                  <w:shd w:val="clear" w:color="auto" w:fill="BEBEBE"/>
                  <w:noWrap w:val="0"/>
                  <w:vAlign w:val="center"/>
                </w:tcPr>
                <w:p w14:paraId="1C7BD826">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0.20</w:t>
                  </w:r>
                </w:p>
              </w:tc>
              <w:tc>
                <w:tcPr>
                  <w:tcW w:w="1000" w:type="pct"/>
                  <w:noWrap w:val="0"/>
                  <w:vAlign w:val="center"/>
                </w:tcPr>
                <w:p w14:paraId="04592714">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0.50</w:t>
                  </w:r>
                </w:p>
              </w:tc>
              <w:tc>
                <w:tcPr>
                  <w:tcW w:w="1001" w:type="pct"/>
                  <w:noWrap w:val="0"/>
                  <w:vAlign w:val="center"/>
                </w:tcPr>
                <w:p w14:paraId="076F8BD7">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1.00</w:t>
                  </w:r>
                </w:p>
              </w:tc>
            </w:tr>
            <w:tr w14:paraId="014EDD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3" w:type="pct"/>
                  <w:shd w:val="clear" w:color="auto" w:fill="auto"/>
                  <w:noWrap w:val="0"/>
                  <w:vAlign w:val="center"/>
                </w:tcPr>
                <w:p w14:paraId="5DA46E31">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w:t>
                  </w:r>
                </w:p>
              </w:tc>
              <w:tc>
                <w:tcPr>
                  <w:tcW w:w="1605" w:type="pct"/>
                  <w:shd w:val="clear" w:color="auto" w:fill="auto"/>
                  <w:noWrap w:val="0"/>
                  <w:vAlign w:val="center"/>
                </w:tcPr>
                <w:p w14:paraId="11780BFE">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镉（×10</w:t>
                  </w:r>
                  <w:r>
                    <w:rPr>
                      <w:rFonts w:hint="default" w:ascii="Times New Roman" w:hAnsi="Times New Roman" w:cs="Times New Roman"/>
                      <w:color w:val="000000"/>
                      <w:highlight w:val="none"/>
                      <w:vertAlign w:val="superscript"/>
                      <w:lang w:val="en-US" w:eastAsia="zh-CN"/>
                    </w:rPr>
                    <w:t>-6</w:t>
                  </w:r>
                  <w:r>
                    <w:rPr>
                      <w:rFonts w:hint="default" w:ascii="Times New Roman" w:hAnsi="Times New Roman" w:cs="Times New Roman"/>
                      <w:color w:val="000000"/>
                      <w:highlight w:val="none"/>
                      <w:lang w:val="en-US" w:eastAsia="zh-CN"/>
                    </w:rPr>
                    <w:t>）≤</w:t>
                  </w:r>
                </w:p>
              </w:tc>
              <w:tc>
                <w:tcPr>
                  <w:tcW w:w="999" w:type="pct"/>
                  <w:shd w:val="clear" w:color="auto" w:fill="BEBEBE"/>
                  <w:noWrap w:val="0"/>
                  <w:vAlign w:val="center"/>
                </w:tcPr>
                <w:p w14:paraId="0B366EED">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0.50</w:t>
                  </w:r>
                </w:p>
              </w:tc>
              <w:tc>
                <w:tcPr>
                  <w:tcW w:w="1000" w:type="pct"/>
                  <w:noWrap w:val="0"/>
                  <w:vAlign w:val="center"/>
                </w:tcPr>
                <w:p w14:paraId="322C24C5">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1.50</w:t>
                  </w:r>
                </w:p>
              </w:tc>
              <w:tc>
                <w:tcPr>
                  <w:tcW w:w="1001" w:type="pct"/>
                  <w:noWrap w:val="0"/>
                  <w:vAlign w:val="center"/>
                </w:tcPr>
                <w:p w14:paraId="58849798">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5.00</w:t>
                  </w:r>
                </w:p>
              </w:tc>
            </w:tr>
            <w:tr w14:paraId="293EE8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3" w:type="pct"/>
                  <w:shd w:val="clear" w:color="auto" w:fill="auto"/>
                  <w:noWrap w:val="0"/>
                  <w:vAlign w:val="center"/>
                </w:tcPr>
                <w:p w14:paraId="71226870">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3</w:t>
                  </w:r>
                </w:p>
              </w:tc>
              <w:tc>
                <w:tcPr>
                  <w:tcW w:w="1605" w:type="pct"/>
                  <w:shd w:val="clear" w:color="auto" w:fill="auto"/>
                  <w:noWrap w:val="0"/>
                  <w:vAlign w:val="center"/>
                </w:tcPr>
                <w:p w14:paraId="48872A19">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铅（×10</w:t>
                  </w:r>
                  <w:r>
                    <w:rPr>
                      <w:rFonts w:hint="default" w:ascii="Times New Roman" w:hAnsi="Times New Roman" w:cs="Times New Roman"/>
                      <w:color w:val="000000"/>
                      <w:highlight w:val="none"/>
                      <w:vertAlign w:val="superscript"/>
                      <w:lang w:val="en-US" w:eastAsia="zh-CN"/>
                    </w:rPr>
                    <w:t>-6</w:t>
                  </w:r>
                  <w:r>
                    <w:rPr>
                      <w:rFonts w:hint="default" w:ascii="Times New Roman" w:hAnsi="Times New Roman" w:cs="Times New Roman"/>
                      <w:color w:val="000000"/>
                      <w:highlight w:val="none"/>
                      <w:lang w:val="en-US" w:eastAsia="zh-CN"/>
                    </w:rPr>
                    <w:t>）≤</w:t>
                  </w:r>
                </w:p>
              </w:tc>
              <w:tc>
                <w:tcPr>
                  <w:tcW w:w="999" w:type="pct"/>
                  <w:shd w:val="clear" w:color="auto" w:fill="BEBEBE"/>
                  <w:noWrap w:val="0"/>
                  <w:vAlign w:val="center"/>
                </w:tcPr>
                <w:p w14:paraId="42710D4A">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60.0</w:t>
                  </w:r>
                </w:p>
              </w:tc>
              <w:tc>
                <w:tcPr>
                  <w:tcW w:w="1000" w:type="pct"/>
                  <w:noWrap w:val="0"/>
                  <w:vAlign w:val="center"/>
                </w:tcPr>
                <w:p w14:paraId="78D4F796">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130.0</w:t>
                  </w:r>
                </w:p>
              </w:tc>
              <w:tc>
                <w:tcPr>
                  <w:tcW w:w="1001" w:type="pct"/>
                  <w:noWrap w:val="0"/>
                  <w:vAlign w:val="center"/>
                </w:tcPr>
                <w:p w14:paraId="56A12CB9">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250.0</w:t>
                  </w:r>
                </w:p>
              </w:tc>
            </w:tr>
            <w:tr w14:paraId="3ABE87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3" w:type="pct"/>
                  <w:shd w:val="clear" w:color="auto" w:fill="auto"/>
                  <w:noWrap w:val="0"/>
                  <w:vAlign w:val="center"/>
                </w:tcPr>
                <w:p w14:paraId="24C9865B">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4</w:t>
                  </w:r>
                </w:p>
              </w:tc>
              <w:tc>
                <w:tcPr>
                  <w:tcW w:w="1605" w:type="pct"/>
                  <w:shd w:val="clear" w:color="auto" w:fill="auto"/>
                  <w:noWrap w:val="0"/>
                  <w:vAlign w:val="center"/>
                </w:tcPr>
                <w:p w14:paraId="6C162AE6">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锌（×10</w:t>
                  </w:r>
                  <w:r>
                    <w:rPr>
                      <w:rFonts w:hint="default" w:ascii="Times New Roman" w:hAnsi="Times New Roman" w:cs="Times New Roman"/>
                      <w:color w:val="000000"/>
                      <w:highlight w:val="none"/>
                      <w:vertAlign w:val="superscript"/>
                      <w:lang w:val="en-US" w:eastAsia="zh-CN"/>
                    </w:rPr>
                    <w:t>-6</w:t>
                  </w:r>
                  <w:r>
                    <w:rPr>
                      <w:rFonts w:hint="default" w:ascii="Times New Roman" w:hAnsi="Times New Roman" w:cs="Times New Roman"/>
                      <w:color w:val="000000"/>
                      <w:highlight w:val="none"/>
                      <w:lang w:val="en-US" w:eastAsia="zh-CN"/>
                    </w:rPr>
                    <w:t>）≤</w:t>
                  </w:r>
                </w:p>
              </w:tc>
              <w:tc>
                <w:tcPr>
                  <w:tcW w:w="999" w:type="pct"/>
                  <w:shd w:val="clear" w:color="auto" w:fill="BEBEBE"/>
                  <w:noWrap w:val="0"/>
                  <w:vAlign w:val="center"/>
                </w:tcPr>
                <w:p w14:paraId="633E612C">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150.0</w:t>
                  </w:r>
                </w:p>
              </w:tc>
              <w:tc>
                <w:tcPr>
                  <w:tcW w:w="1000" w:type="pct"/>
                  <w:noWrap w:val="0"/>
                  <w:vAlign w:val="center"/>
                </w:tcPr>
                <w:p w14:paraId="7ABB26F9">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350.0</w:t>
                  </w:r>
                </w:p>
              </w:tc>
              <w:tc>
                <w:tcPr>
                  <w:tcW w:w="1001" w:type="pct"/>
                  <w:noWrap w:val="0"/>
                  <w:vAlign w:val="center"/>
                </w:tcPr>
                <w:p w14:paraId="0660FC34">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600.0</w:t>
                  </w:r>
                </w:p>
              </w:tc>
            </w:tr>
            <w:tr w14:paraId="1A85DE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3" w:type="pct"/>
                  <w:shd w:val="clear" w:color="auto" w:fill="auto"/>
                  <w:noWrap w:val="0"/>
                  <w:vAlign w:val="center"/>
                </w:tcPr>
                <w:p w14:paraId="3E4B9249">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5</w:t>
                  </w:r>
                </w:p>
              </w:tc>
              <w:tc>
                <w:tcPr>
                  <w:tcW w:w="1605" w:type="pct"/>
                  <w:shd w:val="clear" w:color="auto" w:fill="auto"/>
                  <w:noWrap w:val="0"/>
                  <w:vAlign w:val="center"/>
                </w:tcPr>
                <w:p w14:paraId="49A40402">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铜（×10</w:t>
                  </w:r>
                  <w:r>
                    <w:rPr>
                      <w:rFonts w:hint="default" w:ascii="Times New Roman" w:hAnsi="Times New Roman" w:cs="Times New Roman"/>
                      <w:color w:val="000000"/>
                      <w:highlight w:val="none"/>
                      <w:vertAlign w:val="superscript"/>
                      <w:lang w:val="en-US" w:eastAsia="zh-CN"/>
                    </w:rPr>
                    <w:t>-6</w:t>
                  </w:r>
                  <w:r>
                    <w:rPr>
                      <w:rFonts w:hint="default" w:ascii="Times New Roman" w:hAnsi="Times New Roman" w:cs="Times New Roman"/>
                      <w:color w:val="000000"/>
                      <w:highlight w:val="none"/>
                      <w:lang w:val="en-US" w:eastAsia="zh-CN"/>
                    </w:rPr>
                    <w:t>）≤</w:t>
                  </w:r>
                </w:p>
              </w:tc>
              <w:tc>
                <w:tcPr>
                  <w:tcW w:w="999" w:type="pct"/>
                  <w:shd w:val="clear" w:color="auto" w:fill="BEBEBE"/>
                  <w:noWrap w:val="0"/>
                  <w:vAlign w:val="center"/>
                </w:tcPr>
                <w:p w14:paraId="2E8C7569">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35.0</w:t>
                  </w:r>
                </w:p>
              </w:tc>
              <w:tc>
                <w:tcPr>
                  <w:tcW w:w="1000" w:type="pct"/>
                  <w:noWrap w:val="0"/>
                  <w:vAlign w:val="center"/>
                </w:tcPr>
                <w:p w14:paraId="4AF3DA7F">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100.0</w:t>
                  </w:r>
                </w:p>
              </w:tc>
              <w:tc>
                <w:tcPr>
                  <w:tcW w:w="1001" w:type="pct"/>
                  <w:noWrap w:val="0"/>
                  <w:vAlign w:val="center"/>
                </w:tcPr>
                <w:p w14:paraId="1354C6F4">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200.0</w:t>
                  </w:r>
                </w:p>
              </w:tc>
            </w:tr>
            <w:tr w14:paraId="43173C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3" w:type="pct"/>
                  <w:shd w:val="clear" w:color="auto" w:fill="auto"/>
                  <w:noWrap w:val="0"/>
                  <w:vAlign w:val="center"/>
                </w:tcPr>
                <w:p w14:paraId="492DBC40">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6</w:t>
                  </w:r>
                </w:p>
              </w:tc>
              <w:tc>
                <w:tcPr>
                  <w:tcW w:w="1605" w:type="pct"/>
                  <w:shd w:val="clear" w:color="auto" w:fill="auto"/>
                  <w:noWrap w:val="0"/>
                  <w:vAlign w:val="center"/>
                </w:tcPr>
                <w:p w14:paraId="608EA8D3">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铬（×10</w:t>
                  </w:r>
                  <w:r>
                    <w:rPr>
                      <w:rFonts w:hint="default" w:ascii="Times New Roman" w:hAnsi="Times New Roman" w:cs="Times New Roman"/>
                      <w:color w:val="000000"/>
                      <w:highlight w:val="none"/>
                      <w:vertAlign w:val="superscript"/>
                      <w:lang w:val="en-US" w:eastAsia="zh-CN"/>
                    </w:rPr>
                    <w:t>-6</w:t>
                  </w:r>
                  <w:r>
                    <w:rPr>
                      <w:rFonts w:hint="default" w:ascii="Times New Roman" w:hAnsi="Times New Roman" w:cs="Times New Roman"/>
                      <w:color w:val="000000"/>
                      <w:highlight w:val="none"/>
                      <w:lang w:val="en-US" w:eastAsia="zh-CN"/>
                    </w:rPr>
                    <w:t>）≤</w:t>
                  </w:r>
                </w:p>
              </w:tc>
              <w:tc>
                <w:tcPr>
                  <w:tcW w:w="999" w:type="pct"/>
                  <w:shd w:val="clear" w:color="auto" w:fill="BEBEBE"/>
                  <w:noWrap w:val="0"/>
                  <w:vAlign w:val="center"/>
                </w:tcPr>
                <w:p w14:paraId="686423B4">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80.0</w:t>
                  </w:r>
                </w:p>
              </w:tc>
              <w:tc>
                <w:tcPr>
                  <w:tcW w:w="1000" w:type="pct"/>
                  <w:noWrap w:val="0"/>
                  <w:vAlign w:val="center"/>
                </w:tcPr>
                <w:p w14:paraId="789473F3">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150.0</w:t>
                  </w:r>
                </w:p>
              </w:tc>
              <w:tc>
                <w:tcPr>
                  <w:tcW w:w="1001" w:type="pct"/>
                  <w:noWrap w:val="0"/>
                  <w:vAlign w:val="center"/>
                </w:tcPr>
                <w:p w14:paraId="4DDEAF91">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270.0</w:t>
                  </w:r>
                </w:p>
              </w:tc>
            </w:tr>
            <w:tr w14:paraId="1226C4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3" w:type="pct"/>
                  <w:shd w:val="clear" w:color="auto" w:fill="auto"/>
                  <w:noWrap w:val="0"/>
                  <w:vAlign w:val="center"/>
                </w:tcPr>
                <w:p w14:paraId="4D187DC7">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7</w:t>
                  </w:r>
                </w:p>
              </w:tc>
              <w:tc>
                <w:tcPr>
                  <w:tcW w:w="1605" w:type="pct"/>
                  <w:shd w:val="clear" w:color="auto" w:fill="auto"/>
                  <w:noWrap w:val="0"/>
                  <w:vAlign w:val="center"/>
                </w:tcPr>
                <w:p w14:paraId="7EB1478C">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砷（×10</w:t>
                  </w:r>
                  <w:r>
                    <w:rPr>
                      <w:rFonts w:hint="default" w:ascii="Times New Roman" w:hAnsi="Times New Roman" w:cs="Times New Roman"/>
                      <w:color w:val="000000"/>
                      <w:highlight w:val="none"/>
                      <w:vertAlign w:val="superscript"/>
                      <w:lang w:val="en-US" w:eastAsia="zh-CN"/>
                    </w:rPr>
                    <w:t>-6</w:t>
                  </w:r>
                  <w:r>
                    <w:rPr>
                      <w:rFonts w:hint="default" w:ascii="Times New Roman" w:hAnsi="Times New Roman" w:cs="Times New Roman"/>
                      <w:color w:val="000000"/>
                      <w:highlight w:val="none"/>
                      <w:lang w:val="en-US" w:eastAsia="zh-CN"/>
                    </w:rPr>
                    <w:t>）≤</w:t>
                  </w:r>
                </w:p>
              </w:tc>
              <w:tc>
                <w:tcPr>
                  <w:tcW w:w="999" w:type="pct"/>
                  <w:shd w:val="clear" w:color="auto" w:fill="BEBEBE"/>
                  <w:noWrap w:val="0"/>
                  <w:vAlign w:val="center"/>
                </w:tcPr>
                <w:p w14:paraId="249DF55A">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20.0</w:t>
                  </w:r>
                </w:p>
              </w:tc>
              <w:tc>
                <w:tcPr>
                  <w:tcW w:w="1000" w:type="pct"/>
                  <w:noWrap w:val="0"/>
                  <w:vAlign w:val="center"/>
                </w:tcPr>
                <w:p w14:paraId="2501037C">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65.0</w:t>
                  </w:r>
                </w:p>
              </w:tc>
              <w:tc>
                <w:tcPr>
                  <w:tcW w:w="1001" w:type="pct"/>
                  <w:noWrap w:val="0"/>
                  <w:vAlign w:val="center"/>
                </w:tcPr>
                <w:p w14:paraId="304091B8">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93.0</w:t>
                  </w:r>
                </w:p>
              </w:tc>
            </w:tr>
            <w:tr w14:paraId="5F8085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3" w:type="pct"/>
                  <w:shd w:val="clear" w:color="auto" w:fill="auto"/>
                  <w:noWrap w:val="0"/>
                  <w:vAlign w:val="center"/>
                </w:tcPr>
                <w:p w14:paraId="5FD94C21">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8</w:t>
                  </w:r>
                </w:p>
              </w:tc>
              <w:tc>
                <w:tcPr>
                  <w:tcW w:w="1605" w:type="pct"/>
                  <w:shd w:val="clear" w:color="auto" w:fill="auto"/>
                  <w:noWrap w:val="0"/>
                  <w:vAlign w:val="center"/>
                </w:tcPr>
                <w:p w14:paraId="7AB71663">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有机碳（×10</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lang w:val="en-US" w:eastAsia="zh-CN"/>
                    </w:rPr>
                    <w:t>）≤</w:t>
                  </w:r>
                </w:p>
              </w:tc>
              <w:tc>
                <w:tcPr>
                  <w:tcW w:w="999" w:type="pct"/>
                  <w:shd w:val="clear" w:color="auto" w:fill="BEBEBE"/>
                  <w:noWrap w:val="0"/>
                  <w:vAlign w:val="center"/>
                </w:tcPr>
                <w:p w14:paraId="5780F0E2">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2.0</w:t>
                  </w:r>
                </w:p>
              </w:tc>
              <w:tc>
                <w:tcPr>
                  <w:tcW w:w="1000" w:type="pct"/>
                  <w:noWrap w:val="0"/>
                  <w:vAlign w:val="center"/>
                </w:tcPr>
                <w:p w14:paraId="7B7EFFC4">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3.0</w:t>
                  </w:r>
                </w:p>
              </w:tc>
              <w:tc>
                <w:tcPr>
                  <w:tcW w:w="1001" w:type="pct"/>
                  <w:noWrap w:val="0"/>
                  <w:vAlign w:val="center"/>
                </w:tcPr>
                <w:p w14:paraId="638D24D6">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4.0</w:t>
                  </w:r>
                </w:p>
              </w:tc>
            </w:tr>
            <w:tr w14:paraId="05CA1E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3" w:type="pct"/>
                  <w:shd w:val="clear" w:color="auto" w:fill="auto"/>
                  <w:noWrap w:val="0"/>
                  <w:vAlign w:val="center"/>
                </w:tcPr>
                <w:p w14:paraId="3FE30F11">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9</w:t>
                  </w:r>
                </w:p>
              </w:tc>
              <w:tc>
                <w:tcPr>
                  <w:tcW w:w="1605" w:type="pct"/>
                  <w:shd w:val="clear" w:color="auto" w:fill="auto"/>
                  <w:noWrap w:val="0"/>
                  <w:vAlign w:val="center"/>
                </w:tcPr>
                <w:p w14:paraId="6E7EA044">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硫化物（×10</w:t>
                  </w:r>
                  <w:r>
                    <w:rPr>
                      <w:rFonts w:hint="default" w:ascii="Times New Roman" w:hAnsi="Times New Roman" w:cs="Times New Roman"/>
                      <w:color w:val="000000"/>
                      <w:highlight w:val="none"/>
                      <w:vertAlign w:val="superscript"/>
                      <w:lang w:val="en-US" w:eastAsia="zh-CN"/>
                    </w:rPr>
                    <w:t>-6</w:t>
                  </w:r>
                  <w:r>
                    <w:rPr>
                      <w:rFonts w:hint="default" w:ascii="Times New Roman" w:hAnsi="Times New Roman" w:cs="Times New Roman"/>
                      <w:color w:val="000000"/>
                      <w:highlight w:val="none"/>
                      <w:lang w:val="en-US" w:eastAsia="zh-CN"/>
                    </w:rPr>
                    <w:t>）≤</w:t>
                  </w:r>
                </w:p>
              </w:tc>
              <w:tc>
                <w:tcPr>
                  <w:tcW w:w="999" w:type="pct"/>
                  <w:shd w:val="clear" w:color="auto" w:fill="BEBEBE"/>
                  <w:noWrap w:val="0"/>
                  <w:vAlign w:val="center"/>
                </w:tcPr>
                <w:p w14:paraId="664BF6FD">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300.0</w:t>
                  </w:r>
                </w:p>
              </w:tc>
              <w:tc>
                <w:tcPr>
                  <w:tcW w:w="1000" w:type="pct"/>
                  <w:noWrap w:val="0"/>
                  <w:vAlign w:val="center"/>
                </w:tcPr>
                <w:p w14:paraId="45611D60">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500.0</w:t>
                  </w:r>
                </w:p>
              </w:tc>
              <w:tc>
                <w:tcPr>
                  <w:tcW w:w="1001" w:type="pct"/>
                  <w:noWrap w:val="0"/>
                  <w:vAlign w:val="center"/>
                </w:tcPr>
                <w:p w14:paraId="1CD8356B">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600.0</w:t>
                  </w:r>
                </w:p>
              </w:tc>
            </w:tr>
            <w:tr w14:paraId="345BA3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3" w:type="pct"/>
                  <w:shd w:val="clear" w:color="auto" w:fill="auto"/>
                  <w:noWrap w:val="0"/>
                  <w:vAlign w:val="center"/>
                </w:tcPr>
                <w:p w14:paraId="4FA93037">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10</w:t>
                  </w:r>
                </w:p>
              </w:tc>
              <w:tc>
                <w:tcPr>
                  <w:tcW w:w="1605" w:type="pct"/>
                  <w:shd w:val="clear" w:color="auto" w:fill="auto"/>
                  <w:noWrap w:val="0"/>
                  <w:vAlign w:val="center"/>
                </w:tcPr>
                <w:p w14:paraId="370803E9">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石油类（×10</w:t>
                  </w:r>
                  <w:r>
                    <w:rPr>
                      <w:rFonts w:hint="default" w:ascii="Times New Roman" w:hAnsi="Times New Roman" w:cs="Times New Roman"/>
                      <w:color w:val="000000"/>
                      <w:highlight w:val="none"/>
                      <w:vertAlign w:val="superscript"/>
                      <w:lang w:val="en-US" w:eastAsia="zh-CN"/>
                    </w:rPr>
                    <w:t>-6</w:t>
                  </w:r>
                  <w:r>
                    <w:rPr>
                      <w:rFonts w:hint="default" w:ascii="Times New Roman" w:hAnsi="Times New Roman" w:cs="Times New Roman"/>
                      <w:color w:val="000000"/>
                      <w:highlight w:val="none"/>
                      <w:lang w:val="en-US" w:eastAsia="zh-CN"/>
                    </w:rPr>
                    <w:t>）≤</w:t>
                  </w:r>
                </w:p>
              </w:tc>
              <w:tc>
                <w:tcPr>
                  <w:tcW w:w="999" w:type="pct"/>
                  <w:shd w:val="clear" w:color="auto" w:fill="BEBEBE"/>
                  <w:noWrap w:val="0"/>
                  <w:vAlign w:val="center"/>
                </w:tcPr>
                <w:p w14:paraId="091A8C12">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500.0</w:t>
                  </w:r>
                </w:p>
              </w:tc>
              <w:tc>
                <w:tcPr>
                  <w:tcW w:w="1000" w:type="pct"/>
                  <w:noWrap w:val="0"/>
                  <w:vAlign w:val="center"/>
                </w:tcPr>
                <w:p w14:paraId="11DF4275">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1000.0</w:t>
                  </w:r>
                </w:p>
              </w:tc>
              <w:tc>
                <w:tcPr>
                  <w:tcW w:w="1001" w:type="pct"/>
                  <w:noWrap w:val="0"/>
                  <w:vAlign w:val="center"/>
                </w:tcPr>
                <w:p w14:paraId="7701BE44">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1500.0</w:t>
                  </w:r>
                </w:p>
              </w:tc>
            </w:tr>
          </w:tbl>
          <w:p w14:paraId="5F00D9E8">
            <w:pPr>
              <w:pStyle w:val="4"/>
              <w:bidi w:val="0"/>
              <w:rPr>
                <w:rFonts w:hint="default"/>
              </w:rPr>
            </w:pPr>
            <w:r>
              <w:rPr>
                <w:rFonts w:hint="default"/>
              </w:rPr>
              <w:t>海洋生物质量</w:t>
            </w:r>
          </w:p>
          <w:p w14:paraId="4EC6907A">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rPr>
            </w:pPr>
            <w:r>
              <w:rPr>
                <w:rFonts w:hint="default" w:ascii="Times New Roman" w:hAnsi="Times New Roman" w:cs="Times New Roman"/>
                <w:color w:val="000000"/>
                <w:highlight w:val="none"/>
                <w:lang w:val="en-US" w:eastAsia="zh-CN"/>
              </w:rPr>
              <w:t>根据国土空间规划以及相关海洋环境保护要求，本工程所在海域贝类海洋生物质量执行《海洋生物质量》（GB18421-2001）第一类标准，工程周边海域海洋生物质量执行第一类标准；海洋鱼类、甲壳类生物质量评价目前国家尚未颁布统一的评价标准，本报告参照《环境影响评价技术导则海洋生态环境》（HJ1409-2025）附录C中的海洋生物质量评价标准进行评价，铬参照《海洋生物质量》（GB18421-2001）中的第一类标准评价，具体标准限值见</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REF _Ref14168 \h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3.1</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3</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val="en-US" w:eastAsia="zh-CN"/>
              </w:rPr>
              <w:t>、</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REF _Ref20945 \h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3.1</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4</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val="en-US" w:eastAsia="zh-CN"/>
              </w:rPr>
              <w:t>。</w:t>
            </w:r>
          </w:p>
          <w:p w14:paraId="5934E708">
            <w:pPr>
              <w:pStyle w:val="11"/>
              <w:rPr>
                <w:rFonts w:hint="default" w:ascii="Times New Roman" w:hAnsi="Times New Roman" w:cs="Times New Roman"/>
                <w:color w:val="000000"/>
                <w:highlight w:val="none"/>
                <w:lang w:val="en-US" w:eastAsia="zh-CN"/>
              </w:rPr>
            </w:pPr>
            <w:bookmarkStart w:id="180" w:name="_Ref14168"/>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3.1</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表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w:t>
            </w:r>
            <w:r>
              <w:rPr>
                <w:rFonts w:hint="default" w:ascii="Times New Roman" w:hAnsi="Times New Roman" w:cs="Times New Roman"/>
                <w:color w:val="000000"/>
                <w:highlight w:val="none"/>
              </w:rPr>
              <w:fldChar w:fldCharType="end"/>
            </w:r>
            <w:bookmarkEnd w:id="180"/>
            <w:r>
              <w:rPr>
                <w:rFonts w:hint="default" w:ascii="Times New Roman" w:hAnsi="Times New Roman" w:cs="Times New Roman"/>
                <w:color w:val="000000"/>
                <w:highlight w:val="none"/>
                <w:lang w:val="en-US" w:eastAsia="zh-CN"/>
              </w:rPr>
              <w:t xml:space="preserve"> 《海洋生物质量》（GB18421-2001）（摘录）  单位：mg/kg</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2"/>
              <w:gridCol w:w="2620"/>
              <w:gridCol w:w="1634"/>
              <w:gridCol w:w="1634"/>
              <w:gridCol w:w="1638"/>
            </w:tblGrid>
            <w:tr w14:paraId="3DA3F9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4" w:type="pct"/>
                  <w:shd w:val="clear" w:color="auto" w:fill="auto"/>
                  <w:noWrap w:val="0"/>
                  <w:vAlign w:val="center"/>
                </w:tcPr>
                <w:p w14:paraId="1420E9A8">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序号</w:t>
                  </w:r>
                </w:p>
              </w:tc>
              <w:tc>
                <w:tcPr>
                  <w:tcW w:w="1600" w:type="pct"/>
                  <w:shd w:val="clear" w:color="auto" w:fill="auto"/>
                  <w:noWrap w:val="0"/>
                  <w:vAlign w:val="center"/>
                </w:tcPr>
                <w:p w14:paraId="088E9B63">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项目</w:t>
                  </w:r>
                </w:p>
              </w:tc>
              <w:tc>
                <w:tcPr>
                  <w:tcW w:w="998" w:type="pct"/>
                  <w:shd w:val="clear" w:color="auto" w:fill="BEBEBE"/>
                  <w:noWrap w:val="0"/>
                  <w:vAlign w:val="center"/>
                </w:tcPr>
                <w:p w14:paraId="673D1836">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第一类</w:t>
                  </w:r>
                </w:p>
              </w:tc>
              <w:tc>
                <w:tcPr>
                  <w:tcW w:w="998" w:type="pct"/>
                  <w:noWrap w:val="0"/>
                  <w:vAlign w:val="center"/>
                </w:tcPr>
                <w:p w14:paraId="3C0A116F">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第二类</w:t>
                  </w:r>
                </w:p>
              </w:tc>
              <w:tc>
                <w:tcPr>
                  <w:tcW w:w="999" w:type="pct"/>
                  <w:noWrap w:val="0"/>
                  <w:vAlign w:val="center"/>
                </w:tcPr>
                <w:p w14:paraId="6E46044C">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第三类</w:t>
                  </w:r>
                </w:p>
              </w:tc>
            </w:tr>
            <w:tr w14:paraId="59AD8B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4" w:type="pct"/>
                  <w:shd w:val="clear" w:color="auto" w:fill="auto"/>
                  <w:noWrap w:val="0"/>
                  <w:vAlign w:val="center"/>
                </w:tcPr>
                <w:p w14:paraId="2E31DE24">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w:t>
                  </w:r>
                </w:p>
              </w:tc>
              <w:tc>
                <w:tcPr>
                  <w:tcW w:w="1600" w:type="pct"/>
                  <w:shd w:val="clear" w:color="auto" w:fill="auto"/>
                  <w:noWrap w:val="0"/>
                  <w:vAlign w:val="center"/>
                </w:tcPr>
                <w:p w14:paraId="5CC9ED5F">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总汞≤</w:t>
                  </w:r>
                </w:p>
              </w:tc>
              <w:tc>
                <w:tcPr>
                  <w:tcW w:w="998" w:type="pct"/>
                  <w:shd w:val="clear" w:color="auto" w:fill="BEBEBE"/>
                  <w:noWrap w:val="0"/>
                  <w:vAlign w:val="center"/>
                </w:tcPr>
                <w:p w14:paraId="2DAEF0A6">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0.05</w:t>
                  </w:r>
                </w:p>
              </w:tc>
              <w:tc>
                <w:tcPr>
                  <w:tcW w:w="998" w:type="pct"/>
                  <w:noWrap w:val="0"/>
                  <w:vAlign w:val="center"/>
                </w:tcPr>
                <w:p w14:paraId="09AAE312">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0.10</w:t>
                  </w:r>
                </w:p>
              </w:tc>
              <w:tc>
                <w:tcPr>
                  <w:tcW w:w="999" w:type="pct"/>
                  <w:noWrap w:val="0"/>
                  <w:vAlign w:val="center"/>
                </w:tcPr>
                <w:p w14:paraId="718AB180">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0.30</w:t>
                  </w:r>
                </w:p>
              </w:tc>
            </w:tr>
            <w:tr w14:paraId="798C75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4" w:type="pct"/>
                  <w:shd w:val="clear" w:color="auto" w:fill="auto"/>
                  <w:noWrap w:val="0"/>
                  <w:vAlign w:val="center"/>
                </w:tcPr>
                <w:p w14:paraId="227F4D5C">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w:t>
                  </w:r>
                </w:p>
              </w:tc>
              <w:tc>
                <w:tcPr>
                  <w:tcW w:w="1600" w:type="pct"/>
                  <w:shd w:val="clear" w:color="auto" w:fill="auto"/>
                  <w:noWrap w:val="0"/>
                  <w:vAlign w:val="center"/>
                </w:tcPr>
                <w:p w14:paraId="73CD1AD9">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镉≤</w:t>
                  </w:r>
                </w:p>
              </w:tc>
              <w:tc>
                <w:tcPr>
                  <w:tcW w:w="998" w:type="pct"/>
                  <w:shd w:val="clear" w:color="auto" w:fill="BEBEBE"/>
                  <w:noWrap w:val="0"/>
                  <w:vAlign w:val="center"/>
                </w:tcPr>
                <w:p w14:paraId="0A4AC3A2">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0.2</w:t>
                  </w:r>
                </w:p>
              </w:tc>
              <w:tc>
                <w:tcPr>
                  <w:tcW w:w="998" w:type="pct"/>
                  <w:noWrap w:val="0"/>
                  <w:vAlign w:val="center"/>
                </w:tcPr>
                <w:p w14:paraId="4D2C7144">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2.0</w:t>
                  </w:r>
                </w:p>
              </w:tc>
              <w:tc>
                <w:tcPr>
                  <w:tcW w:w="999" w:type="pct"/>
                  <w:noWrap w:val="0"/>
                  <w:vAlign w:val="center"/>
                </w:tcPr>
                <w:p w14:paraId="028BB6EE">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5.0</w:t>
                  </w:r>
                </w:p>
              </w:tc>
            </w:tr>
            <w:tr w14:paraId="3E2C0C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4" w:type="pct"/>
                  <w:shd w:val="clear" w:color="auto" w:fill="auto"/>
                  <w:noWrap w:val="0"/>
                  <w:vAlign w:val="center"/>
                </w:tcPr>
                <w:p w14:paraId="6B211550">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3</w:t>
                  </w:r>
                </w:p>
              </w:tc>
              <w:tc>
                <w:tcPr>
                  <w:tcW w:w="1600" w:type="pct"/>
                  <w:shd w:val="clear" w:color="auto" w:fill="auto"/>
                  <w:noWrap w:val="0"/>
                  <w:vAlign w:val="center"/>
                </w:tcPr>
                <w:p w14:paraId="6FADDA3A">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铅≤</w:t>
                  </w:r>
                </w:p>
              </w:tc>
              <w:tc>
                <w:tcPr>
                  <w:tcW w:w="998" w:type="pct"/>
                  <w:shd w:val="clear" w:color="auto" w:fill="BEBEBE"/>
                  <w:noWrap w:val="0"/>
                  <w:vAlign w:val="center"/>
                </w:tcPr>
                <w:p w14:paraId="34A955EC">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0.1</w:t>
                  </w:r>
                </w:p>
              </w:tc>
              <w:tc>
                <w:tcPr>
                  <w:tcW w:w="998" w:type="pct"/>
                  <w:noWrap w:val="0"/>
                  <w:vAlign w:val="center"/>
                </w:tcPr>
                <w:p w14:paraId="2213BD86">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2.0</w:t>
                  </w:r>
                </w:p>
              </w:tc>
              <w:tc>
                <w:tcPr>
                  <w:tcW w:w="999" w:type="pct"/>
                  <w:noWrap w:val="0"/>
                  <w:vAlign w:val="center"/>
                </w:tcPr>
                <w:p w14:paraId="7D1CB720">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6.0</w:t>
                  </w:r>
                </w:p>
              </w:tc>
            </w:tr>
            <w:tr w14:paraId="124A2A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4" w:type="pct"/>
                  <w:shd w:val="clear" w:color="auto" w:fill="auto"/>
                  <w:noWrap w:val="0"/>
                  <w:vAlign w:val="center"/>
                </w:tcPr>
                <w:p w14:paraId="618CA312">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4</w:t>
                  </w:r>
                </w:p>
              </w:tc>
              <w:tc>
                <w:tcPr>
                  <w:tcW w:w="1600" w:type="pct"/>
                  <w:shd w:val="clear" w:color="auto" w:fill="auto"/>
                  <w:noWrap w:val="0"/>
                  <w:vAlign w:val="center"/>
                </w:tcPr>
                <w:p w14:paraId="2C16B19F">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铬≤</w:t>
                  </w:r>
                </w:p>
              </w:tc>
              <w:tc>
                <w:tcPr>
                  <w:tcW w:w="998" w:type="pct"/>
                  <w:shd w:val="clear" w:color="auto" w:fill="BEBEBE"/>
                  <w:noWrap w:val="0"/>
                  <w:vAlign w:val="center"/>
                </w:tcPr>
                <w:p w14:paraId="7DB212D4">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0.5</w:t>
                  </w:r>
                </w:p>
              </w:tc>
              <w:tc>
                <w:tcPr>
                  <w:tcW w:w="998" w:type="pct"/>
                  <w:noWrap w:val="0"/>
                  <w:vAlign w:val="center"/>
                </w:tcPr>
                <w:p w14:paraId="3BC29F3E">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2.0</w:t>
                  </w:r>
                </w:p>
              </w:tc>
              <w:tc>
                <w:tcPr>
                  <w:tcW w:w="999" w:type="pct"/>
                  <w:noWrap w:val="0"/>
                  <w:vAlign w:val="center"/>
                </w:tcPr>
                <w:p w14:paraId="63DEAE4C">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6.0</w:t>
                  </w:r>
                </w:p>
              </w:tc>
            </w:tr>
            <w:tr w14:paraId="2A0CFB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4" w:type="pct"/>
                  <w:shd w:val="clear" w:color="auto" w:fill="auto"/>
                  <w:noWrap w:val="0"/>
                  <w:vAlign w:val="center"/>
                </w:tcPr>
                <w:p w14:paraId="35E7F538">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5</w:t>
                  </w:r>
                </w:p>
              </w:tc>
              <w:tc>
                <w:tcPr>
                  <w:tcW w:w="1600" w:type="pct"/>
                  <w:shd w:val="clear" w:color="auto" w:fill="auto"/>
                  <w:noWrap w:val="0"/>
                  <w:vAlign w:val="center"/>
                </w:tcPr>
                <w:p w14:paraId="4CA5D2EA">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砷≤</w:t>
                  </w:r>
                </w:p>
              </w:tc>
              <w:tc>
                <w:tcPr>
                  <w:tcW w:w="998" w:type="pct"/>
                  <w:shd w:val="clear" w:color="auto" w:fill="BEBEBE"/>
                  <w:noWrap w:val="0"/>
                  <w:vAlign w:val="center"/>
                </w:tcPr>
                <w:p w14:paraId="761D26B3">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1.0</w:t>
                  </w:r>
                </w:p>
              </w:tc>
              <w:tc>
                <w:tcPr>
                  <w:tcW w:w="998" w:type="pct"/>
                  <w:noWrap w:val="0"/>
                  <w:vAlign w:val="center"/>
                </w:tcPr>
                <w:p w14:paraId="3BD35659">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5.0</w:t>
                  </w:r>
                </w:p>
              </w:tc>
              <w:tc>
                <w:tcPr>
                  <w:tcW w:w="999" w:type="pct"/>
                  <w:noWrap w:val="0"/>
                  <w:vAlign w:val="center"/>
                </w:tcPr>
                <w:p w14:paraId="310516EA">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8.0</w:t>
                  </w:r>
                </w:p>
              </w:tc>
            </w:tr>
            <w:tr w14:paraId="3C30FC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4" w:type="pct"/>
                  <w:shd w:val="clear" w:color="auto" w:fill="auto"/>
                  <w:noWrap w:val="0"/>
                  <w:vAlign w:val="center"/>
                </w:tcPr>
                <w:p w14:paraId="027D4390">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6</w:t>
                  </w:r>
                </w:p>
              </w:tc>
              <w:tc>
                <w:tcPr>
                  <w:tcW w:w="1600" w:type="pct"/>
                  <w:shd w:val="clear" w:color="auto" w:fill="auto"/>
                  <w:noWrap w:val="0"/>
                  <w:vAlign w:val="center"/>
                </w:tcPr>
                <w:p w14:paraId="6D84D73D">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铜≤</w:t>
                  </w:r>
                </w:p>
              </w:tc>
              <w:tc>
                <w:tcPr>
                  <w:tcW w:w="998" w:type="pct"/>
                  <w:shd w:val="clear" w:color="auto" w:fill="BEBEBE"/>
                  <w:noWrap w:val="0"/>
                  <w:vAlign w:val="center"/>
                </w:tcPr>
                <w:p w14:paraId="79B415EE">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10</w:t>
                  </w:r>
                </w:p>
              </w:tc>
              <w:tc>
                <w:tcPr>
                  <w:tcW w:w="998" w:type="pct"/>
                  <w:noWrap w:val="0"/>
                  <w:vAlign w:val="center"/>
                </w:tcPr>
                <w:p w14:paraId="3E4FFAFE">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25</w:t>
                  </w:r>
                </w:p>
              </w:tc>
              <w:tc>
                <w:tcPr>
                  <w:tcW w:w="999" w:type="pct"/>
                  <w:noWrap w:val="0"/>
                  <w:vAlign w:val="center"/>
                </w:tcPr>
                <w:p w14:paraId="01783F39">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50（牡蛎100）</w:t>
                  </w:r>
                </w:p>
              </w:tc>
            </w:tr>
            <w:tr w14:paraId="240C76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4" w:type="pct"/>
                  <w:shd w:val="clear" w:color="auto" w:fill="auto"/>
                  <w:noWrap w:val="0"/>
                  <w:vAlign w:val="center"/>
                </w:tcPr>
                <w:p w14:paraId="2DD1B16C">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7</w:t>
                  </w:r>
                </w:p>
              </w:tc>
              <w:tc>
                <w:tcPr>
                  <w:tcW w:w="1600" w:type="pct"/>
                  <w:shd w:val="clear" w:color="auto" w:fill="auto"/>
                  <w:noWrap w:val="0"/>
                  <w:vAlign w:val="center"/>
                </w:tcPr>
                <w:p w14:paraId="26E12158">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锌≤</w:t>
                  </w:r>
                </w:p>
              </w:tc>
              <w:tc>
                <w:tcPr>
                  <w:tcW w:w="998" w:type="pct"/>
                  <w:shd w:val="clear" w:color="auto" w:fill="BEBEBE"/>
                  <w:noWrap w:val="0"/>
                  <w:vAlign w:val="center"/>
                </w:tcPr>
                <w:p w14:paraId="352472B4">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20</w:t>
                  </w:r>
                </w:p>
              </w:tc>
              <w:tc>
                <w:tcPr>
                  <w:tcW w:w="998" w:type="pct"/>
                  <w:noWrap w:val="0"/>
                  <w:vAlign w:val="center"/>
                </w:tcPr>
                <w:p w14:paraId="31DA4EDF">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50</w:t>
                  </w:r>
                </w:p>
              </w:tc>
              <w:tc>
                <w:tcPr>
                  <w:tcW w:w="999" w:type="pct"/>
                  <w:noWrap w:val="0"/>
                  <w:vAlign w:val="center"/>
                </w:tcPr>
                <w:p w14:paraId="6DAB0CA2">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100（牡蛎500）</w:t>
                  </w:r>
                </w:p>
              </w:tc>
            </w:tr>
            <w:tr w14:paraId="2B6531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4" w:type="pct"/>
                  <w:shd w:val="clear" w:color="auto" w:fill="auto"/>
                  <w:noWrap w:val="0"/>
                  <w:vAlign w:val="center"/>
                </w:tcPr>
                <w:p w14:paraId="60B5BA94">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8</w:t>
                  </w:r>
                </w:p>
              </w:tc>
              <w:tc>
                <w:tcPr>
                  <w:tcW w:w="1600" w:type="pct"/>
                  <w:shd w:val="clear" w:color="auto" w:fill="auto"/>
                  <w:noWrap w:val="0"/>
                  <w:vAlign w:val="center"/>
                </w:tcPr>
                <w:p w14:paraId="477ABE3E">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石油烃≤</w:t>
                  </w:r>
                </w:p>
              </w:tc>
              <w:tc>
                <w:tcPr>
                  <w:tcW w:w="998" w:type="pct"/>
                  <w:shd w:val="clear" w:color="auto" w:fill="BEBEBE"/>
                  <w:noWrap w:val="0"/>
                  <w:vAlign w:val="center"/>
                </w:tcPr>
                <w:p w14:paraId="306C68AA">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15</w:t>
                  </w:r>
                </w:p>
              </w:tc>
              <w:tc>
                <w:tcPr>
                  <w:tcW w:w="998" w:type="pct"/>
                  <w:noWrap w:val="0"/>
                  <w:vAlign w:val="center"/>
                </w:tcPr>
                <w:p w14:paraId="44AC7B9C">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50</w:t>
                  </w:r>
                </w:p>
              </w:tc>
              <w:tc>
                <w:tcPr>
                  <w:tcW w:w="999" w:type="pct"/>
                  <w:noWrap w:val="0"/>
                  <w:vAlign w:val="center"/>
                </w:tcPr>
                <w:p w14:paraId="2B916F0D">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80</w:t>
                  </w:r>
                </w:p>
              </w:tc>
            </w:tr>
            <w:tr w14:paraId="1C6FFD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5"/>
                  <w:noWrap w:val="0"/>
                  <w:vAlign w:val="center"/>
                </w:tcPr>
                <w:p w14:paraId="1089C67B">
                  <w:pPr>
                    <w:pStyle w:val="31"/>
                    <w:bidi w:val="0"/>
                    <w:jc w:val="both"/>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注：以贝类去壳部分的鲜重计。</w:t>
                  </w:r>
                </w:p>
              </w:tc>
            </w:tr>
          </w:tbl>
          <w:p w14:paraId="3DC64D83">
            <w:pPr>
              <w:pStyle w:val="11"/>
              <w:rPr>
                <w:rFonts w:hint="default" w:ascii="Times New Roman" w:hAnsi="Times New Roman" w:cs="Times New Roman"/>
                <w:color w:val="000000"/>
                <w:highlight w:val="none"/>
                <w:lang w:val="en-US" w:eastAsia="zh-CN"/>
              </w:rPr>
            </w:pPr>
            <w:bookmarkStart w:id="181" w:name="_Ref20945"/>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3.1</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表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w:t>
            </w:r>
            <w:r>
              <w:rPr>
                <w:rFonts w:hint="default" w:ascii="Times New Roman" w:hAnsi="Times New Roman" w:cs="Times New Roman"/>
                <w:color w:val="000000"/>
                <w:highlight w:val="none"/>
              </w:rPr>
              <w:fldChar w:fldCharType="end"/>
            </w:r>
            <w:bookmarkEnd w:id="181"/>
            <w:r>
              <w:rPr>
                <w:rFonts w:hint="default" w:ascii="Times New Roman" w:hAnsi="Times New Roman" w:cs="Times New Roman"/>
                <w:color w:val="000000"/>
                <w:highlight w:val="none"/>
                <w:lang w:val="en-US" w:eastAsia="zh-CN"/>
              </w:rPr>
              <w:t xml:space="preserve"> 《环境影响评价技术导则海洋生态环境》（HJ1409-2025）附录C（节选）</w:t>
            </w:r>
            <w:r>
              <w:rPr>
                <w:rFonts w:hint="eastAsia" w:cs="Times New Roman"/>
                <w:color w:val="000000"/>
                <w:highlight w:val="none"/>
                <w:lang w:val="en-US" w:eastAsia="zh-CN"/>
              </w:rPr>
              <w:t xml:space="preserve">  </w:t>
            </w:r>
            <w:r>
              <w:rPr>
                <w:rFonts w:hint="default" w:ascii="Times New Roman" w:hAnsi="Times New Roman" w:cs="Times New Roman"/>
                <w:color w:val="000000"/>
                <w:highlight w:val="none"/>
                <w:lang w:val="en-US" w:eastAsia="zh-CN"/>
              </w:rPr>
              <w:t>单位：mg/kg</w:t>
            </w:r>
          </w:p>
          <w:tbl>
            <w:tblPr>
              <w:tblStyle w:val="21"/>
              <w:tblW w:w="4996"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106"/>
              <w:gridCol w:w="1008"/>
              <w:gridCol w:w="1009"/>
              <w:gridCol w:w="1009"/>
              <w:gridCol w:w="1009"/>
              <w:gridCol w:w="1009"/>
              <w:gridCol w:w="1009"/>
              <w:gridCol w:w="1012"/>
            </w:tblGrid>
            <w:tr w14:paraId="3BA9745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77" w:type="pct"/>
                  <w:noWrap w:val="0"/>
                  <w:vAlign w:val="center"/>
                </w:tcPr>
                <w:p w14:paraId="1167D389">
                  <w:pPr>
                    <w:pStyle w:val="31"/>
                    <w:bidi w:val="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生物类别</w:t>
                  </w:r>
                </w:p>
              </w:tc>
              <w:tc>
                <w:tcPr>
                  <w:tcW w:w="617" w:type="pct"/>
                  <w:noWrap w:val="0"/>
                  <w:vAlign w:val="center"/>
                </w:tcPr>
                <w:p w14:paraId="5D5D7F15">
                  <w:pPr>
                    <w:pStyle w:val="31"/>
                    <w:bidi w:val="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铜≤</w:t>
                  </w:r>
                </w:p>
              </w:tc>
              <w:tc>
                <w:tcPr>
                  <w:tcW w:w="617" w:type="pct"/>
                  <w:noWrap w:val="0"/>
                  <w:vAlign w:val="center"/>
                </w:tcPr>
                <w:p w14:paraId="24B471BC">
                  <w:pPr>
                    <w:pStyle w:val="31"/>
                    <w:bidi w:val="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砷≤</w:t>
                  </w:r>
                </w:p>
              </w:tc>
              <w:tc>
                <w:tcPr>
                  <w:tcW w:w="617" w:type="pct"/>
                  <w:noWrap w:val="0"/>
                  <w:vAlign w:val="center"/>
                </w:tcPr>
                <w:p w14:paraId="54DA908C">
                  <w:pPr>
                    <w:pStyle w:val="31"/>
                    <w:bidi w:val="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铅≤</w:t>
                  </w:r>
                </w:p>
              </w:tc>
              <w:tc>
                <w:tcPr>
                  <w:tcW w:w="617" w:type="pct"/>
                  <w:noWrap w:val="0"/>
                  <w:vAlign w:val="center"/>
                </w:tcPr>
                <w:p w14:paraId="474F3956">
                  <w:pPr>
                    <w:pStyle w:val="31"/>
                    <w:bidi w:val="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镉≤</w:t>
                  </w:r>
                </w:p>
              </w:tc>
              <w:tc>
                <w:tcPr>
                  <w:tcW w:w="617" w:type="pct"/>
                  <w:noWrap w:val="0"/>
                  <w:vAlign w:val="center"/>
                </w:tcPr>
                <w:p w14:paraId="592A5230">
                  <w:pPr>
                    <w:pStyle w:val="31"/>
                    <w:bidi w:val="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锌≤</w:t>
                  </w:r>
                </w:p>
              </w:tc>
              <w:tc>
                <w:tcPr>
                  <w:tcW w:w="617" w:type="pct"/>
                  <w:noWrap w:val="0"/>
                  <w:vAlign w:val="center"/>
                </w:tcPr>
                <w:p w14:paraId="146C44AB">
                  <w:pPr>
                    <w:pStyle w:val="31"/>
                    <w:bidi w:val="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总汞≤</w:t>
                  </w:r>
                </w:p>
              </w:tc>
              <w:tc>
                <w:tcPr>
                  <w:tcW w:w="619" w:type="pct"/>
                  <w:noWrap w:val="0"/>
                  <w:vAlign w:val="center"/>
                </w:tcPr>
                <w:p w14:paraId="6D201479">
                  <w:pPr>
                    <w:pStyle w:val="31"/>
                    <w:bidi w:val="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石油烃≤</w:t>
                  </w:r>
                </w:p>
              </w:tc>
            </w:tr>
            <w:tr w14:paraId="25E991A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77" w:type="pct"/>
                  <w:noWrap w:val="0"/>
                  <w:vAlign w:val="center"/>
                </w:tcPr>
                <w:p w14:paraId="0D295F6B">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鱼类</w:t>
                  </w:r>
                </w:p>
              </w:tc>
              <w:tc>
                <w:tcPr>
                  <w:tcW w:w="617" w:type="pct"/>
                  <w:noWrap w:val="0"/>
                  <w:vAlign w:val="center"/>
                </w:tcPr>
                <w:p w14:paraId="112D91EE">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20</w:t>
                  </w:r>
                </w:p>
              </w:tc>
              <w:tc>
                <w:tcPr>
                  <w:tcW w:w="617" w:type="pct"/>
                  <w:noWrap w:val="0"/>
                  <w:vAlign w:val="center"/>
                </w:tcPr>
                <w:p w14:paraId="158B20CD">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w:t>
                  </w:r>
                </w:p>
              </w:tc>
              <w:tc>
                <w:tcPr>
                  <w:tcW w:w="617" w:type="pct"/>
                  <w:noWrap w:val="0"/>
                  <w:vAlign w:val="center"/>
                </w:tcPr>
                <w:p w14:paraId="2AB132DC">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2.0</w:t>
                  </w:r>
                </w:p>
              </w:tc>
              <w:tc>
                <w:tcPr>
                  <w:tcW w:w="617" w:type="pct"/>
                  <w:noWrap w:val="0"/>
                  <w:vAlign w:val="center"/>
                </w:tcPr>
                <w:p w14:paraId="2E70E7CD">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0.6</w:t>
                  </w:r>
                </w:p>
              </w:tc>
              <w:tc>
                <w:tcPr>
                  <w:tcW w:w="617" w:type="pct"/>
                  <w:noWrap w:val="0"/>
                  <w:vAlign w:val="center"/>
                </w:tcPr>
                <w:p w14:paraId="4FC902D0">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40</w:t>
                  </w:r>
                </w:p>
              </w:tc>
              <w:tc>
                <w:tcPr>
                  <w:tcW w:w="617" w:type="pct"/>
                  <w:noWrap w:val="0"/>
                  <w:vAlign w:val="center"/>
                </w:tcPr>
                <w:p w14:paraId="360923CB">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0.3</w:t>
                  </w:r>
                </w:p>
              </w:tc>
              <w:tc>
                <w:tcPr>
                  <w:tcW w:w="619" w:type="pct"/>
                  <w:noWrap w:val="0"/>
                  <w:vAlign w:val="center"/>
                </w:tcPr>
                <w:p w14:paraId="387581CD">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20</w:t>
                  </w:r>
                </w:p>
              </w:tc>
            </w:tr>
            <w:tr w14:paraId="5662D0A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77" w:type="pct"/>
                  <w:noWrap w:val="0"/>
                  <w:vAlign w:val="center"/>
                </w:tcPr>
                <w:p w14:paraId="63B9BB02">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甲壳类</w:t>
                  </w:r>
                </w:p>
              </w:tc>
              <w:tc>
                <w:tcPr>
                  <w:tcW w:w="617" w:type="pct"/>
                  <w:noWrap w:val="0"/>
                  <w:vAlign w:val="center"/>
                </w:tcPr>
                <w:p w14:paraId="434D2668">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100</w:t>
                  </w:r>
                </w:p>
              </w:tc>
              <w:tc>
                <w:tcPr>
                  <w:tcW w:w="617" w:type="pct"/>
                  <w:noWrap w:val="0"/>
                  <w:vAlign w:val="center"/>
                </w:tcPr>
                <w:p w14:paraId="6F0FF943">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w:t>
                  </w:r>
                </w:p>
              </w:tc>
              <w:tc>
                <w:tcPr>
                  <w:tcW w:w="617" w:type="pct"/>
                  <w:noWrap w:val="0"/>
                  <w:vAlign w:val="center"/>
                </w:tcPr>
                <w:p w14:paraId="23197EC3">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2.0</w:t>
                  </w:r>
                </w:p>
              </w:tc>
              <w:tc>
                <w:tcPr>
                  <w:tcW w:w="617" w:type="pct"/>
                  <w:noWrap w:val="0"/>
                  <w:vAlign w:val="center"/>
                </w:tcPr>
                <w:p w14:paraId="143F2F38">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2.0</w:t>
                  </w:r>
                </w:p>
              </w:tc>
              <w:tc>
                <w:tcPr>
                  <w:tcW w:w="617" w:type="pct"/>
                  <w:noWrap w:val="0"/>
                  <w:vAlign w:val="center"/>
                </w:tcPr>
                <w:p w14:paraId="3202DDE5">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150</w:t>
                  </w:r>
                </w:p>
              </w:tc>
              <w:tc>
                <w:tcPr>
                  <w:tcW w:w="617" w:type="pct"/>
                  <w:noWrap w:val="0"/>
                  <w:vAlign w:val="center"/>
                </w:tcPr>
                <w:p w14:paraId="4BAD8DF8">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0.2</w:t>
                  </w:r>
                </w:p>
              </w:tc>
              <w:tc>
                <w:tcPr>
                  <w:tcW w:w="619" w:type="pct"/>
                  <w:noWrap w:val="0"/>
                  <w:vAlign w:val="center"/>
                </w:tcPr>
                <w:p w14:paraId="320D78EC">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20</w:t>
                  </w:r>
                </w:p>
              </w:tc>
            </w:tr>
          </w:tbl>
          <w:p w14:paraId="00DFC24D">
            <w:pPr>
              <w:pStyle w:val="4"/>
              <w:bidi w:val="0"/>
              <w:rPr>
                <w:rFonts w:hint="default"/>
              </w:rPr>
            </w:pPr>
            <w:r>
              <w:rPr>
                <w:rFonts w:hint="default"/>
              </w:rPr>
              <w:t>大气环境</w:t>
            </w:r>
          </w:p>
          <w:p w14:paraId="56292B0E">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rPr>
            </w:pPr>
            <w:r>
              <w:rPr>
                <w:rFonts w:hint="default" w:ascii="Times New Roman" w:hAnsi="Times New Roman" w:cs="Times New Roman"/>
                <w:color w:val="000000"/>
                <w:highlight w:val="none"/>
                <w:lang w:val="en-US" w:eastAsia="zh-CN"/>
              </w:rPr>
              <w:t>根据《福州市环境空气质量功能区划》（榕政综〔2014〕30号），项目所在区域环境空气质量为二类区，环境空气质量执行《环境空气质量标准》（GB 3095-2026）表1中的二级标准，氨、硫化氢参照执行《环境影响评价技术导则-大气环境》（HJ 2.2-2018）附录D其他污染物空气质量浓度参考限值</w:t>
            </w:r>
            <w:r>
              <w:rPr>
                <w:rFonts w:hint="eastAsia" w:cs="Times New Roman"/>
                <w:color w:val="000000"/>
                <w:highlight w:val="none"/>
                <w:lang w:val="en-US" w:eastAsia="zh-CN"/>
              </w:rPr>
              <w:t>，</w:t>
            </w:r>
            <w:r>
              <w:rPr>
                <w:rFonts w:hint="default" w:ascii="Times New Roman" w:hAnsi="Times New Roman" w:cs="Times New Roman"/>
                <w:color w:val="000000"/>
                <w:highlight w:val="none"/>
                <w:lang w:val="en-US" w:eastAsia="zh-CN"/>
              </w:rPr>
              <w:t>臭气浓度参照执行《恶臭污染物排放标准》（GB14554-93）中的二级新扩改建标准。具体标准限值见</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REF _Ref21642 \h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3.1</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5</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val="en-US" w:eastAsia="zh-CN"/>
              </w:rPr>
              <w:t>。</w:t>
            </w:r>
          </w:p>
          <w:p w14:paraId="5ADAB20A">
            <w:pPr>
              <w:pStyle w:val="11"/>
              <w:rPr>
                <w:rFonts w:hint="default" w:ascii="Times New Roman" w:hAnsi="Times New Roman" w:cs="Times New Roman"/>
                <w:color w:val="000000"/>
                <w:highlight w:val="none"/>
                <w:lang w:val="en-US" w:eastAsia="zh-CN"/>
              </w:rPr>
            </w:pPr>
            <w:bookmarkStart w:id="182" w:name="_Ref21642"/>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3.1</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表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5</w:t>
            </w:r>
            <w:r>
              <w:rPr>
                <w:rFonts w:hint="default" w:ascii="Times New Roman" w:hAnsi="Times New Roman" w:cs="Times New Roman"/>
                <w:color w:val="000000"/>
                <w:highlight w:val="none"/>
              </w:rPr>
              <w:fldChar w:fldCharType="end"/>
            </w:r>
            <w:bookmarkEnd w:id="182"/>
            <w:r>
              <w:rPr>
                <w:rFonts w:hint="default" w:ascii="Times New Roman" w:hAnsi="Times New Roman" w:cs="Times New Roman"/>
                <w:color w:val="000000"/>
                <w:highlight w:val="none"/>
                <w:lang w:val="en-US" w:eastAsia="zh-CN"/>
              </w:rPr>
              <w:t xml:space="preserve"> 项目所在区域环境空气质量标准（摘录）</w:t>
            </w:r>
          </w:p>
          <w:tbl>
            <w:tblPr>
              <w:tblStyle w:val="22"/>
              <w:tblW w:w="821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06"/>
              <w:gridCol w:w="905"/>
              <w:gridCol w:w="1734"/>
              <w:gridCol w:w="1187"/>
              <w:gridCol w:w="1147"/>
              <w:gridCol w:w="800"/>
              <w:gridCol w:w="1838"/>
            </w:tblGrid>
            <w:tr w14:paraId="3CEA7D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3" w:hRule="atLeast"/>
                <w:tblHeader/>
              </w:trPr>
              <w:tc>
                <w:tcPr>
                  <w:tcW w:w="606" w:type="dxa"/>
                  <w:noWrap w:val="0"/>
                  <w:vAlign w:val="center"/>
                </w:tcPr>
                <w:p w14:paraId="5C4FA739">
                  <w:pPr>
                    <w:pStyle w:val="31"/>
                    <w:bidi w:val="0"/>
                    <w:jc w:val="center"/>
                    <w:rPr>
                      <w:rFonts w:hint="default" w:ascii="Times New Roman" w:hAnsi="Times New Roman" w:cs="Times New Roman"/>
                      <w:b/>
                      <w:bCs/>
                      <w:color w:val="000000"/>
                      <w:highlight w:val="none"/>
                      <w:vertAlign w:val="baseline"/>
                      <w:lang w:val="en-US" w:eastAsia="zh-CN"/>
                    </w:rPr>
                  </w:pPr>
                  <w:r>
                    <w:rPr>
                      <w:rFonts w:hint="default" w:ascii="Times New Roman" w:hAnsi="Times New Roman" w:cs="Times New Roman"/>
                      <w:b/>
                      <w:bCs/>
                      <w:color w:val="000000"/>
                      <w:highlight w:val="none"/>
                      <w:vertAlign w:val="baseline"/>
                      <w:lang w:val="en-US" w:eastAsia="zh-CN"/>
                    </w:rPr>
                    <w:t>序号</w:t>
                  </w:r>
                </w:p>
              </w:tc>
              <w:tc>
                <w:tcPr>
                  <w:tcW w:w="905" w:type="dxa"/>
                  <w:noWrap w:val="0"/>
                  <w:vAlign w:val="center"/>
                </w:tcPr>
                <w:p w14:paraId="049C7EED">
                  <w:pPr>
                    <w:pStyle w:val="31"/>
                    <w:bidi w:val="0"/>
                    <w:jc w:val="center"/>
                    <w:rPr>
                      <w:rFonts w:hint="default" w:ascii="Times New Roman" w:hAnsi="Times New Roman" w:cs="Times New Roman"/>
                      <w:b/>
                      <w:bCs/>
                      <w:color w:val="000000"/>
                      <w:highlight w:val="none"/>
                      <w:vertAlign w:val="baseline"/>
                      <w:lang w:val="en-US" w:eastAsia="zh-CN"/>
                    </w:rPr>
                  </w:pPr>
                  <w:r>
                    <w:rPr>
                      <w:rFonts w:hint="default" w:ascii="Times New Roman" w:hAnsi="Times New Roman" w:cs="Times New Roman"/>
                      <w:b/>
                      <w:bCs/>
                      <w:color w:val="000000"/>
                      <w:highlight w:val="none"/>
                      <w:vertAlign w:val="baseline"/>
                      <w:lang w:val="en-US" w:eastAsia="zh-CN"/>
                    </w:rPr>
                    <w:t>污染物名称</w:t>
                  </w:r>
                </w:p>
              </w:tc>
              <w:tc>
                <w:tcPr>
                  <w:tcW w:w="1734" w:type="dxa"/>
                  <w:noWrap w:val="0"/>
                  <w:vAlign w:val="center"/>
                </w:tcPr>
                <w:p w14:paraId="704F81D3">
                  <w:pPr>
                    <w:pStyle w:val="31"/>
                    <w:bidi w:val="0"/>
                    <w:jc w:val="center"/>
                    <w:rPr>
                      <w:rFonts w:hint="default" w:ascii="Times New Roman" w:hAnsi="Times New Roman" w:cs="Times New Roman"/>
                      <w:b/>
                      <w:bCs/>
                      <w:color w:val="000000"/>
                      <w:highlight w:val="none"/>
                      <w:vertAlign w:val="baseline"/>
                      <w:lang w:val="en-US" w:eastAsia="zh-CN"/>
                    </w:rPr>
                  </w:pPr>
                  <w:r>
                    <w:rPr>
                      <w:rFonts w:hint="default" w:ascii="Times New Roman" w:hAnsi="Times New Roman" w:cs="Times New Roman"/>
                      <w:b/>
                      <w:bCs/>
                      <w:color w:val="000000"/>
                      <w:highlight w:val="none"/>
                      <w:vertAlign w:val="baseline"/>
                      <w:lang w:val="en-US" w:eastAsia="zh-CN"/>
                    </w:rPr>
                    <w:t>平均时间</w:t>
                  </w:r>
                </w:p>
              </w:tc>
              <w:tc>
                <w:tcPr>
                  <w:tcW w:w="1187" w:type="dxa"/>
                  <w:noWrap w:val="0"/>
                  <w:vAlign w:val="center"/>
                </w:tcPr>
                <w:p w14:paraId="228F2AF0">
                  <w:pPr>
                    <w:pStyle w:val="31"/>
                    <w:bidi w:val="0"/>
                    <w:jc w:val="center"/>
                    <w:rPr>
                      <w:rFonts w:hint="default" w:ascii="Times New Roman" w:hAnsi="Times New Roman" w:cs="Times New Roman"/>
                      <w:b/>
                      <w:bCs/>
                      <w:color w:val="000000"/>
                      <w:highlight w:val="none"/>
                      <w:vertAlign w:val="baseline"/>
                      <w:lang w:val="en-US" w:eastAsia="zh-CN"/>
                    </w:rPr>
                  </w:pPr>
                  <w:r>
                    <w:rPr>
                      <w:rFonts w:hint="eastAsia" w:cs="Times New Roman"/>
                      <w:b/>
                      <w:bCs/>
                      <w:color w:val="000000"/>
                      <w:highlight w:val="none"/>
                      <w:vertAlign w:val="baseline"/>
                      <w:lang w:val="en-US" w:eastAsia="zh-CN"/>
                    </w:rPr>
                    <w:t>过渡阶段二级浓度限值</w:t>
                  </w:r>
                </w:p>
              </w:tc>
              <w:tc>
                <w:tcPr>
                  <w:tcW w:w="1147" w:type="dxa"/>
                  <w:noWrap w:val="0"/>
                  <w:vAlign w:val="center"/>
                </w:tcPr>
                <w:p w14:paraId="257B4AB6">
                  <w:pPr>
                    <w:pStyle w:val="31"/>
                    <w:bidi w:val="0"/>
                    <w:jc w:val="center"/>
                    <w:rPr>
                      <w:rFonts w:hint="default" w:ascii="Times New Roman" w:hAnsi="Times New Roman" w:cs="Times New Roman"/>
                      <w:b/>
                      <w:bCs/>
                      <w:color w:val="000000"/>
                      <w:highlight w:val="none"/>
                      <w:vertAlign w:val="baseline"/>
                      <w:lang w:val="en-US" w:eastAsia="zh-CN"/>
                    </w:rPr>
                  </w:pPr>
                  <w:r>
                    <w:rPr>
                      <w:rFonts w:hint="eastAsia" w:cs="Times New Roman"/>
                      <w:b/>
                      <w:bCs/>
                      <w:color w:val="000000"/>
                      <w:highlight w:val="none"/>
                      <w:vertAlign w:val="baseline"/>
                      <w:lang w:val="en-US" w:eastAsia="zh-CN"/>
                    </w:rPr>
                    <w:t>基本项目二级浓度限值</w:t>
                  </w:r>
                </w:p>
              </w:tc>
              <w:tc>
                <w:tcPr>
                  <w:tcW w:w="800" w:type="dxa"/>
                  <w:noWrap w:val="0"/>
                  <w:vAlign w:val="center"/>
                </w:tcPr>
                <w:p w14:paraId="43D1EFBB">
                  <w:pPr>
                    <w:pStyle w:val="31"/>
                    <w:bidi w:val="0"/>
                    <w:jc w:val="center"/>
                    <w:rPr>
                      <w:rFonts w:hint="default" w:ascii="Times New Roman" w:hAnsi="Times New Roman" w:cs="Times New Roman"/>
                      <w:b/>
                      <w:bCs/>
                      <w:color w:val="000000"/>
                      <w:highlight w:val="none"/>
                      <w:vertAlign w:val="baseline"/>
                      <w:lang w:val="en-US" w:eastAsia="zh-CN"/>
                    </w:rPr>
                  </w:pPr>
                  <w:r>
                    <w:rPr>
                      <w:rFonts w:hint="default" w:ascii="Times New Roman" w:hAnsi="Times New Roman" w:cs="Times New Roman"/>
                      <w:b/>
                      <w:bCs/>
                      <w:color w:val="000000"/>
                      <w:highlight w:val="none"/>
                      <w:vertAlign w:val="baseline"/>
                      <w:lang w:val="en-US" w:eastAsia="zh-CN"/>
                    </w:rPr>
                    <w:t>单位</w:t>
                  </w:r>
                </w:p>
              </w:tc>
              <w:tc>
                <w:tcPr>
                  <w:tcW w:w="1838" w:type="dxa"/>
                  <w:noWrap w:val="0"/>
                  <w:vAlign w:val="center"/>
                </w:tcPr>
                <w:p w14:paraId="796E2E75">
                  <w:pPr>
                    <w:pStyle w:val="31"/>
                    <w:bidi w:val="0"/>
                    <w:jc w:val="center"/>
                    <w:rPr>
                      <w:rFonts w:hint="default" w:ascii="Times New Roman" w:hAnsi="Times New Roman" w:cs="Times New Roman"/>
                      <w:b/>
                      <w:bCs/>
                      <w:color w:val="000000"/>
                      <w:highlight w:val="none"/>
                      <w:vertAlign w:val="baseline"/>
                      <w:lang w:val="en-US" w:eastAsia="zh-CN"/>
                    </w:rPr>
                  </w:pPr>
                  <w:r>
                    <w:rPr>
                      <w:rFonts w:hint="default" w:ascii="Times New Roman" w:hAnsi="Times New Roman" w:cs="Times New Roman"/>
                      <w:b/>
                      <w:bCs/>
                      <w:color w:val="000000"/>
                      <w:highlight w:val="none"/>
                      <w:vertAlign w:val="baseline"/>
                      <w:lang w:val="en-US" w:eastAsia="zh-CN"/>
                    </w:rPr>
                    <w:t>标准来源</w:t>
                  </w:r>
                </w:p>
              </w:tc>
            </w:tr>
            <w:tr w14:paraId="50C1FD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trPr>
              <w:tc>
                <w:tcPr>
                  <w:tcW w:w="606" w:type="dxa"/>
                  <w:vMerge w:val="restart"/>
                  <w:noWrap w:val="0"/>
                  <w:vAlign w:val="center"/>
                </w:tcPr>
                <w:p w14:paraId="7C2E41EA">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1</w:t>
                  </w:r>
                </w:p>
              </w:tc>
              <w:tc>
                <w:tcPr>
                  <w:tcW w:w="905" w:type="dxa"/>
                  <w:vMerge w:val="restart"/>
                  <w:noWrap w:val="0"/>
                  <w:vAlign w:val="center"/>
                </w:tcPr>
                <w:p w14:paraId="1A13577C">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SO</w:t>
                  </w:r>
                  <w:r>
                    <w:rPr>
                      <w:rFonts w:hint="default" w:ascii="Times New Roman" w:hAnsi="Times New Roman" w:cs="Times New Roman"/>
                      <w:color w:val="000000"/>
                      <w:highlight w:val="none"/>
                      <w:vertAlign w:val="subscript"/>
                      <w:lang w:val="en-US" w:eastAsia="zh-CN"/>
                    </w:rPr>
                    <w:t>2</w:t>
                  </w:r>
                </w:p>
              </w:tc>
              <w:tc>
                <w:tcPr>
                  <w:tcW w:w="1734" w:type="dxa"/>
                  <w:noWrap w:val="0"/>
                  <w:vAlign w:val="center"/>
                </w:tcPr>
                <w:p w14:paraId="4DEFB06E">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年平均</w:t>
                  </w:r>
                </w:p>
              </w:tc>
              <w:tc>
                <w:tcPr>
                  <w:tcW w:w="1187" w:type="dxa"/>
                  <w:noWrap w:val="0"/>
                  <w:vAlign w:val="center"/>
                </w:tcPr>
                <w:p w14:paraId="66D56E9F">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60</w:t>
                  </w:r>
                </w:p>
              </w:tc>
              <w:tc>
                <w:tcPr>
                  <w:tcW w:w="1147" w:type="dxa"/>
                  <w:noWrap w:val="0"/>
                  <w:vAlign w:val="center"/>
                </w:tcPr>
                <w:p w14:paraId="6A597FDA">
                  <w:pPr>
                    <w:pStyle w:val="31"/>
                    <w:bidi w:val="0"/>
                    <w:jc w:val="center"/>
                    <w:rPr>
                      <w:rFonts w:hint="default" w:ascii="Times New Roman" w:hAnsi="Times New Roman" w:cs="Times New Roman"/>
                      <w:color w:val="000000"/>
                      <w:highlight w:val="none"/>
                      <w:vertAlign w:val="baseline"/>
                      <w:lang w:val="en-US" w:eastAsia="zh-CN"/>
                    </w:rPr>
                  </w:pPr>
                  <w:r>
                    <w:rPr>
                      <w:rFonts w:hint="eastAsia" w:cs="Times New Roman"/>
                      <w:color w:val="000000"/>
                      <w:highlight w:val="none"/>
                      <w:vertAlign w:val="baseline"/>
                      <w:lang w:val="en-US" w:eastAsia="zh-CN"/>
                    </w:rPr>
                    <w:t>20</w:t>
                  </w:r>
                </w:p>
              </w:tc>
              <w:tc>
                <w:tcPr>
                  <w:tcW w:w="800" w:type="dxa"/>
                  <w:vMerge w:val="restart"/>
                  <w:noWrap w:val="0"/>
                  <w:vAlign w:val="center"/>
                </w:tcPr>
                <w:p w14:paraId="2A5264E0">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μg/m</w:t>
                  </w:r>
                  <w:r>
                    <w:rPr>
                      <w:rFonts w:hint="default" w:ascii="Times New Roman" w:hAnsi="Times New Roman" w:cs="Times New Roman"/>
                      <w:color w:val="000000"/>
                      <w:highlight w:val="none"/>
                      <w:vertAlign w:val="superscript"/>
                      <w:lang w:val="en-US" w:eastAsia="zh-CN"/>
                    </w:rPr>
                    <w:t>3</w:t>
                  </w:r>
                </w:p>
              </w:tc>
              <w:tc>
                <w:tcPr>
                  <w:tcW w:w="1838" w:type="dxa"/>
                  <w:vMerge w:val="restart"/>
                  <w:noWrap w:val="0"/>
                  <w:vAlign w:val="center"/>
                </w:tcPr>
                <w:p w14:paraId="29FD6403">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《环境空气质量标准》（GB 3095-2026）表1中的二级标准</w:t>
                  </w:r>
                </w:p>
              </w:tc>
            </w:tr>
            <w:tr w14:paraId="091EEF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trPr>
              <w:tc>
                <w:tcPr>
                  <w:tcW w:w="606" w:type="dxa"/>
                  <w:vMerge w:val="continue"/>
                  <w:noWrap w:val="0"/>
                  <w:vAlign w:val="center"/>
                </w:tcPr>
                <w:p w14:paraId="4E47EB4E">
                  <w:pPr>
                    <w:pStyle w:val="31"/>
                    <w:bidi w:val="0"/>
                    <w:jc w:val="center"/>
                    <w:rPr>
                      <w:rFonts w:hint="default" w:ascii="Times New Roman" w:hAnsi="Times New Roman" w:cs="Times New Roman"/>
                      <w:color w:val="000000"/>
                      <w:highlight w:val="none"/>
                      <w:vertAlign w:val="baseline"/>
                      <w:lang w:val="en-US" w:eastAsia="zh-CN"/>
                    </w:rPr>
                  </w:pPr>
                </w:p>
              </w:tc>
              <w:tc>
                <w:tcPr>
                  <w:tcW w:w="905" w:type="dxa"/>
                  <w:vMerge w:val="continue"/>
                  <w:noWrap w:val="0"/>
                  <w:vAlign w:val="center"/>
                </w:tcPr>
                <w:p w14:paraId="40A8D5E1">
                  <w:pPr>
                    <w:pStyle w:val="31"/>
                    <w:bidi w:val="0"/>
                    <w:jc w:val="center"/>
                    <w:rPr>
                      <w:rFonts w:hint="default" w:ascii="Times New Roman" w:hAnsi="Times New Roman" w:cs="Times New Roman"/>
                      <w:color w:val="000000"/>
                      <w:highlight w:val="none"/>
                      <w:vertAlign w:val="baseline"/>
                      <w:lang w:val="en-US" w:eastAsia="zh-CN"/>
                    </w:rPr>
                  </w:pPr>
                </w:p>
              </w:tc>
              <w:tc>
                <w:tcPr>
                  <w:tcW w:w="1734" w:type="dxa"/>
                  <w:noWrap w:val="0"/>
                  <w:vAlign w:val="center"/>
                </w:tcPr>
                <w:p w14:paraId="41D2186A">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24小时平均</w:t>
                  </w:r>
                </w:p>
              </w:tc>
              <w:tc>
                <w:tcPr>
                  <w:tcW w:w="1187" w:type="dxa"/>
                  <w:noWrap w:val="0"/>
                  <w:vAlign w:val="center"/>
                </w:tcPr>
                <w:p w14:paraId="0504D4AB">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150</w:t>
                  </w:r>
                </w:p>
              </w:tc>
              <w:tc>
                <w:tcPr>
                  <w:tcW w:w="1147" w:type="dxa"/>
                  <w:noWrap w:val="0"/>
                  <w:vAlign w:val="center"/>
                </w:tcPr>
                <w:p w14:paraId="179289AA">
                  <w:pPr>
                    <w:pStyle w:val="31"/>
                    <w:bidi w:val="0"/>
                    <w:jc w:val="center"/>
                    <w:rPr>
                      <w:rFonts w:hint="default" w:ascii="Times New Roman" w:hAnsi="Times New Roman" w:cs="Times New Roman"/>
                      <w:color w:val="000000"/>
                      <w:highlight w:val="none"/>
                      <w:vertAlign w:val="baseline"/>
                      <w:lang w:val="en-US" w:eastAsia="zh-CN"/>
                    </w:rPr>
                  </w:pPr>
                  <w:r>
                    <w:rPr>
                      <w:rFonts w:hint="eastAsia" w:cs="Times New Roman"/>
                      <w:color w:val="000000"/>
                      <w:highlight w:val="none"/>
                      <w:vertAlign w:val="baseline"/>
                      <w:lang w:val="en-US" w:eastAsia="zh-CN"/>
                    </w:rPr>
                    <w:t>50</w:t>
                  </w:r>
                </w:p>
              </w:tc>
              <w:tc>
                <w:tcPr>
                  <w:tcW w:w="800" w:type="dxa"/>
                  <w:vMerge w:val="continue"/>
                  <w:noWrap w:val="0"/>
                  <w:vAlign w:val="center"/>
                </w:tcPr>
                <w:p w14:paraId="58D69930">
                  <w:pPr>
                    <w:pStyle w:val="31"/>
                    <w:bidi w:val="0"/>
                    <w:jc w:val="center"/>
                    <w:rPr>
                      <w:rFonts w:hint="default" w:ascii="Times New Roman" w:hAnsi="Times New Roman" w:cs="Times New Roman"/>
                      <w:color w:val="000000"/>
                      <w:highlight w:val="none"/>
                      <w:vertAlign w:val="baseline"/>
                      <w:lang w:val="en-US" w:eastAsia="zh-CN"/>
                    </w:rPr>
                  </w:pPr>
                </w:p>
              </w:tc>
              <w:tc>
                <w:tcPr>
                  <w:tcW w:w="1838" w:type="dxa"/>
                  <w:vMerge w:val="continue"/>
                  <w:noWrap w:val="0"/>
                  <w:vAlign w:val="center"/>
                </w:tcPr>
                <w:p w14:paraId="329A5A81">
                  <w:pPr>
                    <w:pStyle w:val="31"/>
                    <w:bidi w:val="0"/>
                    <w:jc w:val="center"/>
                    <w:rPr>
                      <w:rFonts w:hint="default" w:ascii="Times New Roman" w:hAnsi="Times New Roman" w:cs="Times New Roman"/>
                      <w:color w:val="000000"/>
                      <w:highlight w:val="none"/>
                      <w:vertAlign w:val="baseline"/>
                      <w:lang w:val="en-US" w:eastAsia="zh-CN"/>
                    </w:rPr>
                  </w:pPr>
                </w:p>
              </w:tc>
            </w:tr>
            <w:tr w14:paraId="472798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trPr>
              <w:tc>
                <w:tcPr>
                  <w:tcW w:w="606" w:type="dxa"/>
                  <w:vMerge w:val="continue"/>
                  <w:noWrap w:val="0"/>
                  <w:vAlign w:val="center"/>
                </w:tcPr>
                <w:p w14:paraId="1B24AB5A">
                  <w:pPr>
                    <w:pStyle w:val="31"/>
                    <w:bidi w:val="0"/>
                    <w:jc w:val="center"/>
                    <w:rPr>
                      <w:rFonts w:hint="default" w:ascii="Times New Roman" w:hAnsi="Times New Roman" w:cs="Times New Roman"/>
                      <w:color w:val="000000"/>
                      <w:highlight w:val="none"/>
                      <w:vertAlign w:val="baseline"/>
                      <w:lang w:val="en-US" w:eastAsia="zh-CN"/>
                    </w:rPr>
                  </w:pPr>
                </w:p>
              </w:tc>
              <w:tc>
                <w:tcPr>
                  <w:tcW w:w="905" w:type="dxa"/>
                  <w:vMerge w:val="continue"/>
                  <w:noWrap w:val="0"/>
                  <w:vAlign w:val="center"/>
                </w:tcPr>
                <w:p w14:paraId="3EEB933C">
                  <w:pPr>
                    <w:pStyle w:val="31"/>
                    <w:bidi w:val="0"/>
                    <w:jc w:val="center"/>
                    <w:rPr>
                      <w:rFonts w:hint="default" w:ascii="Times New Roman" w:hAnsi="Times New Roman" w:cs="Times New Roman"/>
                      <w:color w:val="000000"/>
                      <w:highlight w:val="none"/>
                      <w:vertAlign w:val="baseline"/>
                      <w:lang w:val="en-US" w:eastAsia="zh-CN"/>
                    </w:rPr>
                  </w:pPr>
                </w:p>
              </w:tc>
              <w:tc>
                <w:tcPr>
                  <w:tcW w:w="1734" w:type="dxa"/>
                  <w:noWrap w:val="0"/>
                  <w:vAlign w:val="center"/>
                </w:tcPr>
                <w:p w14:paraId="3C152DDB">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1小时平均</w:t>
                  </w:r>
                </w:p>
              </w:tc>
              <w:tc>
                <w:tcPr>
                  <w:tcW w:w="1187" w:type="dxa"/>
                  <w:noWrap w:val="0"/>
                  <w:vAlign w:val="center"/>
                </w:tcPr>
                <w:p w14:paraId="547D2766">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500</w:t>
                  </w:r>
                </w:p>
              </w:tc>
              <w:tc>
                <w:tcPr>
                  <w:tcW w:w="1147" w:type="dxa"/>
                  <w:noWrap w:val="0"/>
                  <w:vAlign w:val="center"/>
                </w:tcPr>
                <w:p w14:paraId="76FFFC95">
                  <w:pPr>
                    <w:pStyle w:val="31"/>
                    <w:bidi w:val="0"/>
                    <w:jc w:val="center"/>
                    <w:rPr>
                      <w:rFonts w:hint="default" w:ascii="Times New Roman" w:hAnsi="Times New Roman" w:cs="Times New Roman"/>
                      <w:color w:val="000000"/>
                      <w:highlight w:val="none"/>
                      <w:vertAlign w:val="baseline"/>
                      <w:lang w:val="en-US" w:eastAsia="zh-CN"/>
                    </w:rPr>
                  </w:pPr>
                  <w:r>
                    <w:rPr>
                      <w:rFonts w:hint="eastAsia" w:cs="Times New Roman"/>
                      <w:color w:val="000000"/>
                      <w:highlight w:val="none"/>
                      <w:vertAlign w:val="baseline"/>
                      <w:lang w:val="en-US" w:eastAsia="zh-CN"/>
                    </w:rPr>
                    <w:t>150</w:t>
                  </w:r>
                </w:p>
              </w:tc>
              <w:tc>
                <w:tcPr>
                  <w:tcW w:w="800" w:type="dxa"/>
                  <w:vMerge w:val="continue"/>
                  <w:noWrap w:val="0"/>
                  <w:vAlign w:val="center"/>
                </w:tcPr>
                <w:p w14:paraId="144D7A64">
                  <w:pPr>
                    <w:pStyle w:val="31"/>
                    <w:bidi w:val="0"/>
                    <w:jc w:val="center"/>
                    <w:rPr>
                      <w:rFonts w:hint="default" w:ascii="Times New Roman" w:hAnsi="Times New Roman" w:cs="Times New Roman"/>
                      <w:color w:val="000000"/>
                      <w:highlight w:val="none"/>
                      <w:vertAlign w:val="baseline"/>
                      <w:lang w:val="en-US" w:eastAsia="zh-CN"/>
                    </w:rPr>
                  </w:pPr>
                </w:p>
              </w:tc>
              <w:tc>
                <w:tcPr>
                  <w:tcW w:w="1838" w:type="dxa"/>
                  <w:vMerge w:val="continue"/>
                  <w:noWrap w:val="0"/>
                  <w:vAlign w:val="center"/>
                </w:tcPr>
                <w:p w14:paraId="6017B2DB">
                  <w:pPr>
                    <w:pStyle w:val="31"/>
                    <w:bidi w:val="0"/>
                    <w:jc w:val="center"/>
                    <w:rPr>
                      <w:rFonts w:hint="default" w:ascii="Times New Roman" w:hAnsi="Times New Roman" w:cs="Times New Roman"/>
                      <w:color w:val="000000"/>
                      <w:highlight w:val="none"/>
                      <w:vertAlign w:val="baseline"/>
                      <w:lang w:val="en-US" w:eastAsia="zh-CN"/>
                    </w:rPr>
                  </w:pPr>
                </w:p>
              </w:tc>
            </w:tr>
            <w:tr w14:paraId="2967A4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trPr>
              <w:tc>
                <w:tcPr>
                  <w:tcW w:w="606" w:type="dxa"/>
                  <w:vMerge w:val="restart"/>
                  <w:noWrap w:val="0"/>
                  <w:vAlign w:val="center"/>
                </w:tcPr>
                <w:p w14:paraId="2BEA6353">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2</w:t>
                  </w:r>
                </w:p>
              </w:tc>
              <w:tc>
                <w:tcPr>
                  <w:tcW w:w="905" w:type="dxa"/>
                  <w:vMerge w:val="restart"/>
                  <w:noWrap w:val="0"/>
                  <w:vAlign w:val="center"/>
                </w:tcPr>
                <w:p w14:paraId="1246B840">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NO</w:t>
                  </w:r>
                  <w:r>
                    <w:rPr>
                      <w:rFonts w:hint="default" w:ascii="Times New Roman" w:hAnsi="Times New Roman" w:cs="Times New Roman"/>
                      <w:color w:val="000000"/>
                      <w:highlight w:val="none"/>
                      <w:vertAlign w:val="subscript"/>
                      <w:lang w:val="en-US" w:eastAsia="zh-CN"/>
                    </w:rPr>
                    <w:t>2</w:t>
                  </w:r>
                </w:p>
              </w:tc>
              <w:tc>
                <w:tcPr>
                  <w:tcW w:w="1734" w:type="dxa"/>
                  <w:noWrap w:val="0"/>
                  <w:vAlign w:val="center"/>
                </w:tcPr>
                <w:p w14:paraId="5F7F8070">
                  <w:pPr>
                    <w:pStyle w:val="31"/>
                    <w:bidi w:val="0"/>
                    <w:ind w:firstLine="0" w:firstLineChars="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年平均</w:t>
                  </w:r>
                </w:p>
              </w:tc>
              <w:tc>
                <w:tcPr>
                  <w:tcW w:w="1187" w:type="dxa"/>
                  <w:noWrap w:val="0"/>
                  <w:vAlign w:val="center"/>
                </w:tcPr>
                <w:p w14:paraId="25AA67ED">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40</w:t>
                  </w:r>
                </w:p>
              </w:tc>
              <w:tc>
                <w:tcPr>
                  <w:tcW w:w="1147" w:type="dxa"/>
                  <w:noWrap w:val="0"/>
                  <w:vAlign w:val="center"/>
                </w:tcPr>
                <w:p w14:paraId="446B688C">
                  <w:pPr>
                    <w:pStyle w:val="31"/>
                    <w:bidi w:val="0"/>
                    <w:jc w:val="center"/>
                    <w:rPr>
                      <w:rFonts w:hint="default" w:ascii="Times New Roman" w:hAnsi="Times New Roman" w:cs="Times New Roman"/>
                      <w:color w:val="000000"/>
                      <w:highlight w:val="none"/>
                      <w:vertAlign w:val="baseline"/>
                      <w:lang w:val="en-US" w:eastAsia="zh-CN"/>
                    </w:rPr>
                  </w:pPr>
                  <w:r>
                    <w:rPr>
                      <w:rFonts w:hint="eastAsia" w:cs="Times New Roman"/>
                      <w:color w:val="000000"/>
                      <w:highlight w:val="none"/>
                      <w:vertAlign w:val="baseline"/>
                      <w:lang w:val="en-US" w:eastAsia="zh-CN"/>
                    </w:rPr>
                    <w:t>30</w:t>
                  </w:r>
                </w:p>
              </w:tc>
              <w:tc>
                <w:tcPr>
                  <w:tcW w:w="800" w:type="dxa"/>
                  <w:vMerge w:val="continue"/>
                  <w:noWrap w:val="0"/>
                  <w:vAlign w:val="center"/>
                </w:tcPr>
                <w:p w14:paraId="0573083B">
                  <w:pPr>
                    <w:pStyle w:val="31"/>
                    <w:bidi w:val="0"/>
                    <w:jc w:val="center"/>
                    <w:rPr>
                      <w:rFonts w:hint="default" w:ascii="Times New Roman" w:hAnsi="Times New Roman" w:cs="Times New Roman"/>
                      <w:color w:val="000000"/>
                      <w:highlight w:val="none"/>
                      <w:vertAlign w:val="baseline"/>
                      <w:lang w:val="en-US" w:eastAsia="zh-CN"/>
                    </w:rPr>
                  </w:pPr>
                </w:p>
              </w:tc>
              <w:tc>
                <w:tcPr>
                  <w:tcW w:w="1838" w:type="dxa"/>
                  <w:vMerge w:val="continue"/>
                  <w:noWrap w:val="0"/>
                  <w:vAlign w:val="center"/>
                </w:tcPr>
                <w:p w14:paraId="5F49BAE4">
                  <w:pPr>
                    <w:pStyle w:val="31"/>
                    <w:bidi w:val="0"/>
                    <w:jc w:val="center"/>
                    <w:rPr>
                      <w:rFonts w:hint="default" w:ascii="Times New Roman" w:hAnsi="Times New Roman" w:cs="Times New Roman"/>
                      <w:color w:val="000000"/>
                      <w:highlight w:val="none"/>
                      <w:vertAlign w:val="baseline"/>
                      <w:lang w:val="en-US" w:eastAsia="zh-CN"/>
                    </w:rPr>
                  </w:pPr>
                </w:p>
              </w:tc>
            </w:tr>
            <w:tr w14:paraId="4A490F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trPr>
              <w:tc>
                <w:tcPr>
                  <w:tcW w:w="606" w:type="dxa"/>
                  <w:vMerge w:val="continue"/>
                  <w:noWrap w:val="0"/>
                  <w:vAlign w:val="center"/>
                </w:tcPr>
                <w:p w14:paraId="7D87B5EE">
                  <w:pPr>
                    <w:pStyle w:val="31"/>
                    <w:bidi w:val="0"/>
                    <w:jc w:val="center"/>
                    <w:rPr>
                      <w:rFonts w:hint="default" w:ascii="Times New Roman" w:hAnsi="Times New Roman" w:cs="Times New Roman"/>
                      <w:color w:val="000000"/>
                      <w:highlight w:val="none"/>
                      <w:vertAlign w:val="baseline"/>
                      <w:lang w:val="en-US" w:eastAsia="zh-CN"/>
                    </w:rPr>
                  </w:pPr>
                </w:p>
              </w:tc>
              <w:tc>
                <w:tcPr>
                  <w:tcW w:w="905" w:type="dxa"/>
                  <w:vMerge w:val="continue"/>
                  <w:noWrap w:val="0"/>
                  <w:vAlign w:val="center"/>
                </w:tcPr>
                <w:p w14:paraId="0A643DC6">
                  <w:pPr>
                    <w:pStyle w:val="31"/>
                    <w:bidi w:val="0"/>
                    <w:jc w:val="center"/>
                    <w:rPr>
                      <w:rFonts w:hint="default" w:ascii="Times New Roman" w:hAnsi="Times New Roman" w:cs="Times New Roman"/>
                      <w:color w:val="000000"/>
                      <w:highlight w:val="none"/>
                      <w:vertAlign w:val="baseline"/>
                      <w:lang w:val="en-US" w:eastAsia="zh-CN"/>
                    </w:rPr>
                  </w:pPr>
                </w:p>
              </w:tc>
              <w:tc>
                <w:tcPr>
                  <w:tcW w:w="1734" w:type="dxa"/>
                  <w:noWrap w:val="0"/>
                  <w:vAlign w:val="center"/>
                </w:tcPr>
                <w:p w14:paraId="7B59F5DE">
                  <w:pPr>
                    <w:pStyle w:val="31"/>
                    <w:bidi w:val="0"/>
                    <w:ind w:firstLine="0" w:firstLineChars="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24小时平均</w:t>
                  </w:r>
                </w:p>
              </w:tc>
              <w:tc>
                <w:tcPr>
                  <w:tcW w:w="1187" w:type="dxa"/>
                  <w:noWrap w:val="0"/>
                  <w:vAlign w:val="center"/>
                </w:tcPr>
                <w:p w14:paraId="5BABE2A1">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80</w:t>
                  </w:r>
                </w:p>
              </w:tc>
              <w:tc>
                <w:tcPr>
                  <w:tcW w:w="1147" w:type="dxa"/>
                  <w:noWrap w:val="0"/>
                  <w:vAlign w:val="center"/>
                </w:tcPr>
                <w:p w14:paraId="08023A12">
                  <w:pPr>
                    <w:pStyle w:val="31"/>
                    <w:bidi w:val="0"/>
                    <w:jc w:val="center"/>
                    <w:rPr>
                      <w:rFonts w:hint="default" w:ascii="Times New Roman" w:hAnsi="Times New Roman" w:cs="Times New Roman"/>
                      <w:color w:val="000000"/>
                      <w:highlight w:val="none"/>
                      <w:vertAlign w:val="baseline"/>
                      <w:lang w:val="en-US" w:eastAsia="zh-CN"/>
                    </w:rPr>
                  </w:pPr>
                  <w:r>
                    <w:rPr>
                      <w:rFonts w:hint="eastAsia" w:cs="Times New Roman"/>
                      <w:color w:val="000000"/>
                      <w:highlight w:val="none"/>
                      <w:vertAlign w:val="baseline"/>
                      <w:lang w:val="en-US" w:eastAsia="zh-CN"/>
                    </w:rPr>
                    <w:t>50</w:t>
                  </w:r>
                </w:p>
              </w:tc>
              <w:tc>
                <w:tcPr>
                  <w:tcW w:w="800" w:type="dxa"/>
                  <w:vMerge w:val="continue"/>
                  <w:noWrap w:val="0"/>
                  <w:vAlign w:val="center"/>
                </w:tcPr>
                <w:p w14:paraId="6CE2CB1A">
                  <w:pPr>
                    <w:pStyle w:val="31"/>
                    <w:bidi w:val="0"/>
                    <w:jc w:val="center"/>
                    <w:rPr>
                      <w:rFonts w:hint="default" w:ascii="Times New Roman" w:hAnsi="Times New Roman" w:cs="Times New Roman"/>
                      <w:color w:val="000000"/>
                      <w:highlight w:val="none"/>
                      <w:vertAlign w:val="baseline"/>
                      <w:lang w:val="en-US" w:eastAsia="zh-CN"/>
                    </w:rPr>
                  </w:pPr>
                </w:p>
              </w:tc>
              <w:tc>
                <w:tcPr>
                  <w:tcW w:w="1838" w:type="dxa"/>
                  <w:vMerge w:val="continue"/>
                  <w:noWrap w:val="0"/>
                  <w:vAlign w:val="center"/>
                </w:tcPr>
                <w:p w14:paraId="67835453">
                  <w:pPr>
                    <w:pStyle w:val="31"/>
                    <w:bidi w:val="0"/>
                    <w:jc w:val="center"/>
                    <w:rPr>
                      <w:rFonts w:hint="default" w:ascii="Times New Roman" w:hAnsi="Times New Roman" w:cs="Times New Roman"/>
                      <w:color w:val="000000"/>
                      <w:highlight w:val="none"/>
                      <w:vertAlign w:val="baseline"/>
                      <w:lang w:val="en-US" w:eastAsia="zh-CN"/>
                    </w:rPr>
                  </w:pPr>
                </w:p>
              </w:tc>
            </w:tr>
            <w:tr w14:paraId="3245FD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trPr>
              <w:tc>
                <w:tcPr>
                  <w:tcW w:w="606" w:type="dxa"/>
                  <w:vMerge w:val="continue"/>
                  <w:noWrap w:val="0"/>
                  <w:vAlign w:val="center"/>
                </w:tcPr>
                <w:p w14:paraId="3B357A3A">
                  <w:pPr>
                    <w:pStyle w:val="31"/>
                    <w:bidi w:val="0"/>
                    <w:jc w:val="center"/>
                    <w:rPr>
                      <w:rFonts w:hint="default" w:ascii="Times New Roman" w:hAnsi="Times New Roman" w:cs="Times New Roman"/>
                      <w:color w:val="000000"/>
                      <w:highlight w:val="none"/>
                      <w:vertAlign w:val="baseline"/>
                      <w:lang w:val="en-US" w:eastAsia="zh-CN"/>
                    </w:rPr>
                  </w:pPr>
                </w:p>
              </w:tc>
              <w:tc>
                <w:tcPr>
                  <w:tcW w:w="905" w:type="dxa"/>
                  <w:vMerge w:val="continue"/>
                  <w:noWrap w:val="0"/>
                  <w:vAlign w:val="center"/>
                </w:tcPr>
                <w:p w14:paraId="727EE6B7">
                  <w:pPr>
                    <w:pStyle w:val="31"/>
                    <w:bidi w:val="0"/>
                    <w:jc w:val="center"/>
                    <w:rPr>
                      <w:rFonts w:hint="default" w:ascii="Times New Roman" w:hAnsi="Times New Roman" w:cs="Times New Roman"/>
                      <w:color w:val="000000"/>
                      <w:highlight w:val="none"/>
                      <w:vertAlign w:val="baseline"/>
                      <w:lang w:val="en-US" w:eastAsia="zh-CN"/>
                    </w:rPr>
                  </w:pPr>
                </w:p>
              </w:tc>
              <w:tc>
                <w:tcPr>
                  <w:tcW w:w="1734" w:type="dxa"/>
                  <w:noWrap w:val="0"/>
                  <w:vAlign w:val="center"/>
                </w:tcPr>
                <w:p w14:paraId="15093C83">
                  <w:pPr>
                    <w:pStyle w:val="31"/>
                    <w:bidi w:val="0"/>
                    <w:ind w:firstLine="0" w:firstLineChars="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1小时平均</w:t>
                  </w:r>
                </w:p>
              </w:tc>
              <w:tc>
                <w:tcPr>
                  <w:tcW w:w="1187" w:type="dxa"/>
                  <w:noWrap w:val="0"/>
                  <w:vAlign w:val="center"/>
                </w:tcPr>
                <w:p w14:paraId="0EA33813">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200</w:t>
                  </w:r>
                </w:p>
              </w:tc>
              <w:tc>
                <w:tcPr>
                  <w:tcW w:w="1147" w:type="dxa"/>
                  <w:noWrap w:val="0"/>
                  <w:vAlign w:val="center"/>
                </w:tcPr>
                <w:p w14:paraId="5A199023">
                  <w:pPr>
                    <w:pStyle w:val="31"/>
                    <w:bidi w:val="0"/>
                    <w:jc w:val="center"/>
                    <w:rPr>
                      <w:rFonts w:hint="default" w:ascii="Times New Roman" w:hAnsi="Times New Roman" w:cs="Times New Roman"/>
                      <w:color w:val="000000"/>
                      <w:highlight w:val="none"/>
                      <w:vertAlign w:val="baseline"/>
                      <w:lang w:val="en-US" w:eastAsia="zh-CN"/>
                    </w:rPr>
                  </w:pPr>
                  <w:r>
                    <w:rPr>
                      <w:rFonts w:hint="eastAsia" w:cs="Times New Roman"/>
                      <w:color w:val="000000"/>
                      <w:highlight w:val="none"/>
                      <w:vertAlign w:val="baseline"/>
                      <w:lang w:val="en-US" w:eastAsia="zh-CN"/>
                    </w:rPr>
                    <w:t>200</w:t>
                  </w:r>
                </w:p>
              </w:tc>
              <w:tc>
                <w:tcPr>
                  <w:tcW w:w="800" w:type="dxa"/>
                  <w:vMerge w:val="continue"/>
                  <w:noWrap w:val="0"/>
                  <w:vAlign w:val="center"/>
                </w:tcPr>
                <w:p w14:paraId="52986AAB">
                  <w:pPr>
                    <w:pStyle w:val="31"/>
                    <w:bidi w:val="0"/>
                    <w:jc w:val="center"/>
                    <w:rPr>
                      <w:rFonts w:hint="default" w:ascii="Times New Roman" w:hAnsi="Times New Roman" w:cs="Times New Roman"/>
                      <w:color w:val="000000"/>
                      <w:highlight w:val="none"/>
                      <w:vertAlign w:val="baseline"/>
                      <w:lang w:val="en-US" w:eastAsia="zh-CN"/>
                    </w:rPr>
                  </w:pPr>
                </w:p>
              </w:tc>
              <w:tc>
                <w:tcPr>
                  <w:tcW w:w="1838" w:type="dxa"/>
                  <w:vMerge w:val="continue"/>
                  <w:noWrap w:val="0"/>
                  <w:vAlign w:val="center"/>
                </w:tcPr>
                <w:p w14:paraId="27037FF6">
                  <w:pPr>
                    <w:pStyle w:val="31"/>
                    <w:bidi w:val="0"/>
                    <w:jc w:val="center"/>
                    <w:rPr>
                      <w:rFonts w:hint="default" w:ascii="Times New Roman" w:hAnsi="Times New Roman" w:cs="Times New Roman"/>
                      <w:color w:val="000000"/>
                      <w:highlight w:val="none"/>
                      <w:vertAlign w:val="baseline"/>
                      <w:lang w:val="en-US" w:eastAsia="zh-CN"/>
                    </w:rPr>
                  </w:pPr>
                </w:p>
              </w:tc>
            </w:tr>
            <w:tr w14:paraId="2B31DA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trPr>
              <w:tc>
                <w:tcPr>
                  <w:tcW w:w="606" w:type="dxa"/>
                  <w:vMerge w:val="restart"/>
                  <w:noWrap w:val="0"/>
                  <w:vAlign w:val="center"/>
                </w:tcPr>
                <w:p w14:paraId="2C47F8FD">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3</w:t>
                  </w:r>
                </w:p>
              </w:tc>
              <w:tc>
                <w:tcPr>
                  <w:tcW w:w="905" w:type="dxa"/>
                  <w:vMerge w:val="restart"/>
                  <w:noWrap w:val="0"/>
                  <w:vAlign w:val="center"/>
                </w:tcPr>
                <w:p w14:paraId="4D4D9F88">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CO</w:t>
                  </w:r>
                </w:p>
              </w:tc>
              <w:tc>
                <w:tcPr>
                  <w:tcW w:w="1734" w:type="dxa"/>
                  <w:noWrap w:val="0"/>
                  <w:vAlign w:val="center"/>
                </w:tcPr>
                <w:p w14:paraId="3AB75FFF">
                  <w:pPr>
                    <w:pStyle w:val="31"/>
                    <w:bidi w:val="0"/>
                    <w:ind w:firstLine="0" w:firstLineChars="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24小时平均</w:t>
                  </w:r>
                </w:p>
              </w:tc>
              <w:tc>
                <w:tcPr>
                  <w:tcW w:w="1187" w:type="dxa"/>
                  <w:noWrap w:val="0"/>
                  <w:vAlign w:val="center"/>
                </w:tcPr>
                <w:p w14:paraId="6A2CB6D1">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4</w:t>
                  </w:r>
                </w:p>
              </w:tc>
              <w:tc>
                <w:tcPr>
                  <w:tcW w:w="1147" w:type="dxa"/>
                  <w:noWrap w:val="0"/>
                  <w:vAlign w:val="center"/>
                </w:tcPr>
                <w:p w14:paraId="149B7DFB">
                  <w:pPr>
                    <w:pStyle w:val="31"/>
                    <w:bidi w:val="0"/>
                    <w:jc w:val="center"/>
                    <w:rPr>
                      <w:rFonts w:hint="default" w:ascii="Times New Roman" w:hAnsi="Times New Roman" w:cs="Times New Roman"/>
                      <w:color w:val="000000"/>
                      <w:highlight w:val="none"/>
                      <w:vertAlign w:val="baseline"/>
                      <w:lang w:val="en-US" w:eastAsia="zh-CN"/>
                    </w:rPr>
                  </w:pPr>
                  <w:r>
                    <w:rPr>
                      <w:rFonts w:hint="eastAsia" w:cs="Times New Roman"/>
                      <w:color w:val="000000"/>
                      <w:highlight w:val="none"/>
                      <w:vertAlign w:val="baseline"/>
                      <w:lang w:val="en-US" w:eastAsia="zh-CN"/>
                    </w:rPr>
                    <w:t>4</w:t>
                  </w:r>
                </w:p>
              </w:tc>
              <w:tc>
                <w:tcPr>
                  <w:tcW w:w="800" w:type="dxa"/>
                  <w:vMerge w:val="restart"/>
                  <w:noWrap w:val="0"/>
                  <w:vAlign w:val="center"/>
                </w:tcPr>
                <w:p w14:paraId="0BB24641">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mg/m</w:t>
                  </w:r>
                  <w:r>
                    <w:rPr>
                      <w:rFonts w:hint="default" w:ascii="Times New Roman" w:hAnsi="Times New Roman" w:cs="Times New Roman"/>
                      <w:color w:val="000000"/>
                      <w:highlight w:val="none"/>
                      <w:vertAlign w:val="superscript"/>
                      <w:lang w:val="en-US" w:eastAsia="zh-CN"/>
                    </w:rPr>
                    <w:t>3</w:t>
                  </w:r>
                </w:p>
              </w:tc>
              <w:tc>
                <w:tcPr>
                  <w:tcW w:w="1838" w:type="dxa"/>
                  <w:vMerge w:val="continue"/>
                  <w:noWrap w:val="0"/>
                  <w:vAlign w:val="center"/>
                </w:tcPr>
                <w:p w14:paraId="7F8447C0">
                  <w:pPr>
                    <w:pStyle w:val="31"/>
                    <w:bidi w:val="0"/>
                    <w:jc w:val="center"/>
                    <w:rPr>
                      <w:rFonts w:hint="default" w:ascii="Times New Roman" w:hAnsi="Times New Roman" w:cs="Times New Roman"/>
                      <w:color w:val="000000"/>
                      <w:highlight w:val="none"/>
                      <w:vertAlign w:val="baseline"/>
                      <w:lang w:val="en-US" w:eastAsia="zh-CN"/>
                    </w:rPr>
                  </w:pPr>
                </w:p>
              </w:tc>
            </w:tr>
            <w:tr w14:paraId="55A259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trPr>
              <w:tc>
                <w:tcPr>
                  <w:tcW w:w="606" w:type="dxa"/>
                  <w:vMerge w:val="continue"/>
                  <w:noWrap w:val="0"/>
                  <w:vAlign w:val="center"/>
                </w:tcPr>
                <w:p w14:paraId="7A5CA1AF">
                  <w:pPr>
                    <w:pStyle w:val="31"/>
                    <w:bidi w:val="0"/>
                    <w:jc w:val="center"/>
                    <w:rPr>
                      <w:rFonts w:hint="default" w:ascii="Times New Roman" w:hAnsi="Times New Roman" w:cs="Times New Roman"/>
                      <w:color w:val="000000"/>
                      <w:highlight w:val="none"/>
                      <w:vertAlign w:val="baseline"/>
                      <w:lang w:val="en-US" w:eastAsia="zh-CN"/>
                    </w:rPr>
                  </w:pPr>
                </w:p>
              </w:tc>
              <w:tc>
                <w:tcPr>
                  <w:tcW w:w="905" w:type="dxa"/>
                  <w:vMerge w:val="continue"/>
                  <w:noWrap w:val="0"/>
                  <w:vAlign w:val="center"/>
                </w:tcPr>
                <w:p w14:paraId="742C3C46">
                  <w:pPr>
                    <w:pStyle w:val="31"/>
                    <w:bidi w:val="0"/>
                    <w:jc w:val="center"/>
                    <w:rPr>
                      <w:rFonts w:hint="default" w:ascii="Times New Roman" w:hAnsi="Times New Roman" w:cs="Times New Roman"/>
                      <w:color w:val="000000"/>
                      <w:highlight w:val="none"/>
                      <w:vertAlign w:val="baseline"/>
                      <w:lang w:val="en-US" w:eastAsia="zh-CN"/>
                    </w:rPr>
                  </w:pPr>
                </w:p>
              </w:tc>
              <w:tc>
                <w:tcPr>
                  <w:tcW w:w="1734" w:type="dxa"/>
                  <w:noWrap w:val="0"/>
                  <w:vAlign w:val="center"/>
                </w:tcPr>
                <w:p w14:paraId="3484CCFF">
                  <w:pPr>
                    <w:pStyle w:val="31"/>
                    <w:bidi w:val="0"/>
                    <w:ind w:firstLine="0" w:firstLineChars="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1小时平均</w:t>
                  </w:r>
                </w:p>
              </w:tc>
              <w:tc>
                <w:tcPr>
                  <w:tcW w:w="1187" w:type="dxa"/>
                  <w:noWrap w:val="0"/>
                  <w:vAlign w:val="center"/>
                </w:tcPr>
                <w:p w14:paraId="542D27B0">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10</w:t>
                  </w:r>
                </w:p>
              </w:tc>
              <w:tc>
                <w:tcPr>
                  <w:tcW w:w="1147" w:type="dxa"/>
                  <w:noWrap w:val="0"/>
                  <w:vAlign w:val="center"/>
                </w:tcPr>
                <w:p w14:paraId="4C227B0A">
                  <w:pPr>
                    <w:pStyle w:val="31"/>
                    <w:bidi w:val="0"/>
                    <w:jc w:val="center"/>
                    <w:rPr>
                      <w:rFonts w:hint="default" w:ascii="Times New Roman" w:hAnsi="Times New Roman" w:cs="Times New Roman"/>
                      <w:color w:val="000000"/>
                      <w:highlight w:val="none"/>
                      <w:vertAlign w:val="baseline"/>
                      <w:lang w:val="en-US" w:eastAsia="zh-CN"/>
                    </w:rPr>
                  </w:pPr>
                  <w:r>
                    <w:rPr>
                      <w:rFonts w:hint="eastAsia" w:cs="Times New Roman"/>
                      <w:color w:val="000000"/>
                      <w:highlight w:val="none"/>
                      <w:vertAlign w:val="baseline"/>
                      <w:lang w:val="en-US" w:eastAsia="zh-CN"/>
                    </w:rPr>
                    <w:t>10</w:t>
                  </w:r>
                </w:p>
              </w:tc>
              <w:tc>
                <w:tcPr>
                  <w:tcW w:w="800" w:type="dxa"/>
                  <w:vMerge w:val="continue"/>
                  <w:noWrap w:val="0"/>
                  <w:vAlign w:val="center"/>
                </w:tcPr>
                <w:p w14:paraId="0589C33C">
                  <w:pPr>
                    <w:pStyle w:val="31"/>
                    <w:bidi w:val="0"/>
                    <w:jc w:val="center"/>
                    <w:rPr>
                      <w:rFonts w:hint="default" w:ascii="Times New Roman" w:hAnsi="Times New Roman" w:cs="Times New Roman"/>
                      <w:color w:val="000000"/>
                      <w:highlight w:val="none"/>
                      <w:vertAlign w:val="baseline"/>
                      <w:lang w:val="en-US" w:eastAsia="zh-CN"/>
                    </w:rPr>
                  </w:pPr>
                </w:p>
              </w:tc>
              <w:tc>
                <w:tcPr>
                  <w:tcW w:w="1838" w:type="dxa"/>
                  <w:vMerge w:val="continue"/>
                  <w:noWrap w:val="0"/>
                  <w:vAlign w:val="center"/>
                </w:tcPr>
                <w:p w14:paraId="51B64588">
                  <w:pPr>
                    <w:pStyle w:val="31"/>
                    <w:bidi w:val="0"/>
                    <w:jc w:val="center"/>
                    <w:rPr>
                      <w:rFonts w:hint="default" w:ascii="Times New Roman" w:hAnsi="Times New Roman" w:cs="Times New Roman"/>
                      <w:color w:val="000000"/>
                      <w:highlight w:val="none"/>
                      <w:vertAlign w:val="baseline"/>
                      <w:lang w:val="en-US" w:eastAsia="zh-CN"/>
                    </w:rPr>
                  </w:pPr>
                </w:p>
              </w:tc>
            </w:tr>
            <w:tr w14:paraId="0E13AC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trPr>
              <w:tc>
                <w:tcPr>
                  <w:tcW w:w="606" w:type="dxa"/>
                  <w:vMerge w:val="restart"/>
                  <w:noWrap w:val="0"/>
                  <w:vAlign w:val="center"/>
                </w:tcPr>
                <w:p w14:paraId="0C5B5837">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4</w:t>
                  </w:r>
                </w:p>
              </w:tc>
              <w:tc>
                <w:tcPr>
                  <w:tcW w:w="905" w:type="dxa"/>
                  <w:vMerge w:val="restart"/>
                  <w:noWrap w:val="0"/>
                  <w:vAlign w:val="center"/>
                </w:tcPr>
                <w:p w14:paraId="64B730DC">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O</w:t>
                  </w:r>
                  <w:r>
                    <w:rPr>
                      <w:rFonts w:hint="default" w:ascii="Times New Roman" w:hAnsi="Times New Roman" w:cs="Times New Roman"/>
                      <w:color w:val="000000"/>
                      <w:highlight w:val="none"/>
                      <w:vertAlign w:val="subscript"/>
                      <w:lang w:val="en-US" w:eastAsia="zh-CN"/>
                    </w:rPr>
                    <w:t>3</w:t>
                  </w:r>
                </w:p>
              </w:tc>
              <w:tc>
                <w:tcPr>
                  <w:tcW w:w="1734" w:type="dxa"/>
                  <w:noWrap w:val="0"/>
                  <w:vAlign w:val="center"/>
                </w:tcPr>
                <w:p w14:paraId="3C94B71E">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日最大8小时平均</w:t>
                  </w:r>
                </w:p>
              </w:tc>
              <w:tc>
                <w:tcPr>
                  <w:tcW w:w="1187" w:type="dxa"/>
                  <w:noWrap w:val="0"/>
                  <w:vAlign w:val="center"/>
                </w:tcPr>
                <w:p w14:paraId="14CD9F37">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160</w:t>
                  </w:r>
                </w:p>
              </w:tc>
              <w:tc>
                <w:tcPr>
                  <w:tcW w:w="1147" w:type="dxa"/>
                  <w:noWrap w:val="0"/>
                  <w:vAlign w:val="center"/>
                </w:tcPr>
                <w:p w14:paraId="2144DFBD">
                  <w:pPr>
                    <w:pStyle w:val="31"/>
                    <w:bidi w:val="0"/>
                    <w:jc w:val="center"/>
                    <w:rPr>
                      <w:rFonts w:hint="default" w:ascii="Times New Roman" w:hAnsi="Times New Roman" w:cs="Times New Roman"/>
                      <w:color w:val="000000"/>
                      <w:highlight w:val="none"/>
                      <w:vertAlign w:val="baseline"/>
                      <w:lang w:val="en-US" w:eastAsia="zh-CN"/>
                    </w:rPr>
                  </w:pPr>
                  <w:r>
                    <w:rPr>
                      <w:rFonts w:hint="eastAsia" w:cs="Times New Roman"/>
                      <w:color w:val="000000"/>
                      <w:highlight w:val="none"/>
                      <w:vertAlign w:val="baseline"/>
                      <w:lang w:val="en-US" w:eastAsia="zh-CN"/>
                    </w:rPr>
                    <w:t>160</w:t>
                  </w:r>
                </w:p>
              </w:tc>
              <w:tc>
                <w:tcPr>
                  <w:tcW w:w="800" w:type="dxa"/>
                  <w:vMerge w:val="restart"/>
                  <w:noWrap w:val="0"/>
                  <w:vAlign w:val="center"/>
                </w:tcPr>
                <w:p w14:paraId="715872D1">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μg/m</w:t>
                  </w:r>
                  <w:r>
                    <w:rPr>
                      <w:rFonts w:hint="default" w:ascii="Times New Roman" w:hAnsi="Times New Roman" w:cs="Times New Roman"/>
                      <w:color w:val="000000"/>
                      <w:highlight w:val="none"/>
                      <w:vertAlign w:val="superscript"/>
                      <w:lang w:val="en-US" w:eastAsia="zh-CN"/>
                    </w:rPr>
                    <w:t>3</w:t>
                  </w:r>
                </w:p>
              </w:tc>
              <w:tc>
                <w:tcPr>
                  <w:tcW w:w="1838" w:type="dxa"/>
                  <w:vMerge w:val="continue"/>
                  <w:noWrap w:val="0"/>
                  <w:vAlign w:val="center"/>
                </w:tcPr>
                <w:p w14:paraId="6CA36CD7">
                  <w:pPr>
                    <w:pStyle w:val="31"/>
                    <w:bidi w:val="0"/>
                    <w:jc w:val="center"/>
                    <w:rPr>
                      <w:rFonts w:hint="default" w:ascii="Times New Roman" w:hAnsi="Times New Roman" w:cs="Times New Roman"/>
                      <w:color w:val="000000"/>
                      <w:highlight w:val="none"/>
                      <w:vertAlign w:val="baseline"/>
                      <w:lang w:val="en-US" w:eastAsia="zh-CN"/>
                    </w:rPr>
                  </w:pPr>
                </w:p>
              </w:tc>
            </w:tr>
            <w:tr w14:paraId="7B1511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trPr>
              <w:tc>
                <w:tcPr>
                  <w:tcW w:w="606" w:type="dxa"/>
                  <w:vMerge w:val="continue"/>
                  <w:noWrap w:val="0"/>
                  <w:vAlign w:val="center"/>
                </w:tcPr>
                <w:p w14:paraId="2BA65D12">
                  <w:pPr>
                    <w:pStyle w:val="31"/>
                    <w:bidi w:val="0"/>
                    <w:jc w:val="center"/>
                    <w:rPr>
                      <w:rFonts w:hint="default" w:ascii="Times New Roman" w:hAnsi="Times New Roman" w:cs="Times New Roman"/>
                      <w:color w:val="000000"/>
                      <w:highlight w:val="none"/>
                      <w:vertAlign w:val="baseline"/>
                      <w:lang w:val="en-US" w:eastAsia="zh-CN"/>
                    </w:rPr>
                  </w:pPr>
                </w:p>
              </w:tc>
              <w:tc>
                <w:tcPr>
                  <w:tcW w:w="905" w:type="dxa"/>
                  <w:vMerge w:val="continue"/>
                  <w:noWrap w:val="0"/>
                  <w:vAlign w:val="center"/>
                </w:tcPr>
                <w:p w14:paraId="31F1C721">
                  <w:pPr>
                    <w:pStyle w:val="31"/>
                    <w:bidi w:val="0"/>
                    <w:jc w:val="center"/>
                    <w:rPr>
                      <w:rFonts w:hint="default" w:ascii="Times New Roman" w:hAnsi="Times New Roman" w:cs="Times New Roman"/>
                      <w:color w:val="000000"/>
                      <w:highlight w:val="none"/>
                      <w:vertAlign w:val="baseline"/>
                      <w:lang w:val="en-US" w:eastAsia="zh-CN"/>
                    </w:rPr>
                  </w:pPr>
                </w:p>
              </w:tc>
              <w:tc>
                <w:tcPr>
                  <w:tcW w:w="1734" w:type="dxa"/>
                  <w:noWrap w:val="0"/>
                  <w:vAlign w:val="center"/>
                </w:tcPr>
                <w:p w14:paraId="15280BDB">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1小时平均</w:t>
                  </w:r>
                </w:p>
              </w:tc>
              <w:tc>
                <w:tcPr>
                  <w:tcW w:w="1187" w:type="dxa"/>
                  <w:noWrap w:val="0"/>
                  <w:vAlign w:val="center"/>
                </w:tcPr>
                <w:p w14:paraId="44714601">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200</w:t>
                  </w:r>
                </w:p>
              </w:tc>
              <w:tc>
                <w:tcPr>
                  <w:tcW w:w="1147" w:type="dxa"/>
                  <w:noWrap w:val="0"/>
                  <w:vAlign w:val="center"/>
                </w:tcPr>
                <w:p w14:paraId="2C8AE30F">
                  <w:pPr>
                    <w:pStyle w:val="31"/>
                    <w:bidi w:val="0"/>
                    <w:jc w:val="center"/>
                    <w:rPr>
                      <w:rFonts w:hint="default" w:ascii="Times New Roman" w:hAnsi="Times New Roman" w:cs="Times New Roman"/>
                      <w:color w:val="000000"/>
                      <w:highlight w:val="none"/>
                      <w:vertAlign w:val="baseline"/>
                      <w:lang w:val="en-US" w:eastAsia="zh-CN"/>
                    </w:rPr>
                  </w:pPr>
                  <w:r>
                    <w:rPr>
                      <w:rFonts w:hint="eastAsia" w:cs="Times New Roman"/>
                      <w:color w:val="000000"/>
                      <w:highlight w:val="none"/>
                      <w:vertAlign w:val="baseline"/>
                      <w:lang w:val="en-US" w:eastAsia="zh-CN"/>
                    </w:rPr>
                    <w:t>200</w:t>
                  </w:r>
                </w:p>
              </w:tc>
              <w:tc>
                <w:tcPr>
                  <w:tcW w:w="800" w:type="dxa"/>
                  <w:vMerge w:val="continue"/>
                  <w:noWrap w:val="0"/>
                  <w:vAlign w:val="center"/>
                </w:tcPr>
                <w:p w14:paraId="65A29DE5">
                  <w:pPr>
                    <w:pStyle w:val="31"/>
                    <w:bidi w:val="0"/>
                    <w:jc w:val="center"/>
                    <w:rPr>
                      <w:rFonts w:hint="default" w:ascii="Times New Roman" w:hAnsi="Times New Roman" w:cs="Times New Roman"/>
                      <w:color w:val="000000"/>
                      <w:highlight w:val="none"/>
                      <w:vertAlign w:val="baseline"/>
                      <w:lang w:val="en-US" w:eastAsia="zh-CN"/>
                    </w:rPr>
                  </w:pPr>
                </w:p>
              </w:tc>
              <w:tc>
                <w:tcPr>
                  <w:tcW w:w="1838" w:type="dxa"/>
                  <w:vMerge w:val="continue"/>
                  <w:noWrap w:val="0"/>
                  <w:vAlign w:val="center"/>
                </w:tcPr>
                <w:p w14:paraId="26DC626C">
                  <w:pPr>
                    <w:pStyle w:val="31"/>
                    <w:bidi w:val="0"/>
                    <w:jc w:val="center"/>
                    <w:rPr>
                      <w:rFonts w:hint="default" w:ascii="Times New Roman" w:hAnsi="Times New Roman" w:cs="Times New Roman"/>
                      <w:color w:val="000000"/>
                      <w:highlight w:val="none"/>
                      <w:vertAlign w:val="baseline"/>
                      <w:lang w:val="en-US" w:eastAsia="zh-CN"/>
                    </w:rPr>
                  </w:pPr>
                </w:p>
              </w:tc>
            </w:tr>
            <w:tr w14:paraId="2BD393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trPr>
              <w:tc>
                <w:tcPr>
                  <w:tcW w:w="606" w:type="dxa"/>
                  <w:vMerge w:val="restart"/>
                  <w:noWrap w:val="0"/>
                  <w:vAlign w:val="center"/>
                </w:tcPr>
                <w:p w14:paraId="6FB4868A">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5</w:t>
                  </w:r>
                </w:p>
              </w:tc>
              <w:tc>
                <w:tcPr>
                  <w:tcW w:w="905" w:type="dxa"/>
                  <w:vMerge w:val="restart"/>
                  <w:noWrap w:val="0"/>
                  <w:vAlign w:val="center"/>
                </w:tcPr>
                <w:p w14:paraId="02CAD602">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PM</w:t>
                  </w:r>
                  <w:r>
                    <w:rPr>
                      <w:rFonts w:hint="default" w:ascii="Times New Roman" w:hAnsi="Times New Roman" w:cs="Times New Roman"/>
                      <w:color w:val="000000"/>
                      <w:highlight w:val="none"/>
                      <w:vertAlign w:val="subscript"/>
                      <w:lang w:val="en-US" w:eastAsia="zh-CN"/>
                    </w:rPr>
                    <w:t>10</w:t>
                  </w:r>
                </w:p>
              </w:tc>
              <w:tc>
                <w:tcPr>
                  <w:tcW w:w="1734" w:type="dxa"/>
                  <w:noWrap w:val="0"/>
                  <w:vAlign w:val="center"/>
                </w:tcPr>
                <w:p w14:paraId="3FE09BFD">
                  <w:pPr>
                    <w:pStyle w:val="31"/>
                    <w:bidi w:val="0"/>
                    <w:ind w:firstLine="0" w:firstLineChars="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年平均</w:t>
                  </w:r>
                </w:p>
              </w:tc>
              <w:tc>
                <w:tcPr>
                  <w:tcW w:w="1187" w:type="dxa"/>
                  <w:noWrap w:val="0"/>
                  <w:vAlign w:val="center"/>
                </w:tcPr>
                <w:p w14:paraId="00503BAD">
                  <w:pPr>
                    <w:pStyle w:val="31"/>
                    <w:bidi w:val="0"/>
                    <w:jc w:val="center"/>
                    <w:rPr>
                      <w:rFonts w:hint="default" w:ascii="Times New Roman" w:hAnsi="Times New Roman" w:cs="Times New Roman"/>
                      <w:color w:val="000000"/>
                      <w:highlight w:val="none"/>
                      <w:vertAlign w:val="baseline"/>
                      <w:lang w:val="en-US" w:eastAsia="zh-CN"/>
                    </w:rPr>
                  </w:pPr>
                  <w:r>
                    <w:rPr>
                      <w:rFonts w:hint="eastAsia" w:cs="Times New Roman"/>
                      <w:color w:val="000000"/>
                      <w:highlight w:val="none"/>
                      <w:vertAlign w:val="baseline"/>
                      <w:lang w:val="en-US" w:eastAsia="zh-CN"/>
                    </w:rPr>
                    <w:t>60</w:t>
                  </w:r>
                </w:p>
              </w:tc>
              <w:tc>
                <w:tcPr>
                  <w:tcW w:w="1147" w:type="dxa"/>
                  <w:noWrap w:val="0"/>
                  <w:vAlign w:val="center"/>
                </w:tcPr>
                <w:p w14:paraId="70A63979">
                  <w:pPr>
                    <w:pStyle w:val="31"/>
                    <w:bidi w:val="0"/>
                    <w:jc w:val="center"/>
                    <w:rPr>
                      <w:rFonts w:hint="default" w:ascii="Times New Roman" w:hAnsi="Times New Roman" w:cs="Times New Roman"/>
                      <w:color w:val="000000"/>
                      <w:highlight w:val="none"/>
                      <w:vertAlign w:val="baseline"/>
                      <w:lang w:val="en-US" w:eastAsia="zh-CN"/>
                    </w:rPr>
                  </w:pPr>
                  <w:r>
                    <w:rPr>
                      <w:rFonts w:hint="eastAsia" w:cs="Times New Roman"/>
                      <w:color w:val="000000"/>
                      <w:highlight w:val="none"/>
                      <w:vertAlign w:val="baseline"/>
                      <w:lang w:val="en-US" w:eastAsia="zh-CN"/>
                    </w:rPr>
                    <w:t>50</w:t>
                  </w:r>
                </w:p>
              </w:tc>
              <w:tc>
                <w:tcPr>
                  <w:tcW w:w="800" w:type="dxa"/>
                  <w:vMerge w:val="continue"/>
                  <w:noWrap w:val="0"/>
                  <w:vAlign w:val="center"/>
                </w:tcPr>
                <w:p w14:paraId="1ADFEFB5">
                  <w:pPr>
                    <w:pStyle w:val="31"/>
                    <w:bidi w:val="0"/>
                    <w:jc w:val="center"/>
                    <w:rPr>
                      <w:rFonts w:hint="default" w:ascii="Times New Roman" w:hAnsi="Times New Roman" w:cs="Times New Roman"/>
                      <w:color w:val="000000"/>
                      <w:highlight w:val="none"/>
                      <w:vertAlign w:val="baseline"/>
                      <w:lang w:val="en-US" w:eastAsia="zh-CN"/>
                    </w:rPr>
                  </w:pPr>
                </w:p>
              </w:tc>
              <w:tc>
                <w:tcPr>
                  <w:tcW w:w="1838" w:type="dxa"/>
                  <w:vMerge w:val="continue"/>
                  <w:noWrap w:val="0"/>
                  <w:vAlign w:val="center"/>
                </w:tcPr>
                <w:p w14:paraId="523A13CD">
                  <w:pPr>
                    <w:pStyle w:val="31"/>
                    <w:bidi w:val="0"/>
                    <w:jc w:val="center"/>
                    <w:rPr>
                      <w:rFonts w:hint="default" w:ascii="Times New Roman" w:hAnsi="Times New Roman" w:cs="Times New Roman"/>
                      <w:color w:val="000000"/>
                      <w:highlight w:val="none"/>
                      <w:vertAlign w:val="baseline"/>
                      <w:lang w:val="en-US" w:eastAsia="zh-CN"/>
                    </w:rPr>
                  </w:pPr>
                </w:p>
              </w:tc>
            </w:tr>
            <w:tr w14:paraId="18AB65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trPr>
              <w:tc>
                <w:tcPr>
                  <w:tcW w:w="606" w:type="dxa"/>
                  <w:vMerge w:val="continue"/>
                  <w:noWrap w:val="0"/>
                  <w:vAlign w:val="center"/>
                </w:tcPr>
                <w:p w14:paraId="25FC7C1F">
                  <w:pPr>
                    <w:pStyle w:val="31"/>
                    <w:bidi w:val="0"/>
                    <w:jc w:val="center"/>
                    <w:rPr>
                      <w:rFonts w:hint="default" w:ascii="Times New Roman" w:hAnsi="Times New Roman" w:cs="Times New Roman"/>
                      <w:color w:val="000000"/>
                      <w:highlight w:val="none"/>
                      <w:vertAlign w:val="baseline"/>
                      <w:lang w:val="en-US" w:eastAsia="zh-CN"/>
                    </w:rPr>
                  </w:pPr>
                </w:p>
              </w:tc>
              <w:tc>
                <w:tcPr>
                  <w:tcW w:w="905" w:type="dxa"/>
                  <w:vMerge w:val="continue"/>
                  <w:noWrap w:val="0"/>
                  <w:vAlign w:val="center"/>
                </w:tcPr>
                <w:p w14:paraId="1C0CF164">
                  <w:pPr>
                    <w:pStyle w:val="31"/>
                    <w:bidi w:val="0"/>
                    <w:jc w:val="center"/>
                    <w:rPr>
                      <w:rFonts w:hint="default" w:ascii="Times New Roman" w:hAnsi="Times New Roman" w:cs="Times New Roman"/>
                      <w:color w:val="000000"/>
                      <w:highlight w:val="none"/>
                      <w:vertAlign w:val="baseline"/>
                      <w:lang w:val="en-US" w:eastAsia="zh-CN"/>
                    </w:rPr>
                  </w:pPr>
                </w:p>
              </w:tc>
              <w:tc>
                <w:tcPr>
                  <w:tcW w:w="1734" w:type="dxa"/>
                  <w:noWrap w:val="0"/>
                  <w:vAlign w:val="center"/>
                </w:tcPr>
                <w:p w14:paraId="0BBCFBDF">
                  <w:pPr>
                    <w:pStyle w:val="31"/>
                    <w:bidi w:val="0"/>
                    <w:ind w:firstLine="0" w:firstLineChars="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24小时平均</w:t>
                  </w:r>
                </w:p>
              </w:tc>
              <w:tc>
                <w:tcPr>
                  <w:tcW w:w="1187" w:type="dxa"/>
                  <w:noWrap w:val="0"/>
                  <w:vAlign w:val="center"/>
                </w:tcPr>
                <w:p w14:paraId="62C27BB8">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1</w:t>
                  </w:r>
                  <w:r>
                    <w:rPr>
                      <w:rFonts w:hint="eastAsia" w:cs="Times New Roman"/>
                      <w:color w:val="000000"/>
                      <w:highlight w:val="none"/>
                      <w:vertAlign w:val="baseline"/>
                      <w:lang w:val="en-US" w:eastAsia="zh-CN"/>
                    </w:rPr>
                    <w:t>20</w:t>
                  </w:r>
                </w:p>
              </w:tc>
              <w:tc>
                <w:tcPr>
                  <w:tcW w:w="1147" w:type="dxa"/>
                  <w:noWrap w:val="0"/>
                  <w:vAlign w:val="center"/>
                </w:tcPr>
                <w:p w14:paraId="53977D32">
                  <w:pPr>
                    <w:pStyle w:val="31"/>
                    <w:bidi w:val="0"/>
                    <w:jc w:val="center"/>
                    <w:rPr>
                      <w:rFonts w:hint="default" w:ascii="Times New Roman" w:hAnsi="Times New Roman" w:cs="Times New Roman"/>
                      <w:color w:val="000000"/>
                      <w:highlight w:val="none"/>
                      <w:vertAlign w:val="baseline"/>
                      <w:lang w:val="en-US" w:eastAsia="zh-CN"/>
                    </w:rPr>
                  </w:pPr>
                  <w:r>
                    <w:rPr>
                      <w:rFonts w:hint="eastAsia" w:cs="Times New Roman"/>
                      <w:color w:val="000000"/>
                      <w:highlight w:val="none"/>
                      <w:vertAlign w:val="baseline"/>
                      <w:lang w:val="en-US" w:eastAsia="zh-CN"/>
                    </w:rPr>
                    <w:t>100</w:t>
                  </w:r>
                </w:p>
              </w:tc>
              <w:tc>
                <w:tcPr>
                  <w:tcW w:w="800" w:type="dxa"/>
                  <w:vMerge w:val="continue"/>
                  <w:noWrap w:val="0"/>
                  <w:vAlign w:val="center"/>
                </w:tcPr>
                <w:p w14:paraId="5162A02E">
                  <w:pPr>
                    <w:pStyle w:val="31"/>
                    <w:bidi w:val="0"/>
                    <w:jc w:val="center"/>
                    <w:rPr>
                      <w:rFonts w:hint="default" w:ascii="Times New Roman" w:hAnsi="Times New Roman" w:cs="Times New Roman"/>
                      <w:color w:val="000000"/>
                      <w:highlight w:val="none"/>
                      <w:vertAlign w:val="baseline"/>
                      <w:lang w:val="en-US" w:eastAsia="zh-CN"/>
                    </w:rPr>
                  </w:pPr>
                </w:p>
              </w:tc>
              <w:tc>
                <w:tcPr>
                  <w:tcW w:w="1838" w:type="dxa"/>
                  <w:vMerge w:val="continue"/>
                  <w:noWrap w:val="0"/>
                  <w:vAlign w:val="center"/>
                </w:tcPr>
                <w:p w14:paraId="2999D02C">
                  <w:pPr>
                    <w:pStyle w:val="31"/>
                    <w:bidi w:val="0"/>
                    <w:jc w:val="center"/>
                    <w:rPr>
                      <w:rFonts w:hint="default" w:ascii="Times New Roman" w:hAnsi="Times New Roman" w:cs="Times New Roman"/>
                      <w:color w:val="000000"/>
                      <w:highlight w:val="none"/>
                      <w:vertAlign w:val="baseline"/>
                      <w:lang w:val="en-US" w:eastAsia="zh-CN"/>
                    </w:rPr>
                  </w:pPr>
                </w:p>
              </w:tc>
            </w:tr>
            <w:tr w14:paraId="43BF78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trPr>
              <w:tc>
                <w:tcPr>
                  <w:tcW w:w="606" w:type="dxa"/>
                  <w:vMerge w:val="restart"/>
                  <w:noWrap w:val="0"/>
                  <w:vAlign w:val="center"/>
                </w:tcPr>
                <w:p w14:paraId="4DC21951">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6</w:t>
                  </w:r>
                </w:p>
              </w:tc>
              <w:tc>
                <w:tcPr>
                  <w:tcW w:w="905" w:type="dxa"/>
                  <w:vMerge w:val="restart"/>
                  <w:noWrap w:val="0"/>
                  <w:vAlign w:val="center"/>
                </w:tcPr>
                <w:p w14:paraId="1E2090A6">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PM</w:t>
                  </w:r>
                  <w:r>
                    <w:rPr>
                      <w:rFonts w:hint="default" w:ascii="Times New Roman" w:hAnsi="Times New Roman" w:cs="Times New Roman"/>
                      <w:color w:val="000000"/>
                      <w:highlight w:val="none"/>
                      <w:vertAlign w:val="subscript"/>
                      <w:lang w:val="en-US" w:eastAsia="zh-CN"/>
                    </w:rPr>
                    <w:t>2.5</w:t>
                  </w:r>
                </w:p>
              </w:tc>
              <w:tc>
                <w:tcPr>
                  <w:tcW w:w="1734" w:type="dxa"/>
                  <w:noWrap w:val="0"/>
                  <w:vAlign w:val="center"/>
                </w:tcPr>
                <w:p w14:paraId="6C706821">
                  <w:pPr>
                    <w:pStyle w:val="31"/>
                    <w:bidi w:val="0"/>
                    <w:ind w:firstLine="0" w:firstLineChars="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年平均</w:t>
                  </w:r>
                </w:p>
              </w:tc>
              <w:tc>
                <w:tcPr>
                  <w:tcW w:w="1187" w:type="dxa"/>
                  <w:noWrap w:val="0"/>
                  <w:vAlign w:val="center"/>
                </w:tcPr>
                <w:p w14:paraId="3B2C594D">
                  <w:pPr>
                    <w:pStyle w:val="31"/>
                    <w:bidi w:val="0"/>
                    <w:jc w:val="center"/>
                    <w:rPr>
                      <w:rFonts w:hint="default" w:ascii="Times New Roman" w:hAnsi="Times New Roman" w:cs="Times New Roman"/>
                      <w:color w:val="000000"/>
                      <w:highlight w:val="none"/>
                      <w:vertAlign w:val="baseline"/>
                      <w:lang w:val="en-US" w:eastAsia="zh-CN"/>
                    </w:rPr>
                  </w:pPr>
                  <w:r>
                    <w:rPr>
                      <w:rFonts w:hint="eastAsia" w:cs="Times New Roman"/>
                      <w:color w:val="000000"/>
                      <w:highlight w:val="none"/>
                      <w:vertAlign w:val="baseline"/>
                      <w:lang w:val="en-US" w:eastAsia="zh-CN"/>
                    </w:rPr>
                    <w:t>30</w:t>
                  </w:r>
                </w:p>
              </w:tc>
              <w:tc>
                <w:tcPr>
                  <w:tcW w:w="1147" w:type="dxa"/>
                  <w:noWrap w:val="0"/>
                  <w:vAlign w:val="center"/>
                </w:tcPr>
                <w:p w14:paraId="6946C06D">
                  <w:pPr>
                    <w:pStyle w:val="31"/>
                    <w:bidi w:val="0"/>
                    <w:jc w:val="center"/>
                    <w:rPr>
                      <w:rFonts w:hint="default" w:ascii="Times New Roman" w:hAnsi="Times New Roman" w:cs="Times New Roman"/>
                      <w:color w:val="000000"/>
                      <w:highlight w:val="none"/>
                      <w:vertAlign w:val="baseline"/>
                      <w:lang w:val="en-US" w:eastAsia="zh-CN"/>
                    </w:rPr>
                  </w:pPr>
                  <w:r>
                    <w:rPr>
                      <w:rFonts w:hint="eastAsia" w:cs="Times New Roman"/>
                      <w:color w:val="000000"/>
                      <w:highlight w:val="none"/>
                      <w:vertAlign w:val="baseline"/>
                      <w:lang w:val="en-US" w:eastAsia="zh-CN"/>
                    </w:rPr>
                    <w:t>25</w:t>
                  </w:r>
                </w:p>
              </w:tc>
              <w:tc>
                <w:tcPr>
                  <w:tcW w:w="800" w:type="dxa"/>
                  <w:vMerge w:val="continue"/>
                  <w:noWrap w:val="0"/>
                  <w:vAlign w:val="center"/>
                </w:tcPr>
                <w:p w14:paraId="55F4E3EA">
                  <w:pPr>
                    <w:pStyle w:val="31"/>
                    <w:bidi w:val="0"/>
                    <w:jc w:val="center"/>
                    <w:rPr>
                      <w:rFonts w:hint="default" w:ascii="Times New Roman" w:hAnsi="Times New Roman" w:cs="Times New Roman"/>
                      <w:color w:val="000000"/>
                      <w:highlight w:val="none"/>
                      <w:vertAlign w:val="baseline"/>
                      <w:lang w:val="en-US" w:eastAsia="zh-CN"/>
                    </w:rPr>
                  </w:pPr>
                </w:p>
              </w:tc>
              <w:tc>
                <w:tcPr>
                  <w:tcW w:w="1838" w:type="dxa"/>
                  <w:vMerge w:val="continue"/>
                  <w:noWrap w:val="0"/>
                  <w:vAlign w:val="center"/>
                </w:tcPr>
                <w:p w14:paraId="01D6EA54">
                  <w:pPr>
                    <w:pStyle w:val="31"/>
                    <w:bidi w:val="0"/>
                    <w:jc w:val="center"/>
                    <w:rPr>
                      <w:rFonts w:hint="default" w:ascii="Times New Roman" w:hAnsi="Times New Roman" w:cs="Times New Roman"/>
                      <w:color w:val="000000"/>
                      <w:highlight w:val="none"/>
                      <w:vertAlign w:val="baseline"/>
                      <w:lang w:val="en-US" w:eastAsia="zh-CN"/>
                    </w:rPr>
                  </w:pPr>
                </w:p>
              </w:tc>
            </w:tr>
            <w:tr w14:paraId="3AB938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trPr>
              <w:tc>
                <w:tcPr>
                  <w:tcW w:w="606" w:type="dxa"/>
                  <w:vMerge w:val="continue"/>
                  <w:noWrap w:val="0"/>
                  <w:vAlign w:val="center"/>
                </w:tcPr>
                <w:p w14:paraId="389A03C9">
                  <w:pPr>
                    <w:pStyle w:val="31"/>
                    <w:bidi w:val="0"/>
                    <w:jc w:val="center"/>
                    <w:rPr>
                      <w:rFonts w:hint="default" w:ascii="Times New Roman" w:hAnsi="Times New Roman" w:cs="Times New Roman"/>
                      <w:color w:val="000000"/>
                      <w:highlight w:val="none"/>
                      <w:vertAlign w:val="baseline"/>
                      <w:lang w:val="en-US" w:eastAsia="zh-CN"/>
                    </w:rPr>
                  </w:pPr>
                </w:p>
              </w:tc>
              <w:tc>
                <w:tcPr>
                  <w:tcW w:w="905" w:type="dxa"/>
                  <w:vMerge w:val="continue"/>
                  <w:noWrap w:val="0"/>
                  <w:vAlign w:val="center"/>
                </w:tcPr>
                <w:p w14:paraId="711CE7E3">
                  <w:pPr>
                    <w:pStyle w:val="31"/>
                    <w:bidi w:val="0"/>
                    <w:jc w:val="center"/>
                    <w:rPr>
                      <w:rFonts w:hint="default" w:ascii="Times New Roman" w:hAnsi="Times New Roman" w:cs="Times New Roman"/>
                      <w:color w:val="000000"/>
                      <w:highlight w:val="none"/>
                      <w:vertAlign w:val="baseline"/>
                      <w:lang w:val="en-US" w:eastAsia="zh-CN"/>
                    </w:rPr>
                  </w:pPr>
                </w:p>
              </w:tc>
              <w:tc>
                <w:tcPr>
                  <w:tcW w:w="1734" w:type="dxa"/>
                  <w:noWrap w:val="0"/>
                  <w:vAlign w:val="center"/>
                </w:tcPr>
                <w:p w14:paraId="2A00244A">
                  <w:pPr>
                    <w:pStyle w:val="31"/>
                    <w:bidi w:val="0"/>
                    <w:ind w:firstLine="0" w:firstLineChars="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24小时平均</w:t>
                  </w:r>
                </w:p>
              </w:tc>
              <w:tc>
                <w:tcPr>
                  <w:tcW w:w="1187" w:type="dxa"/>
                  <w:noWrap w:val="0"/>
                  <w:vAlign w:val="center"/>
                </w:tcPr>
                <w:p w14:paraId="7C058248">
                  <w:pPr>
                    <w:pStyle w:val="31"/>
                    <w:bidi w:val="0"/>
                    <w:jc w:val="center"/>
                    <w:rPr>
                      <w:rFonts w:hint="default" w:ascii="Times New Roman" w:hAnsi="Times New Roman" w:cs="Times New Roman"/>
                      <w:color w:val="000000"/>
                      <w:highlight w:val="none"/>
                      <w:vertAlign w:val="baseline"/>
                      <w:lang w:val="en-US" w:eastAsia="zh-CN"/>
                    </w:rPr>
                  </w:pPr>
                  <w:r>
                    <w:rPr>
                      <w:rFonts w:hint="eastAsia" w:cs="Times New Roman"/>
                      <w:color w:val="000000"/>
                      <w:highlight w:val="none"/>
                      <w:vertAlign w:val="baseline"/>
                      <w:lang w:val="en-US" w:eastAsia="zh-CN"/>
                    </w:rPr>
                    <w:t>60</w:t>
                  </w:r>
                </w:p>
              </w:tc>
              <w:tc>
                <w:tcPr>
                  <w:tcW w:w="1147" w:type="dxa"/>
                  <w:noWrap w:val="0"/>
                  <w:vAlign w:val="center"/>
                </w:tcPr>
                <w:p w14:paraId="19CDE382">
                  <w:pPr>
                    <w:pStyle w:val="31"/>
                    <w:bidi w:val="0"/>
                    <w:jc w:val="center"/>
                    <w:rPr>
                      <w:rFonts w:hint="default" w:ascii="Times New Roman" w:hAnsi="Times New Roman" w:cs="Times New Roman"/>
                      <w:color w:val="000000"/>
                      <w:highlight w:val="none"/>
                      <w:vertAlign w:val="baseline"/>
                      <w:lang w:val="en-US" w:eastAsia="zh-CN"/>
                    </w:rPr>
                  </w:pPr>
                  <w:r>
                    <w:rPr>
                      <w:rFonts w:hint="eastAsia" w:cs="Times New Roman"/>
                      <w:color w:val="000000"/>
                      <w:highlight w:val="none"/>
                      <w:vertAlign w:val="baseline"/>
                      <w:lang w:val="en-US" w:eastAsia="zh-CN"/>
                    </w:rPr>
                    <w:t>50</w:t>
                  </w:r>
                </w:p>
              </w:tc>
              <w:tc>
                <w:tcPr>
                  <w:tcW w:w="800" w:type="dxa"/>
                  <w:vMerge w:val="continue"/>
                  <w:noWrap w:val="0"/>
                  <w:vAlign w:val="center"/>
                </w:tcPr>
                <w:p w14:paraId="21976F85">
                  <w:pPr>
                    <w:pStyle w:val="31"/>
                    <w:bidi w:val="0"/>
                    <w:jc w:val="center"/>
                    <w:rPr>
                      <w:rFonts w:hint="default" w:ascii="Times New Roman" w:hAnsi="Times New Roman" w:cs="Times New Roman"/>
                      <w:color w:val="000000"/>
                      <w:highlight w:val="none"/>
                      <w:vertAlign w:val="baseline"/>
                      <w:lang w:val="en-US" w:eastAsia="zh-CN"/>
                    </w:rPr>
                  </w:pPr>
                </w:p>
              </w:tc>
              <w:tc>
                <w:tcPr>
                  <w:tcW w:w="1838" w:type="dxa"/>
                  <w:vMerge w:val="continue"/>
                  <w:noWrap w:val="0"/>
                  <w:vAlign w:val="center"/>
                </w:tcPr>
                <w:p w14:paraId="2050A022">
                  <w:pPr>
                    <w:pStyle w:val="31"/>
                    <w:bidi w:val="0"/>
                    <w:jc w:val="center"/>
                    <w:rPr>
                      <w:rFonts w:hint="default" w:ascii="Times New Roman" w:hAnsi="Times New Roman" w:cs="Times New Roman"/>
                      <w:color w:val="000000"/>
                      <w:highlight w:val="none"/>
                      <w:vertAlign w:val="baseline"/>
                      <w:lang w:val="en-US" w:eastAsia="zh-CN"/>
                    </w:rPr>
                  </w:pPr>
                </w:p>
              </w:tc>
            </w:tr>
            <w:tr w14:paraId="59D7A8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trPr>
              <w:tc>
                <w:tcPr>
                  <w:tcW w:w="606" w:type="dxa"/>
                  <w:vMerge w:val="restart"/>
                  <w:noWrap w:val="0"/>
                  <w:vAlign w:val="center"/>
                </w:tcPr>
                <w:p w14:paraId="5D9A427D">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7</w:t>
                  </w:r>
                </w:p>
              </w:tc>
              <w:tc>
                <w:tcPr>
                  <w:tcW w:w="905" w:type="dxa"/>
                  <w:vMerge w:val="restart"/>
                  <w:noWrap w:val="0"/>
                  <w:vAlign w:val="center"/>
                </w:tcPr>
                <w:p w14:paraId="449E7A69">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TSP</w:t>
                  </w:r>
                </w:p>
              </w:tc>
              <w:tc>
                <w:tcPr>
                  <w:tcW w:w="1734" w:type="dxa"/>
                  <w:noWrap w:val="0"/>
                  <w:vAlign w:val="center"/>
                </w:tcPr>
                <w:p w14:paraId="0DF34778">
                  <w:pPr>
                    <w:pStyle w:val="31"/>
                    <w:bidi w:val="0"/>
                    <w:ind w:firstLine="0" w:firstLineChars="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年平均</w:t>
                  </w:r>
                </w:p>
              </w:tc>
              <w:tc>
                <w:tcPr>
                  <w:tcW w:w="1187" w:type="dxa"/>
                  <w:noWrap w:val="0"/>
                  <w:vAlign w:val="center"/>
                </w:tcPr>
                <w:p w14:paraId="63DB5D17">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200</w:t>
                  </w:r>
                </w:p>
              </w:tc>
              <w:tc>
                <w:tcPr>
                  <w:tcW w:w="1147" w:type="dxa"/>
                  <w:noWrap w:val="0"/>
                  <w:vAlign w:val="center"/>
                </w:tcPr>
                <w:p w14:paraId="4D9E2E93">
                  <w:pPr>
                    <w:pStyle w:val="31"/>
                    <w:bidi w:val="0"/>
                    <w:jc w:val="center"/>
                    <w:rPr>
                      <w:rFonts w:hint="default" w:ascii="Times New Roman" w:hAnsi="Times New Roman" w:cs="Times New Roman"/>
                      <w:color w:val="000000"/>
                      <w:highlight w:val="none"/>
                      <w:vertAlign w:val="baseline"/>
                      <w:lang w:val="en-US" w:eastAsia="zh-CN"/>
                    </w:rPr>
                  </w:pPr>
                  <w:r>
                    <w:rPr>
                      <w:rFonts w:hint="eastAsia" w:cs="Times New Roman"/>
                      <w:color w:val="000000"/>
                      <w:highlight w:val="none"/>
                      <w:vertAlign w:val="baseline"/>
                      <w:lang w:val="en-US" w:eastAsia="zh-CN"/>
                    </w:rPr>
                    <w:t>200</w:t>
                  </w:r>
                </w:p>
              </w:tc>
              <w:tc>
                <w:tcPr>
                  <w:tcW w:w="800" w:type="dxa"/>
                  <w:vMerge w:val="continue"/>
                  <w:noWrap w:val="0"/>
                  <w:vAlign w:val="center"/>
                </w:tcPr>
                <w:p w14:paraId="2F09BDC7">
                  <w:pPr>
                    <w:pStyle w:val="31"/>
                    <w:bidi w:val="0"/>
                    <w:jc w:val="center"/>
                    <w:rPr>
                      <w:rFonts w:hint="default" w:ascii="Times New Roman" w:hAnsi="Times New Roman" w:cs="Times New Roman"/>
                      <w:color w:val="000000"/>
                      <w:highlight w:val="none"/>
                      <w:vertAlign w:val="baseline"/>
                      <w:lang w:val="en-US" w:eastAsia="zh-CN"/>
                    </w:rPr>
                  </w:pPr>
                </w:p>
              </w:tc>
              <w:tc>
                <w:tcPr>
                  <w:tcW w:w="1838" w:type="dxa"/>
                  <w:vMerge w:val="continue"/>
                  <w:noWrap w:val="0"/>
                  <w:vAlign w:val="center"/>
                </w:tcPr>
                <w:p w14:paraId="5F1B5C4D">
                  <w:pPr>
                    <w:pStyle w:val="31"/>
                    <w:bidi w:val="0"/>
                    <w:jc w:val="center"/>
                    <w:rPr>
                      <w:rFonts w:hint="default" w:ascii="Times New Roman" w:hAnsi="Times New Roman" w:cs="Times New Roman"/>
                      <w:color w:val="000000"/>
                      <w:highlight w:val="none"/>
                      <w:vertAlign w:val="baseline"/>
                      <w:lang w:val="en-US" w:eastAsia="zh-CN"/>
                    </w:rPr>
                  </w:pPr>
                </w:p>
              </w:tc>
            </w:tr>
            <w:tr w14:paraId="0B6E02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trPr>
              <w:tc>
                <w:tcPr>
                  <w:tcW w:w="606" w:type="dxa"/>
                  <w:vMerge w:val="continue"/>
                  <w:noWrap w:val="0"/>
                  <w:vAlign w:val="center"/>
                </w:tcPr>
                <w:p w14:paraId="7961D49A">
                  <w:pPr>
                    <w:pStyle w:val="31"/>
                    <w:bidi w:val="0"/>
                    <w:jc w:val="center"/>
                    <w:rPr>
                      <w:rFonts w:hint="default" w:ascii="Times New Roman" w:hAnsi="Times New Roman" w:cs="Times New Roman"/>
                      <w:color w:val="000000"/>
                      <w:highlight w:val="none"/>
                      <w:vertAlign w:val="baseline"/>
                      <w:lang w:val="en-US" w:eastAsia="zh-CN"/>
                    </w:rPr>
                  </w:pPr>
                </w:p>
              </w:tc>
              <w:tc>
                <w:tcPr>
                  <w:tcW w:w="905" w:type="dxa"/>
                  <w:vMerge w:val="continue"/>
                  <w:noWrap w:val="0"/>
                  <w:vAlign w:val="center"/>
                </w:tcPr>
                <w:p w14:paraId="417BA493">
                  <w:pPr>
                    <w:pStyle w:val="31"/>
                    <w:bidi w:val="0"/>
                    <w:jc w:val="center"/>
                    <w:rPr>
                      <w:rFonts w:hint="default" w:ascii="Times New Roman" w:hAnsi="Times New Roman" w:cs="Times New Roman"/>
                      <w:color w:val="000000"/>
                      <w:highlight w:val="none"/>
                      <w:vertAlign w:val="baseline"/>
                      <w:lang w:val="en-US" w:eastAsia="zh-CN"/>
                    </w:rPr>
                  </w:pPr>
                </w:p>
              </w:tc>
              <w:tc>
                <w:tcPr>
                  <w:tcW w:w="1734" w:type="dxa"/>
                  <w:noWrap w:val="0"/>
                  <w:vAlign w:val="center"/>
                </w:tcPr>
                <w:p w14:paraId="0FD36248">
                  <w:pPr>
                    <w:pStyle w:val="31"/>
                    <w:bidi w:val="0"/>
                    <w:ind w:firstLine="0" w:firstLineChars="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24小时平均</w:t>
                  </w:r>
                </w:p>
              </w:tc>
              <w:tc>
                <w:tcPr>
                  <w:tcW w:w="1187" w:type="dxa"/>
                  <w:noWrap w:val="0"/>
                  <w:vAlign w:val="center"/>
                </w:tcPr>
                <w:p w14:paraId="55C336C9">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300</w:t>
                  </w:r>
                </w:p>
              </w:tc>
              <w:tc>
                <w:tcPr>
                  <w:tcW w:w="1147" w:type="dxa"/>
                  <w:noWrap w:val="0"/>
                  <w:vAlign w:val="center"/>
                </w:tcPr>
                <w:p w14:paraId="3ACFBAFC">
                  <w:pPr>
                    <w:pStyle w:val="31"/>
                    <w:bidi w:val="0"/>
                    <w:jc w:val="center"/>
                    <w:rPr>
                      <w:rFonts w:hint="default" w:ascii="Times New Roman" w:hAnsi="Times New Roman" w:cs="Times New Roman"/>
                      <w:color w:val="000000"/>
                      <w:highlight w:val="none"/>
                      <w:vertAlign w:val="baseline"/>
                      <w:lang w:val="en-US" w:eastAsia="zh-CN"/>
                    </w:rPr>
                  </w:pPr>
                  <w:r>
                    <w:rPr>
                      <w:rFonts w:hint="eastAsia" w:cs="Times New Roman"/>
                      <w:color w:val="000000"/>
                      <w:highlight w:val="none"/>
                      <w:vertAlign w:val="baseline"/>
                      <w:lang w:val="en-US" w:eastAsia="zh-CN"/>
                    </w:rPr>
                    <w:t>300</w:t>
                  </w:r>
                </w:p>
              </w:tc>
              <w:tc>
                <w:tcPr>
                  <w:tcW w:w="800" w:type="dxa"/>
                  <w:vMerge w:val="continue"/>
                  <w:noWrap w:val="0"/>
                  <w:vAlign w:val="center"/>
                </w:tcPr>
                <w:p w14:paraId="0D16D69E">
                  <w:pPr>
                    <w:pStyle w:val="31"/>
                    <w:bidi w:val="0"/>
                    <w:jc w:val="center"/>
                    <w:rPr>
                      <w:rFonts w:hint="default" w:ascii="Times New Roman" w:hAnsi="Times New Roman" w:cs="Times New Roman"/>
                      <w:color w:val="000000"/>
                      <w:highlight w:val="none"/>
                      <w:vertAlign w:val="baseline"/>
                      <w:lang w:val="en-US" w:eastAsia="zh-CN"/>
                    </w:rPr>
                  </w:pPr>
                </w:p>
              </w:tc>
              <w:tc>
                <w:tcPr>
                  <w:tcW w:w="1838" w:type="dxa"/>
                  <w:vMerge w:val="continue"/>
                  <w:noWrap w:val="0"/>
                  <w:vAlign w:val="center"/>
                </w:tcPr>
                <w:p w14:paraId="52CBAC8E">
                  <w:pPr>
                    <w:pStyle w:val="31"/>
                    <w:bidi w:val="0"/>
                    <w:jc w:val="center"/>
                    <w:rPr>
                      <w:rFonts w:hint="default" w:ascii="Times New Roman" w:hAnsi="Times New Roman" w:cs="Times New Roman"/>
                      <w:color w:val="000000"/>
                      <w:highlight w:val="none"/>
                      <w:vertAlign w:val="baseline"/>
                      <w:lang w:val="en-US" w:eastAsia="zh-CN"/>
                    </w:rPr>
                  </w:pPr>
                </w:p>
              </w:tc>
            </w:tr>
            <w:tr w14:paraId="7D2E72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trPr>
              <w:tc>
                <w:tcPr>
                  <w:tcW w:w="606" w:type="dxa"/>
                  <w:vMerge w:val="restart"/>
                  <w:noWrap w:val="0"/>
                  <w:vAlign w:val="center"/>
                </w:tcPr>
                <w:p w14:paraId="0312420F">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8</w:t>
                  </w:r>
                </w:p>
              </w:tc>
              <w:tc>
                <w:tcPr>
                  <w:tcW w:w="905" w:type="dxa"/>
                  <w:vMerge w:val="restart"/>
                  <w:noWrap w:val="0"/>
                  <w:vAlign w:val="center"/>
                </w:tcPr>
                <w:p w14:paraId="46A7B6F6">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lang w:val="en-US" w:eastAsia="zh-CN"/>
                    </w:rPr>
                    <w:t>NO</w:t>
                  </w:r>
                  <w:r>
                    <w:rPr>
                      <w:rFonts w:hint="default" w:ascii="Times New Roman" w:hAnsi="Times New Roman" w:cs="Times New Roman"/>
                      <w:color w:val="000000"/>
                      <w:highlight w:val="none"/>
                      <w:vertAlign w:val="subscript"/>
                      <w:lang w:val="en-US" w:eastAsia="zh-CN"/>
                    </w:rPr>
                    <w:t>X</w:t>
                  </w:r>
                </w:p>
              </w:tc>
              <w:tc>
                <w:tcPr>
                  <w:tcW w:w="1734" w:type="dxa"/>
                  <w:noWrap w:val="0"/>
                  <w:vAlign w:val="center"/>
                </w:tcPr>
                <w:p w14:paraId="777C44D7">
                  <w:pPr>
                    <w:pStyle w:val="31"/>
                    <w:bidi w:val="0"/>
                    <w:ind w:firstLine="0" w:firstLineChars="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年平均</w:t>
                  </w:r>
                </w:p>
              </w:tc>
              <w:tc>
                <w:tcPr>
                  <w:tcW w:w="1187" w:type="dxa"/>
                  <w:noWrap w:val="0"/>
                  <w:vAlign w:val="center"/>
                </w:tcPr>
                <w:p w14:paraId="6D39E9CD">
                  <w:pPr>
                    <w:pStyle w:val="31"/>
                    <w:bidi w:val="0"/>
                    <w:jc w:val="center"/>
                    <w:rPr>
                      <w:rFonts w:hint="default" w:ascii="Times New Roman" w:hAnsi="Times New Roman" w:cs="Times New Roman"/>
                      <w:color w:val="000000"/>
                      <w:highlight w:val="none"/>
                      <w:vertAlign w:val="baseline"/>
                      <w:lang w:val="en-US" w:eastAsia="zh-CN"/>
                    </w:rPr>
                  </w:pPr>
                  <w:r>
                    <w:rPr>
                      <w:rFonts w:hint="eastAsia" w:cs="Times New Roman"/>
                      <w:color w:val="000000"/>
                      <w:highlight w:val="none"/>
                      <w:vertAlign w:val="baseline"/>
                      <w:lang w:val="en-US" w:eastAsia="zh-CN"/>
                    </w:rPr>
                    <w:t>40</w:t>
                  </w:r>
                  <w:r>
                    <w:rPr>
                      <w:rFonts w:hint="eastAsia" w:cs="Times New Roman"/>
                      <w:color w:val="000000"/>
                      <w:highlight w:val="none"/>
                      <w:vertAlign w:val="superscript"/>
                      <w:lang w:val="en-US" w:eastAsia="zh-CN"/>
                    </w:rPr>
                    <w:t>a</w:t>
                  </w:r>
                </w:p>
              </w:tc>
              <w:tc>
                <w:tcPr>
                  <w:tcW w:w="1147" w:type="dxa"/>
                  <w:noWrap w:val="0"/>
                  <w:vAlign w:val="center"/>
                </w:tcPr>
                <w:p w14:paraId="439A4454">
                  <w:pPr>
                    <w:pStyle w:val="31"/>
                    <w:bidi w:val="0"/>
                    <w:jc w:val="center"/>
                    <w:rPr>
                      <w:rFonts w:hint="default" w:ascii="Times New Roman" w:hAnsi="Times New Roman" w:cs="Times New Roman"/>
                      <w:color w:val="000000"/>
                      <w:highlight w:val="none"/>
                      <w:vertAlign w:val="baseline"/>
                      <w:lang w:val="en-US" w:eastAsia="zh-CN"/>
                    </w:rPr>
                  </w:pPr>
                  <w:r>
                    <w:rPr>
                      <w:rFonts w:hint="eastAsia" w:cs="Times New Roman"/>
                      <w:color w:val="000000"/>
                      <w:highlight w:val="none"/>
                      <w:vertAlign w:val="baseline"/>
                      <w:lang w:val="en-US" w:eastAsia="zh-CN"/>
                    </w:rPr>
                    <w:t>40</w:t>
                  </w:r>
                  <w:r>
                    <w:rPr>
                      <w:rFonts w:hint="eastAsia" w:cs="Times New Roman"/>
                      <w:color w:val="000000"/>
                      <w:highlight w:val="none"/>
                      <w:vertAlign w:val="superscript"/>
                      <w:lang w:val="en-US" w:eastAsia="zh-CN"/>
                    </w:rPr>
                    <w:t>a</w:t>
                  </w:r>
                </w:p>
              </w:tc>
              <w:tc>
                <w:tcPr>
                  <w:tcW w:w="800" w:type="dxa"/>
                  <w:vMerge w:val="continue"/>
                  <w:noWrap w:val="0"/>
                  <w:vAlign w:val="center"/>
                </w:tcPr>
                <w:p w14:paraId="5522B657">
                  <w:pPr>
                    <w:pStyle w:val="31"/>
                    <w:bidi w:val="0"/>
                    <w:jc w:val="center"/>
                    <w:rPr>
                      <w:rFonts w:hint="default" w:ascii="Times New Roman" w:hAnsi="Times New Roman" w:cs="Times New Roman"/>
                      <w:color w:val="000000"/>
                      <w:highlight w:val="none"/>
                      <w:vertAlign w:val="baseline"/>
                      <w:lang w:val="en-US" w:eastAsia="zh-CN"/>
                    </w:rPr>
                  </w:pPr>
                </w:p>
              </w:tc>
              <w:tc>
                <w:tcPr>
                  <w:tcW w:w="1838" w:type="dxa"/>
                  <w:vMerge w:val="continue"/>
                  <w:noWrap w:val="0"/>
                  <w:vAlign w:val="center"/>
                </w:tcPr>
                <w:p w14:paraId="0D54DDA9">
                  <w:pPr>
                    <w:pStyle w:val="31"/>
                    <w:bidi w:val="0"/>
                    <w:jc w:val="center"/>
                    <w:rPr>
                      <w:rFonts w:hint="default" w:ascii="Times New Roman" w:hAnsi="Times New Roman" w:cs="Times New Roman"/>
                      <w:color w:val="000000"/>
                      <w:highlight w:val="none"/>
                      <w:vertAlign w:val="baseline"/>
                      <w:lang w:val="en-US" w:eastAsia="zh-CN"/>
                    </w:rPr>
                  </w:pPr>
                </w:p>
              </w:tc>
            </w:tr>
            <w:tr w14:paraId="2793A0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trPr>
              <w:tc>
                <w:tcPr>
                  <w:tcW w:w="606" w:type="dxa"/>
                  <w:vMerge w:val="continue"/>
                  <w:noWrap w:val="0"/>
                  <w:vAlign w:val="center"/>
                </w:tcPr>
                <w:p w14:paraId="170BA7F2">
                  <w:pPr>
                    <w:pStyle w:val="31"/>
                    <w:bidi w:val="0"/>
                    <w:jc w:val="center"/>
                    <w:rPr>
                      <w:rFonts w:hint="default" w:ascii="Times New Roman" w:hAnsi="Times New Roman" w:cs="Times New Roman"/>
                      <w:color w:val="000000"/>
                      <w:highlight w:val="none"/>
                      <w:vertAlign w:val="baseline"/>
                      <w:lang w:val="en-US" w:eastAsia="zh-CN"/>
                    </w:rPr>
                  </w:pPr>
                </w:p>
              </w:tc>
              <w:tc>
                <w:tcPr>
                  <w:tcW w:w="905" w:type="dxa"/>
                  <w:vMerge w:val="continue"/>
                  <w:noWrap w:val="0"/>
                  <w:vAlign w:val="center"/>
                </w:tcPr>
                <w:p w14:paraId="01DD6B64">
                  <w:pPr>
                    <w:pStyle w:val="31"/>
                    <w:bidi w:val="0"/>
                    <w:jc w:val="center"/>
                    <w:rPr>
                      <w:rFonts w:hint="default" w:ascii="Times New Roman" w:hAnsi="Times New Roman" w:cs="Times New Roman"/>
                      <w:color w:val="000000"/>
                      <w:highlight w:val="none"/>
                      <w:vertAlign w:val="baseline"/>
                      <w:lang w:val="en-US" w:eastAsia="zh-CN"/>
                    </w:rPr>
                  </w:pPr>
                </w:p>
              </w:tc>
              <w:tc>
                <w:tcPr>
                  <w:tcW w:w="1734" w:type="dxa"/>
                  <w:noWrap w:val="0"/>
                  <w:vAlign w:val="center"/>
                </w:tcPr>
                <w:p w14:paraId="5C50F168">
                  <w:pPr>
                    <w:pStyle w:val="31"/>
                    <w:bidi w:val="0"/>
                    <w:ind w:firstLine="0" w:firstLineChars="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24小时平均</w:t>
                  </w:r>
                </w:p>
              </w:tc>
              <w:tc>
                <w:tcPr>
                  <w:tcW w:w="1187" w:type="dxa"/>
                  <w:noWrap w:val="0"/>
                  <w:vAlign w:val="center"/>
                </w:tcPr>
                <w:p w14:paraId="45FFB4F8">
                  <w:pPr>
                    <w:pStyle w:val="31"/>
                    <w:bidi w:val="0"/>
                    <w:jc w:val="center"/>
                    <w:rPr>
                      <w:rFonts w:hint="default" w:ascii="Times New Roman" w:hAnsi="Times New Roman" w:cs="Times New Roman"/>
                      <w:color w:val="000000"/>
                      <w:highlight w:val="none"/>
                      <w:vertAlign w:val="baseline"/>
                      <w:lang w:val="en-US" w:eastAsia="zh-CN"/>
                    </w:rPr>
                  </w:pPr>
                  <w:r>
                    <w:rPr>
                      <w:rFonts w:hint="eastAsia" w:cs="Times New Roman"/>
                      <w:color w:val="000000"/>
                      <w:highlight w:val="none"/>
                      <w:vertAlign w:val="baseline"/>
                      <w:lang w:val="en-US" w:eastAsia="zh-CN"/>
                    </w:rPr>
                    <w:t>70</w:t>
                  </w:r>
                  <w:r>
                    <w:rPr>
                      <w:rFonts w:hint="eastAsia" w:cs="Times New Roman"/>
                      <w:color w:val="000000"/>
                      <w:highlight w:val="none"/>
                      <w:vertAlign w:val="superscript"/>
                      <w:lang w:val="en-US" w:eastAsia="zh-CN"/>
                    </w:rPr>
                    <w:t>b</w:t>
                  </w:r>
                </w:p>
              </w:tc>
              <w:tc>
                <w:tcPr>
                  <w:tcW w:w="1147" w:type="dxa"/>
                  <w:noWrap w:val="0"/>
                  <w:vAlign w:val="center"/>
                </w:tcPr>
                <w:p w14:paraId="1F959D4E">
                  <w:pPr>
                    <w:pStyle w:val="31"/>
                    <w:bidi w:val="0"/>
                    <w:jc w:val="center"/>
                    <w:rPr>
                      <w:rFonts w:hint="default" w:ascii="Times New Roman" w:hAnsi="Times New Roman" w:cs="Times New Roman"/>
                      <w:color w:val="000000"/>
                      <w:highlight w:val="none"/>
                      <w:vertAlign w:val="baseline"/>
                      <w:lang w:val="en-US" w:eastAsia="zh-CN"/>
                    </w:rPr>
                  </w:pPr>
                  <w:r>
                    <w:rPr>
                      <w:rFonts w:hint="eastAsia" w:cs="Times New Roman"/>
                      <w:color w:val="000000"/>
                      <w:highlight w:val="none"/>
                      <w:vertAlign w:val="baseline"/>
                      <w:lang w:val="en-US" w:eastAsia="zh-CN"/>
                    </w:rPr>
                    <w:t>70</w:t>
                  </w:r>
                  <w:r>
                    <w:rPr>
                      <w:rFonts w:hint="eastAsia" w:cs="Times New Roman"/>
                      <w:color w:val="000000"/>
                      <w:highlight w:val="none"/>
                      <w:vertAlign w:val="superscript"/>
                      <w:lang w:val="en-US" w:eastAsia="zh-CN"/>
                    </w:rPr>
                    <w:t>b</w:t>
                  </w:r>
                </w:p>
              </w:tc>
              <w:tc>
                <w:tcPr>
                  <w:tcW w:w="800" w:type="dxa"/>
                  <w:vMerge w:val="continue"/>
                  <w:noWrap w:val="0"/>
                  <w:vAlign w:val="center"/>
                </w:tcPr>
                <w:p w14:paraId="52537685">
                  <w:pPr>
                    <w:pStyle w:val="31"/>
                    <w:bidi w:val="0"/>
                    <w:jc w:val="center"/>
                    <w:rPr>
                      <w:rFonts w:hint="default" w:ascii="Times New Roman" w:hAnsi="Times New Roman" w:cs="Times New Roman"/>
                      <w:color w:val="000000"/>
                      <w:highlight w:val="none"/>
                      <w:vertAlign w:val="baseline"/>
                      <w:lang w:val="en-US" w:eastAsia="zh-CN"/>
                    </w:rPr>
                  </w:pPr>
                </w:p>
              </w:tc>
              <w:tc>
                <w:tcPr>
                  <w:tcW w:w="1838" w:type="dxa"/>
                  <w:vMerge w:val="continue"/>
                  <w:noWrap w:val="0"/>
                  <w:vAlign w:val="center"/>
                </w:tcPr>
                <w:p w14:paraId="3EDAA869">
                  <w:pPr>
                    <w:pStyle w:val="31"/>
                    <w:bidi w:val="0"/>
                    <w:jc w:val="center"/>
                    <w:rPr>
                      <w:rFonts w:hint="default" w:ascii="Times New Roman" w:hAnsi="Times New Roman" w:cs="Times New Roman"/>
                      <w:color w:val="000000"/>
                      <w:highlight w:val="none"/>
                      <w:vertAlign w:val="baseline"/>
                      <w:lang w:val="en-US" w:eastAsia="zh-CN"/>
                    </w:rPr>
                  </w:pPr>
                </w:p>
              </w:tc>
            </w:tr>
            <w:tr w14:paraId="4EFF37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trPr>
              <w:tc>
                <w:tcPr>
                  <w:tcW w:w="606" w:type="dxa"/>
                  <w:vMerge w:val="continue"/>
                  <w:noWrap w:val="0"/>
                  <w:vAlign w:val="center"/>
                </w:tcPr>
                <w:p w14:paraId="7B601326">
                  <w:pPr>
                    <w:pStyle w:val="31"/>
                    <w:bidi w:val="0"/>
                    <w:jc w:val="center"/>
                    <w:rPr>
                      <w:rFonts w:hint="default" w:ascii="Times New Roman" w:hAnsi="Times New Roman" w:cs="Times New Roman"/>
                      <w:color w:val="000000"/>
                      <w:highlight w:val="none"/>
                      <w:vertAlign w:val="baseline"/>
                      <w:lang w:val="en-US" w:eastAsia="zh-CN"/>
                    </w:rPr>
                  </w:pPr>
                </w:p>
              </w:tc>
              <w:tc>
                <w:tcPr>
                  <w:tcW w:w="905" w:type="dxa"/>
                  <w:vMerge w:val="continue"/>
                  <w:noWrap w:val="0"/>
                  <w:vAlign w:val="center"/>
                </w:tcPr>
                <w:p w14:paraId="1AB49C7F">
                  <w:pPr>
                    <w:pStyle w:val="31"/>
                    <w:bidi w:val="0"/>
                    <w:jc w:val="center"/>
                    <w:rPr>
                      <w:rFonts w:hint="default" w:ascii="Times New Roman" w:hAnsi="Times New Roman" w:cs="Times New Roman"/>
                      <w:color w:val="000000"/>
                      <w:highlight w:val="none"/>
                      <w:vertAlign w:val="baseline"/>
                      <w:lang w:val="en-US" w:eastAsia="zh-CN"/>
                    </w:rPr>
                  </w:pPr>
                </w:p>
              </w:tc>
              <w:tc>
                <w:tcPr>
                  <w:tcW w:w="1734" w:type="dxa"/>
                  <w:noWrap w:val="0"/>
                  <w:vAlign w:val="center"/>
                </w:tcPr>
                <w:p w14:paraId="0CAF390D">
                  <w:pPr>
                    <w:pStyle w:val="31"/>
                    <w:bidi w:val="0"/>
                    <w:ind w:firstLine="0" w:firstLineChars="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1小时平均</w:t>
                  </w:r>
                </w:p>
              </w:tc>
              <w:tc>
                <w:tcPr>
                  <w:tcW w:w="1187" w:type="dxa"/>
                  <w:noWrap w:val="0"/>
                  <w:vAlign w:val="center"/>
                </w:tcPr>
                <w:p w14:paraId="0A64028F">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250</w:t>
                  </w:r>
                </w:p>
              </w:tc>
              <w:tc>
                <w:tcPr>
                  <w:tcW w:w="1147" w:type="dxa"/>
                  <w:noWrap w:val="0"/>
                  <w:vAlign w:val="center"/>
                </w:tcPr>
                <w:p w14:paraId="18469CBC">
                  <w:pPr>
                    <w:pStyle w:val="31"/>
                    <w:bidi w:val="0"/>
                    <w:jc w:val="center"/>
                    <w:rPr>
                      <w:rFonts w:hint="default" w:ascii="Times New Roman" w:hAnsi="Times New Roman" w:cs="Times New Roman"/>
                      <w:color w:val="000000"/>
                      <w:highlight w:val="none"/>
                      <w:vertAlign w:val="baseline"/>
                      <w:lang w:val="en-US" w:eastAsia="zh-CN"/>
                    </w:rPr>
                  </w:pPr>
                  <w:r>
                    <w:rPr>
                      <w:rFonts w:hint="eastAsia" w:cs="Times New Roman"/>
                      <w:color w:val="000000"/>
                      <w:highlight w:val="none"/>
                      <w:vertAlign w:val="baseline"/>
                      <w:lang w:val="en-US" w:eastAsia="zh-CN"/>
                    </w:rPr>
                    <w:t>250</w:t>
                  </w:r>
                </w:p>
              </w:tc>
              <w:tc>
                <w:tcPr>
                  <w:tcW w:w="800" w:type="dxa"/>
                  <w:vMerge w:val="continue"/>
                  <w:noWrap w:val="0"/>
                  <w:vAlign w:val="center"/>
                </w:tcPr>
                <w:p w14:paraId="5D33931D">
                  <w:pPr>
                    <w:pStyle w:val="31"/>
                    <w:bidi w:val="0"/>
                    <w:jc w:val="center"/>
                    <w:rPr>
                      <w:rFonts w:hint="default" w:ascii="Times New Roman" w:hAnsi="Times New Roman" w:cs="Times New Roman"/>
                      <w:color w:val="000000"/>
                      <w:highlight w:val="none"/>
                      <w:vertAlign w:val="baseline"/>
                      <w:lang w:val="en-US" w:eastAsia="zh-CN"/>
                    </w:rPr>
                  </w:pPr>
                </w:p>
              </w:tc>
              <w:tc>
                <w:tcPr>
                  <w:tcW w:w="1838" w:type="dxa"/>
                  <w:vMerge w:val="continue"/>
                  <w:noWrap w:val="0"/>
                  <w:vAlign w:val="center"/>
                </w:tcPr>
                <w:p w14:paraId="1A461590">
                  <w:pPr>
                    <w:pStyle w:val="31"/>
                    <w:bidi w:val="0"/>
                    <w:jc w:val="center"/>
                    <w:rPr>
                      <w:rFonts w:hint="default" w:ascii="Times New Roman" w:hAnsi="Times New Roman" w:cs="Times New Roman"/>
                      <w:color w:val="000000"/>
                      <w:highlight w:val="none"/>
                      <w:vertAlign w:val="baseline"/>
                      <w:lang w:val="en-US" w:eastAsia="zh-CN"/>
                    </w:rPr>
                  </w:pPr>
                </w:p>
              </w:tc>
            </w:tr>
            <w:tr w14:paraId="747A7C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trPr>
              <w:tc>
                <w:tcPr>
                  <w:tcW w:w="606" w:type="dxa"/>
                  <w:noWrap w:val="0"/>
                  <w:vAlign w:val="center"/>
                </w:tcPr>
                <w:p w14:paraId="50448770">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9</w:t>
                  </w:r>
                </w:p>
              </w:tc>
              <w:tc>
                <w:tcPr>
                  <w:tcW w:w="905" w:type="dxa"/>
                  <w:noWrap w:val="0"/>
                  <w:vAlign w:val="center"/>
                </w:tcPr>
                <w:p w14:paraId="1AC3AA11">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氨</w:t>
                  </w:r>
                </w:p>
              </w:tc>
              <w:tc>
                <w:tcPr>
                  <w:tcW w:w="1734" w:type="dxa"/>
                  <w:noWrap w:val="0"/>
                  <w:vAlign w:val="center"/>
                </w:tcPr>
                <w:p w14:paraId="341E14FF">
                  <w:pPr>
                    <w:pStyle w:val="31"/>
                    <w:bidi w:val="0"/>
                    <w:ind w:firstLine="0" w:firstLineChars="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1小时平均</w:t>
                  </w:r>
                </w:p>
              </w:tc>
              <w:tc>
                <w:tcPr>
                  <w:tcW w:w="2334" w:type="dxa"/>
                  <w:gridSpan w:val="2"/>
                  <w:noWrap w:val="0"/>
                  <w:vAlign w:val="center"/>
                </w:tcPr>
                <w:p w14:paraId="124841C0">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200</w:t>
                  </w:r>
                </w:p>
              </w:tc>
              <w:tc>
                <w:tcPr>
                  <w:tcW w:w="800" w:type="dxa"/>
                  <w:vMerge w:val="continue"/>
                  <w:noWrap w:val="0"/>
                  <w:vAlign w:val="center"/>
                </w:tcPr>
                <w:p w14:paraId="74C5AC7D">
                  <w:pPr>
                    <w:pStyle w:val="31"/>
                    <w:bidi w:val="0"/>
                    <w:jc w:val="center"/>
                    <w:rPr>
                      <w:rFonts w:hint="default" w:ascii="Times New Roman" w:hAnsi="Times New Roman" w:cs="Times New Roman"/>
                      <w:color w:val="000000"/>
                      <w:highlight w:val="none"/>
                      <w:vertAlign w:val="baseline"/>
                      <w:lang w:val="en-US" w:eastAsia="zh-CN"/>
                    </w:rPr>
                  </w:pPr>
                </w:p>
              </w:tc>
              <w:tc>
                <w:tcPr>
                  <w:tcW w:w="1838" w:type="dxa"/>
                  <w:vMerge w:val="restart"/>
                  <w:noWrap w:val="0"/>
                  <w:vAlign w:val="center"/>
                </w:tcPr>
                <w:p w14:paraId="2540AADC">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《环境影响评价技术导则-大气环境》（HJ 2.2-2018）附录D其他污染物空气质量浓度参考限值</w:t>
                  </w:r>
                </w:p>
              </w:tc>
            </w:tr>
            <w:tr w14:paraId="107A9C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9" w:hRule="atLeast"/>
              </w:trPr>
              <w:tc>
                <w:tcPr>
                  <w:tcW w:w="606" w:type="dxa"/>
                  <w:noWrap w:val="0"/>
                  <w:vAlign w:val="center"/>
                </w:tcPr>
                <w:p w14:paraId="2868E440">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10</w:t>
                  </w:r>
                </w:p>
              </w:tc>
              <w:tc>
                <w:tcPr>
                  <w:tcW w:w="905" w:type="dxa"/>
                  <w:noWrap w:val="0"/>
                  <w:vAlign w:val="center"/>
                </w:tcPr>
                <w:p w14:paraId="22DF991C">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硫化氢</w:t>
                  </w:r>
                </w:p>
              </w:tc>
              <w:tc>
                <w:tcPr>
                  <w:tcW w:w="1734" w:type="dxa"/>
                  <w:noWrap w:val="0"/>
                  <w:vAlign w:val="center"/>
                </w:tcPr>
                <w:p w14:paraId="1F8B4924">
                  <w:pPr>
                    <w:pStyle w:val="31"/>
                    <w:bidi w:val="0"/>
                    <w:ind w:firstLine="0" w:firstLineChars="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1小时平均</w:t>
                  </w:r>
                </w:p>
              </w:tc>
              <w:tc>
                <w:tcPr>
                  <w:tcW w:w="2334" w:type="dxa"/>
                  <w:gridSpan w:val="2"/>
                  <w:noWrap w:val="0"/>
                  <w:vAlign w:val="center"/>
                </w:tcPr>
                <w:p w14:paraId="392A893F">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10</w:t>
                  </w:r>
                </w:p>
              </w:tc>
              <w:tc>
                <w:tcPr>
                  <w:tcW w:w="800" w:type="dxa"/>
                  <w:vMerge w:val="continue"/>
                  <w:noWrap w:val="0"/>
                  <w:vAlign w:val="center"/>
                </w:tcPr>
                <w:p w14:paraId="7E76B692">
                  <w:pPr>
                    <w:pStyle w:val="31"/>
                    <w:bidi w:val="0"/>
                    <w:jc w:val="center"/>
                    <w:rPr>
                      <w:rFonts w:hint="default" w:ascii="Times New Roman" w:hAnsi="Times New Roman" w:cs="Times New Roman"/>
                      <w:color w:val="000000"/>
                      <w:highlight w:val="none"/>
                      <w:vertAlign w:val="baseline"/>
                      <w:lang w:val="en-US" w:eastAsia="zh-CN"/>
                    </w:rPr>
                  </w:pPr>
                </w:p>
              </w:tc>
              <w:tc>
                <w:tcPr>
                  <w:tcW w:w="1838" w:type="dxa"/>
                  <w:vMerge w:val="continue"/>
                  <w:noWrap w:val="0"/>
                  <w:vAlign w:val="center"/>
                </w:tcPr>
                <w:p w14:paraId="278BEE02">
                  <w:pPr>
                    <w:pStyle w:val="31"/>
                    <w:bidi w:val="0"/>
                    <w:jc w:val="center"/>
                    <w:rPr>
                      <w:rFonts w:hint="default" w:ascii="Times New Roman" w:hAnsi="Times New Roman" w:cs="Times New Roman"/>
                      <w:color w:val="000000"/>
                      <w:highlight w:val="none"/>
                      <w:vertAlign w:val="baseline"/>
                      <w:lang w:val="en-US" w:eastAsia="zh-CN"/>
                    </w:rPr>
                  </w:pPr>
                </w:p>
              </w:tc>
            </w:tr>
            <w:tr w14:paraId="6DEA0E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97" w:hRule="atLeast"/>
              </w:trPr>
              <w:tc>
                <w:tcPr>
                  <w:tcW w:w="606" w:type="dxa"/>
                  <w:noWrap w:val="0"/>
                  <w:vAlign w:val="center"/>
                </w:tcPr>
                <w:p w14:paraId="40AD2942">
                  <w:pPr>
                    <w:pStyle w:val="31"/>
                    <w:bidi w:val="0"/>
                    <w:ind w:firstLine="0" w:firstLineChars="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11</w:t>
                  </w:r>
                </w:p>
              </w:tc>
              <w:tc>
                <w:tcPr>
                  <w:tcW w:w="905" w:type="dxa"/>
                  <w:noWrap w:val="0"/>
                  <w:vAlign w:val="center"/>
                </w:tcPr>
                <w:p w14:paraId="2B756BB1">
                  <w:pPr>
                    <w:pStyle w:val="31"/>
                    <w:bidi w:val="0"/>
                    <w:ind w:firstLine="0" w:firstLineChars="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臭气浓度</w:t>
                  </w:r>
                </w:p>
              </w:tc>
              <w:tc>
                <w:tcPr>
                  <w:tcW w:w="1734" w:type="dxa"/>
                  <w:noWrap w:val="0"/>
                  <w:vAlign w:val="center"/>
                </w:tcPr>
                <w:p w14:paraId="7443C3B6">
                  <w:pPr>
                    <w:pStyle w:val="31"/>
                    <w:bidi w:val="0"/>
                    <w:ind w:firstLine="0" w:firstLineChars="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w:t>
                  </w:r>
                </w:p>
              </w:tc>
              <w:tc>
                <w:tcPr>
                  <w:tcW w:w="2334" w:type="dxa"/>
                  <w:gridSpan w:val="2"/>
                  <w:noWrap w:val="0"/>
                  <w:vAlign w:val="center"/>
                </w:tcPr>
                <w:p w14:paraId="75B5634A">
                  <w:pPr>
                    <w:pStyle w:val="31"/>
                    <w:bidi w:val="0"/>
                    <w:ind w:firstLine="0" w:firstLineChars="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20</w:t>
                  </w:r>
                </w:p>
              </w:tc>
              <w:tc>
                <w:tcPr>
                  <w:tcW w:w="800" w:type="dxa"/>
                  <w:noWrap w:val="0"/>
                  <w:vAlign w:val="center"/>
                </w:tcPr>
                <w:p w14:paraId="13E29A57">
                  <w:pPr>
                    <w:pStyle w:val="31"/>
                    <w:bidi w:val="0"/>
                    <w:ind w:firstLine="0" w:firstLineChars="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无量纲</w:t>
                  </w:r>
                </w:p>
              </w:tc>
              <w:tc>
                <w:tcPr>
                  <w:tcW w:w="1838" w:type="dxa"/>
                  <w:noWrap w:val="0"/>
                  <w:vAlign w:val="center"/>
                </w:tcPr>
                <w:p w14:paraId="78FEAF9D">
                  <w:pPr>
                    <w:pStyle w:val="31"/>
                    <w:bidi w:val="0"/>
                    <w:ind w:firstLine="0" w:firstLineChars="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《恶臭污染物排放标准》（GB14554-93）中的二级新扩改建标准</w:t>
                  </w:r>
                </w:p>
              </w:tc>
            </w:tr>
            <w:tr w14:paraId="67F38E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7" w:hRule="atLeast"/>
              </w:trPr>
              <w:tc>
                <w:tcPr>
                  <w:tcW w:w="8217" w:type="dxa"/>
                  <w:gridSpan w:val="7"/>
                  <w:noWrap w:val="0"/>
                  <w:vAlign w:val="center"/>
                </w:tcPr>
                <w:p w14:paraId="159A4065">
                  <w:pPr>
                    <w:pStyle w:val="31"/>
                    <w:bidi w:val="0"/>
                    <w:jc w:val="both"/>
                    <w:rPr>
                      <w:rFonts w:hint="eastAsia" w:cs="Times New Roman"/>
                      <w:color w:val="000000"/>
                      <w:highlight w:val="none"/>
                      <w:vertAlign w:val="baseline"/>
                      <w:lang w:val="en-US" w:eastAsia="zh-CN"/>
                    </w:rPr>
                  </w:pPr>
                  <w:r>
                    <w:rPr>
                      <w:rFonts w:hint="eastAsia" w:cs="Times New Roman"/>
                      <w:color w:val="000000"/>
                      <w:highlight w:val="none"/>
                      <w:vertAlign w:val="baseline"/>
                      <w:lang w:val="en-US" w:eastAsia="zh-CN"/>
                    </w:rPr>
                    <w:t>备注：a自</w:t>
                  </w:r>
                  <w:r>
                    <w:rPr>
                      <w:rFonts w:hint="default" w:ascii="Times New Roman" w:hAnsi="Times New Roman" w:cs="Times New Roman"/>
                      <w:color w:val="000000"/>
                      <w:highlight w:val="none"/>
                      <w:vertAlign w:val="baseline"/>
                      <w:lang w:val="en-US" w:eastAsia="zh-CN"/>
                    </w:rPr>
                    <w:t>《环境空气质量标准》（GB 3095-2026）实施之日起至2030年12月31日止，过渡阶段浓度限值为50μg/m</w:t>
                  </w:r>
                  <w:r>
                    <w:rPr>
                      <w:rFonts w:hint="default" w:ascii="Times New Roman" w:hAnsi="Times New Roman" w:cs="Times New Roman"/>
                      <w:color w:val="000000"/>
                      <w:highlight w:val="none"/>
                      <w:vertAlign w:val="superscript"/>
                      <w:lang w:val="en-US" w:eastAsia="zh-CN"/>
                    </w:rPr>
                    <w:t>3</w:t>
                  </w:r>
                  <w:r>
                    <w:rPr>
                      <w:rFonts w:hint="eastAsia" w:cs="Times New Roman"/>
                      <w:color w:val="000000"/>
                      <w:highlight w:val="none"/>
                      <w:vertAlign w:val="baseline"/>
                      <w:lang w:val="en-US" w:eastAsia="zh-CN"/>
                    </w:rPr>
                    <w:t>；</w:t>
                  </w:r>
                </w:p>
                <w:p w14:paraId="70AFED71">
                  <w:pPr>
                    <w:pStyle w:val="31"/>
                    <w:bidi w:val="0"/>
                    <w:ind w:firstLine="630" w:firstLineChars="300"/>
                    <w:jc w:val="both"/>
                    <w:rPr>
                      <w:rFonts w:hint="default" w:ascii="Times New Roman" w:hAnsi="Times New Roman" w:cs="Times New Roman"/>
                      <w:color w:val="000000"/>
                      <w:highlight w:val="none"/>
                      <w:vertAlign w:val="baseline"/>
                      <w:lang w:val="en-US" w:eastAsia="zh-CN"/>
                    </w:rPr>
                  </w:pPr>
                  <w:r>
                    <w:rPr>
                      <w:rFonts w:hint="eastAsia" w:cs="Times New Roman"/>
                      <w:color w:val="000000"/>
                      <w:highlight w:val="none"/>
                      <w:vertAlign w:val="baseline"/>
                      <w:lang w:val="en-US" w:eastAsia="zh-CN"/>
                    </w:rPr>
                    <w:t>b自</w:t>
                  </w:r>
                  <w:r>
                    <w:rPr>
                      <w:rFonts w:hint="default" w:ascii="Times New Roman" w:hAnsi="Times New Roman" w:cs="Times New Roman"/>
                      <w:color w:val="000000"/>
                      <w:highlight w:val="none"/>
                      <w:vertAlign w:val="baseline"/>
                      <w:lang w:val="en-US" w:eastAsia="zh-CN"/>
                    </w:rPr>
                    <w:t>《环境空气质量标准》（GB 3095-2026）实施之日起至2030年12月31日止，过渡阶段浓度限值为</w:t>
                  </w:r>
                  <w:r>
                    <w:rPr>
                      <w:rFonts w:hint="eastAsia" w:cs="Times New Roman"/>
                      <w:color w:val="000000"/>
                      <w:highlight w:val="none"/>
                      <w:vertAlign w:val="baseline"/>
                      <w:lang w:val="en-US" w:eastAsia="zh-CN"/>
                    </w:rPr>
                    <w:t>100</w:t>
                  </w:r>
                  <w:r>
                    <w:rPr>
                      <w:rFonts w:hint="default" w:ascii="Times New Roman" w:hAnsi="Times New Roman" w:cs="Times New Roman"/>
                      <w:color w:val="000000"/>
                      <w:highlight w:val="none"/>
                      <w:vertAlign w:val="baseline"/>
                      <w:lang w:val="en-US" w:eastAsia="zh-CN"/>
                    </w:rPr>
                    <w:t>μg/m</w:t>
                  </w:r>
                  <w:r>
                    <w:rPr>
                      <w:rFonts w:hint="default" w:ascii="Times New Roman" w:hAnsi="Times New Roman" w:cs="Times New Roman"/>
                      <w:color w:val="000000"/>
                      <w:highlight w:val="none"/>
                      <w:vertAlign w:val="superscript"/>
                      <w:lang w:val="en-US" w:eastAsia="zh-CN"/>
                    </w:rPr>
                    <w:t>3</w:t>
                  </w:r>
                  <w:r>
                    <w:rPr>
                      <w:rFonts w:hint="eastAsia" w:cs="Times New Roman"/>
                      <w:color w:val="000000"/>
                      <w:highlight w:val="none"/>
                      <w:vertAlign w:val="baseline"/>
                      <w:lang w:val="en-US" w:eastAsia="zh-CN"/>
                    </w:rPr>
                    <w:t>。</w:t>
                  </w:r>
                </w:p>
              </w:tc>
            </w:tr>
          </w:tbl>
          <w:p w14:paraId="33FEDE94">
            <w:pPr>
              <w:pStyle w:val="4"/>
              <w:bidi w:val="0"/>
              <w:rPr>
                <w:rFonts w:hint="default"/>
              </w:rPr>
            </w:pPr>
            <w:r>
              <w:rPr>
                <w:rFonts w:hint="default"/>
              </w:rPr>
              <w:t>声环境</w:t>
            </w:r>
          </w:p>
          <w:p w14:paraId="38ED2224">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rPr>
            </w:pPr>
            <w:r>
              <w:rPr>
                <w:rFonts w:hint="default" w:ascii="Times New Roman" w:hAnsi="Times New Roman" w:cs="Times New Roman"/>
                <w:color w:val="000000"/>
                <w:highlight w:val="none"/>
                <w:lang w:val="en-US" w:eastAsia="zh-CN"/>
              </w:rPr>
              <w:t>项目所在区域不在《福清市城市建成区声环境功能区划》中所划定的范围，根据《声环境质量标准》（GB3096-2008），本项目所在区域声环境质量执行2类标准，具体标准限值见</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REF _Ref30564 \h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3.1</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6</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val="en-US" w:eastAsia="zh-CN"/>
              </w:rPr>
              <w:t>。</w:t>
            </w:r>
          </w:p>
          <w:p w14:paraId="31E7E709">
            <w:pPr>
              <w:pStyle w:val="11"/>
              <w:rPr>
                <w:rFonts w:hint="default" w:ascii="Times New Roman" w:hAnsi="Times New Roman" w:cs="Times New Roman"/>
                <w:color w:val="000000"/>
                <w:highlight w:val="none"/>
                <w:lang w:val="en-US" w:eastAsia="zh-CN"/>
              </w:rPr>
            </w:pPr>
            <w:bookmarkStart w:id="183" w:name="_Ref30564"/>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3.1</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表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6</w:t>
            </w:r>
            <w:r>
              <w:rPr>
                <w:rFonts w:hint="default" w:ascii="Times New Roman" w:hAnsi="Times New Roman" w:cs="Times New Roman"/>
                <w:color w:val="000000"/>
                <w:highlight w:val="none"/>
              </w:rPr>
              <w:fldChar w:fldCharType="end"/>
            </w:r>
            <w:bookmarkEnd w:id="183"/>
            <w:r>
              <w:rPr>
                <w:rFonts w:hint="default" w:ascii="Times New Roman" w:hAnsi="Times New Roman" w:cs="Times New Roman"/>
                <w:color w:val="000000"/>
                <w:highlight w:val="none"/>
                <w:lang w:val="en-US" w:eastAsia="zh-CN"/>
              </w:rPr>
              <w:t xml:space="preserve"> 《声环境质量标准》（GB3096-2008）（摘录）</w:t>
            </w:r>
          </w:p>
          <w:tbl>
            <w:tblPr>
              <w:tblStyle w:val="22"/>
              <w:tblW w:w="821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39"/>
              <w:gridCol w:w="2740"/>
              <w:gridCol w:w="2740"/>
            </w:tblGrid>
            <w:tr w14:paraId="1BDFE6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739" w:type="dxa"/>
                  <w:vMerge w:val="restart"/>
                  <w:noWrap w:val="0"/>
                  <w:vAlign w:val="center"/>
                </w:tcPr>
                <w:p w14:paraId="5CD8D47D">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声环境功能区类别</w:t>
                  </w:r>
                </w:p>
              </w:tc>
              <w:tc>
                <w:tcPr>
                  <w:tcW w:w="5480" w:type="dxa"/>
                  <w:gridSpan w:val="2"/>
                  <w:noWrap w:val="0"/>
                  <w:vAlign w:val="center"/>
                </w:tcPr>
                <w:p w14:paraId="1ACD5887">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时段</w:t>
                  </w:r>
                </w:p>
              </w:tc>
            </w:tr>
            <w:tr w14:paraId="65138A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739" w:type="dxa"/>
                  <w:vMerge w:val="continue"/>
                  <w:noWrap w:val="0"/>
                  <w:vAlign w:val="center"/>
                </w:tcPr>
                <w:p w14:paraId="0F9A265C">
                  <w:pPr>
                    <w:pStyle w:val="31"/>
                    <w:bidi w:val="0"/>
                    <w:jc w:val="center"/>
                    <w:rPr>
                      <w:rFonts w:hint="default" w:ascii="Times New Roman" w:hAnsi="Times New Roman" w:cs="Times New Roman"/>
                      <w:b/>
                      <w:bCs/>
                      <w:color w:val="000000"/>
                      <w:highlight w:val="none"/>
                      <w:lang w:val="en-US" w:eastAsia="zh-CN"/>
                    </w:rPr>
                  </w:pPr>
                </w:p>
              </w:tc>
              <w:tc>
                <w:tcPr>
                  <w:tcW w:w="2740" w:type="dxa"/>
                  <w:noWrap w:val="0"/>
                  <w:vAlign w:val="center"/>
                </w:tcPr>
                <w:p w14:paraId="58AD6599">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昼间</w:t>
                  </w:r>
                </w:p>
              </w:tc>
              <w:tc>
                <w:tcPr>
                  <w:tcW w:w="2740" w:type="dxa"/>
                  <w:noWrap w:val="0"/>
                  <w:vAlign w:val="center"/>
                </w:tcPr>
                <w:p w14:paraId="636A9563">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夜间</w:t>
                  </w:r>
                </w:p>
              </w:tc>
            </w:tr>
            <w:tr w14:paraId="55891D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739" w:type="dxa"/>
                  <w:noWrap w:val="0"/>
                  <w:vAlign w:val="center"/>
                </w:tcPr>
                <w:p w14:paraId="26E4116B">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2类</w:t>
                  </w:r>
                </w:p>
              </w:tc>
              <w:tc>
                <w:tcPr>
                  <w:tcW w:w="2740" w:type="dxa"/>
                  <w:noWrap w:val="0"/>
                  <w:vAlign w:val="center"/>
                </w:tcPr>
                <w:p w14:paraId="30F01622">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60</w:t>
                  </w:r>
                </w:p>
              </w:tc>
              <w:tc>
                <w:tcPr>
                  <w:tcW w:w="2740" w:type="dxa"/>
                  <w:noWrap w:val="0"/>
                  <w:vAlign w:val="center"/>
                </w:tcPr>
                <w:p w14:paraId="4E391BD1">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50</w:t>
                  </w:r>
                </w:p>
              </w:tc>
            </w:tr>
          </w:tbl>
          <w:p w14:paraId="61486FFC">
            <w:pPr>
              <w:pStyle w:val="3"/>
              <w:bidi w:val="0"/>
              <w:ind w:left="567" w:leftChars="0" w:hanging="567" w:firstLineChars="0"/>
              <w:rPr>
                <w:rFonts w:hint="default"/>
              </w:rPr>
            </w:pPr>
            <w:bookmarkStart w:id="184" w:name="_Toc30256"/>
            <w:r>
              <w:rPr>
                <w:rFonts w:hint="default"/>
                <w:lang w:val="en-US" w:eastAsia="zh-CN"/>
              </w:rPr>
              <w:t>自然环境概况</w:t>
            </w:r>
            <w:bookmarkEnd w:id="184"/>
          </w:p>
          <w:p w14:paraId="0E3588A9">
            <w:pPr>
              <w:pStyle w:val="4"/>
              <w:bidi w:val="0"/>
              <w:ind w:left="567" w:leftChars="0" w:hanging="567" w:firstLineChars="0"/>
              <w:rPr>
                <w:rFonts w:hint="default"/>
              </w:rPr>
            </w:pPr>
            <w:r>
              <w:rPr>
                <w:rFonts w:hint="default"/>
                <w:lang w:val="en-US" w:eastAsia="zh-CN"/>
              </w:rPr>
              <w:t>地理位置</w:t>
            </w:r>
          </w:p>
          <w:p w14:paraId="6F593DE0">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u w:val="none"/>
                <w:lang w:val="en-US" w:eastAsia="zh-CN"/>
              </w:rPr>
            </w:pPr>
            <w:r>
              <w:rPr>
                <w:rFonts w:hint="default" w:ascii="Times New Roman" w:hAnsi="Times New Roman" w:cs="Times New Roman"/>
                <w:color w:val="000000"/>
                <w:u w:val="none"/>
                <w:lang w:val="en-US" w:eastAsia="zh-CN"/>
              </w:rPr>
              <w:t>项目所在地东瀚镇位于福清东南端（北纬25°22′58″，东经117°39′27″），西北与高山镇接壤，东与平潭仅一水之隔，南濒兴化湾。全境最高峰东京山。东瀚镇地域面积74平方公里，海岸线长71公里，可开发滩涂570公顷。东瀚镇沿岸港湾多、水深好、易停泊，是农、工、商产品对台贸易的集散地。</w:t>
            </w:r>
          </w:p>
          <w:p w14:paraId="6E291315">
            <w:pPr>
              <w:pStyle w:val="4"/>
              <w:bidi w:val="0"/>
              <w:ind w:left="567" w:leftChars="0" w:hanging="567" w:firstLineChars="0"/>
              <w:rPr>
                <w:rFonts w:hint="default"/>
                <w:lang w:val="en-US" w:eastAsia="zh-CN"/>
              </w:rPr>
            </w:pPr>
            <w:r>
              <w:rPr>
                <w:rFonts w:hint="default"/>
                <w:lang w:val="en-US" w:eastAsia="zh-CN"/>
              </w:rPr>
              <w:t>气候与气象</w:t>
            </w:r>
          </w:p>
          <w:p w14:paraId="73448D74">
            <w:pPr>
              <w:keepNext w:val="0"/>
              <w:keepLines w:val="0"/>
              <w:pageBreakBefore w:val="0"/>
              <w:kinsoku/>
              <w:wordWrap/>
              <w:overflowPunct/>
              <w:topLinePunct w:val="0"/>
              <w:autoSpaceDE/>
              <w:autoSpaceDN/>
              <w:bidi w:val="0"/>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东瀚镇为亚热带海洋性气候，季风大，气候的主要特征为：冬季温暖，夏季温热，全年温差较小。一般春夏秋冬四季分明，但温差较小，冬季相对较暖。冬季常有温暖湿润的气流，而夏季则较炎热，但不像热带地区高温难耐。</w:t>
            </w:r>
            <w:r>
              <w:rPr>
                <w:rFonts w:hint="default" w:ascii="Times New Roman" w:hAnsi="Times New Roman" w:cs="Times New Roman"/>
                <w:color w:val="000000"/>
                <w:highlight w:val="none"/>
                <w:lang w:val="en-US" w:eastAsia="zh-CN"/>
              </w:rPr>
              <w:t>参考相关的气象资料，本区域各主要气象要素如下</w:t>
            </w:r>
            <w:r>
              <w:rPr>
                <w:rFonts w:hint="default" w:ascii="Times New Roman" w:hAnsi="Times New Roman" w:cs="Times New Roman"/>
                <w:color w:val="000000"/>
                <w:highlight w:val="none"/>
              </w:rPr>
              <w:t>：</w:t>
            </w:r>
          </w:p>
          <w:p w14:paraId="5FFB232B">
            <w:pPr>
              <w:keepNext w:val="0"/>
              <w:keepLines w:val="0"/>
              <w:pageBreakBefore w:val="0"/>
              <w:kinsoku/>
              <w:wordWrap/>
              <w:overflowPunct/>
              <w:topLinePunct w:val="0"/>
              <w:autoSpaceDE/>
              <w:autoSpaceDN/>
              <w:bidi w:val="0"/>
              <w:ind w:firstLine="480" w:firstLineChars="200"/>
              <w:textAlignment w:val="auto"/>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①</w:t>
            </w:r>
            <w:r>
              <w:rPr>
                <w:rFonts w:hint="default" w:ascii="Times New Roman" w:hAnsi="Times New Roman" w:cs="Times New Roman"/>
                <w:color w:val="000000"/>
                <w:highlight w:val="none"/>
              </w:rPr>
              <w:t>气温：</w:t>
            </w:r>
            <w:r>
              <w:rPr>
                <w:rFonts w:hint="default" w:ascii="Times New Roman" w:hAnsi="Times New Roman" w:cs="Times New Roman"/>
                <w:color w:val="000000"/>
                <w:highlight w:val="none"/>
                <w:lang w:val="en-US" w:eastAsia="zh-CN"/>
              </w:rPr>
              <w:t>本地区属亚热带海洋性气候，年平均气温19.6℃，最热月7月或8月平均气温27.9℃，最低月1月或2月平均气温10.4℃，极端最高气温39.4℃，极端最低气温-0.6℃，气温日变化呈峰谷型，日最高气温出现在午后，日最低气温出现在清晨。</w:t>
            </w:r>
          </w:p>
          <w:p w14:paraId="2F6B862E">
            <w:pPr>
              <w:keepNext w:val="0"/>
              <w:keepLines w:val="0"/>
              <w:pageBreakBefore w:val="0"/>
              <w:kinsoku/>
              <w:wordWrap/>
              <w:overflowPunct/>
              <w:topLinePunct w:val="0"/>
              <w:autoSpaceDE/>
              <w:autoSpaceDN/>
              <w:bidi w:val="0"/>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②</w:t>
            </w:r>
            <w:r>
              <w:rPr>
                <w:rFonts w:hint="default" w:ascii="Times New Roman" w:hAnsi="Times New Roman" w:cs="Times New Roman"/>
                <w:color w:val="000000"/>
                <w:highlight w:val="none"/>
              </w:rPr>
              <w:t>降水：多年平均降水量为1192.6mm。最多为1739.9mm，最少为818.3mm。全年降水量主要集中在3～7月，约占全年总降水量的63%，其中6月份降水量约占全年 18%。月最大降水量为553.4mm，日最大降水量为217.3mm。过程最大降水量为426.9mm。多年平均降水日数为120天，中雨及其以上量级的降水日数主要集中在4-6月份，而大暴雨及特大暴雨日均出现在6～9月的台风季节。</w:t>
            </w:r>
          </w:p>
          <w:p w14:paraId="5B9CC4A4">
            <w:pPr>
              <w:keepNext w:val="0"/>
              <w:keepLines w:val="0"/>
              <w:pageBreakBefore w:val="0"/>
              <w:kinsoku/>
              <w:wordWrap/>
              <w:overflowPunct/>
              <w:topLinePunct w:val="0"/>
              <w:autoSpaceDE/>
              <w:autoSpaceDN/>
              <w:bidi w:val="0"/>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③</w:t>
            </w:r>
            <w:r>
              <w:rPr>
                <w:rFonts w:hint="default" w:ascii="Times New Roman" w:hAnsi="Times New Roman" w:cs="Times New Roman"/>
                <w:color w:val="000000"/>
                <w:highlight w:val="none"/>
              </w:rPr>
              <w:t>风况：根据平潭站多年气象统计数据，累年静风频率达1.0%，年主导风向为NNE和NE向，风频分别为27.4%和13%，风频之和为40.4%。主导风向统计结果与多年气象资料统计结果相同。从各代表月资料来看，春、秋、冬季风向NNE及NE为主，夏季受西南季风影响，SSW向出现频率最高，频率为23.2%。</w:t>
            </w:r>
          </w:p>
          <w:p w14:paraId="39ED2F07">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ascii="Times New Roman" w:hAnsi="Times New Roman" w:cs="Times New Roman"/>
                <w:b w:val="0"/>
                <w:bCs w:val="0"/>
                <w:color w:val="000000"/>
                <w:highlight w:val="none"/>
                <w:lang w:val="en-US" w:eastAsia="zh-CN"/>
              </w:rPr>
            </w:pPr>
            <w:r>
              <w:rPr>
                <w:rFonts w:hint="default" w:ascii="Times New Roman" w:hAnsi="Times New Roman" w:cs="Times New Roman"/>
                <w:color w:val="000000"/>
                <w:highlight w:val="none"/>
              </w:rPr>
              <w:t>年平均风速3.7m/s。风频出</w:t>
            </w:r>
            <w:r>
              <w:rPr>
                <w:rFonts w:hint="default" w:ascii="Times New Roman" w:hAnsi="Times New Roman" w:cs="Times New Roman"/>
                <w:color w:val="000000"/>
                <w:highlight w:val="none"/>
                <w:lang w:eastAsia="zh-CN"/>
              </w:rPr>
              <w:t>现最</w:t>
            </w:r>
            <w:r>
              <w:rPr>
                <w:rFonts w:hint="default" w:ascii="Times New Roman" w:hAnsi="Times New Roman" w:cs="Times New Roman"/>
                <w:color w:val="000000"/>
                <w:highlight w:val="none"/>
              </w:rPr>
              <w:t>高的风向，风速也相应是最大的。如NNE向年均风速4.8m/s，NE向年均风速4.6m/s</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风玫瑰图见</w:t>
            </w:r>
            <w:r>
              <w:rPr>
                <w:rFonts w:hint="default" w:ascii="Times New Roman" w:hAnsi="Times New Roman" w:cs="Times New Roman"/>
                <w:b w:val="0"/>
                <w:bCs w:val="0"/>
                <w:color w:val="000000"/>
                <w:highlight w:val="none"/>
                <w:lang w:val="en-US" w:eastAsia="zh-CN"/>
              </w:rPr>
              <w:fldChar w:fldCharType="begin"/>
            </w:r>
            <w:r>
              <w:rPr>
                <w:rFonts w:hint="default" w:ascii="Times New Roman" w:hAnsi="Times New Roman" w:cs="Times New Roman"/>
                <w:b w:val="0"/>
                <w:bCs w:val="0"/>
                <w:color w:val="000000"/>
                <w:highlight w:val="none"/>
                <w:lang w:val="en-US" w:eastAsia="zh-CN"/>
              </w:rPr>
              <w:instrText xml:space="preserve"> REF _Ref12583 \h </w:instrText>
            </w:r>
            <w:r>
              <w:rPr>
                <w:rFonts w:hint="default" w:ascii="Times New Roman" w:hAnsi="Times New Roman" w:cs="Times New Roman"/>
                <w:b w:val="0"/>
                <w:bCs w:val="0"/>
                <w:color w:val="000000"/>
                <w:highlight w:val="none"/>
                <w:lang w:val="en-US" w:eastAsia="zh-CN"/>
              </w:rPr>
              <w:fldChar w:fldCharType="separate"/>
            </w:r>
            <w:r>
              <w:rPr>
                <w:rFonts w:hint="default" w:ascii="Times New Roman" w:hAnsi="Times New Roman" w:eastAsia="宋体" w:cs="Times New Roman"/>
                <w:b/>
                <w:color w:val="000000"/>
                <w:kern w:val="2"/>
                <w:sz w:val="24"/>
                <w:szCs w:val="24"/>
                <w:highlight w:val="none"/>
                <w:lang w:val="en-US" w:eastAsia="zh-CN" w:bidi="ar-SA"/>
              </w:rPr>
              <w:t>图</w:t>
            </w:r>
            <w:r>
              <w:rPr>
                <w:rFonts w:hint="default" w:ascii="Times New Roman" w:hAnsi="Times New Roman" w:eastAsia="宋体" w:cs="Times New Roman"/>
                <w:b/>
                <w:color w:val="000000"/>
                <w:kern w:val="2"/>
                <w:sz w:val="24"/>
                <w:szCs w:val="24"/>
                <w:highlight w:val="none"/>
                <w:lang w:val="en-US" w:eastAsia="zh-CN" w:bidi="ar-SA"/>
              </w:rPr>
              <w:fldChar w:fldCharType="begin"/>
            </w:r>
            <w:r>
              <w:rPr>
                <w:rFonts w:hint="default" w:ascii="Times New Roman" w:hAnsi="Times New Roman" w:eastAsia="宋体" w:cs="Times New Roman"/>
                <w:b/>
                <w:color w:val="000000"/>
                <w:kern w:val="2"/>
                <w:sz w:val="24"/>
                <w:szCs w:val="24"/>
                <w:highlight w:val="none"/>
                <w:lang w:val="en-US" w:eastAsia="zh-CN" w:bidi="ar-SA"/>
              </w:rPr>
              <w:instrText xml:space="preserve"> STYLEREF 2 \s </w:instrText>
            </w:r>
            <w:r>
              <w:rPr>
                <w:rFonts w:hint="default" w:ascii="Times New Roman" w:hAnsi="Times New Roman" w:eastAsia="宋体" w:cs="Times New Roman"/>
                <w:b/>
                <w:color w:val="000000"/>
                <w:kern w:val="2"/>
                <w:sz w:val="24"/>
                <w:szCs w:val="24"/>
                <w:highlight w:val="none"/>
                <w:lang w:val="en-US" w:eastAsia="zh-CN" w:bidi="ar-SA"/>
              </w:rPr>
              <w:fldChar w:fldCharType="separate"/>
            </w:r>
            <w:r>
              <w:rPr>
                <w:rFonts w:hint="default" w:ascii="Times New Roman" w:hAnsi="Times New Roman" w:eastAsia="宋体" w:cs="Times New Roman"/>
                <w:b/>
                <w:color w:val="000000"/>
                <w:kern w:val="2"/>
                <w:sz w:val="24"/>
                <w:szCs w:val="24"/>
                <w:highlight w:val="none"/>
                <w:lang w:val="en-US" w:eastAsia="zh-CN" w:bidi="ar-SA"/>
              </w:rPr>
              <w:t>3.2</w:t>
            </w:r>
            <w:r>
              <w:rPr>
                <w:rFonts w:hint="default" w:ascii="Times New Roman" w:hAnsi="Times New Roman" w:eastAsia="宋体" w:cs="Times New Roman"/>
                <w:b/>
                <w:color w:val="000000"/>
                <w:kern w:val="2"/>
                <w:sz w:val="24"/>
                <w:szCs w:val="24"/>
                <w:highlight w:val="none"/>
                <w:lang w:val="en-US" w:eastAsia="zh-CN" w:bidi="ar-SA"/>
              </w:rPr>
              <w:fldChar w:fldCharType="end"/>
            </w:r>
            <w:r>
              <w:rPr>
                <w:rFonts w:hint="default" w:ascii="Times New Roman" w:hAnsi="Times New Roman" w:eastAsia="宋体" w:cs="Times New Roman"/>
                <w:b/>
                <w:color w:val="000000"/>
                <w:kern w:val="2"/>
                <w:sz w:val="24"/>
                <w:szCs w:val="24"/>
                <w:highlight w:val="none"/>
                <w:lang w:val="en-US" w:eastAsia="zh-CN" w:bidi="ar-SA"/>
              </w:rPr>
              <w:t>-1</w:t>
            </w:r>
            <w:r>
              <w:rPr>
                <w:rFonts w:hint="default" w:ascii="Times New Roman" w:hAnsi="Times New Roman" w:cs="Times New Roman"/>
                <w:b w:val="0"/>
                <w:bCs w:val="0"/>
                <w:color w:val="000000"/>
                <w:highlight w:val="none"/>
                <w:lang w:val="en-US" w:eastAsia="zh-CN"/>
              </w:rPr>
              <w:fldChar w:fldCharType="end"/>
            </w:r>
            <w:r>
              <w:rPr>
                <w:rFonts w:hint="eastAsia" w:ascii="Times New Roman" w:hAnsi="Times New Roman" w:cs="Times New Roman"/>
                <w:b w:val="0"/>
                <w:bCs w:val="0"/>
                <w:color w:val="000000"/>
                <w:highlight w:val="none"/>
                <w:lang w:val="en-US" w:eastAsia="zh-CN"/>
              </w:rPr>
              <w:t>。</w:t>
            </w:r>
          </w:p>
          <w:p w14:paraId="39F4FF1B">
            <w:pPr>
              <w:pStyle w:val="31"/>
              <w:keepNext w:val="0"/>
              <w:keepLines w:val="0"/>
              <w:pageBreakBefore w:val="0"/>
              <w:kinsoku/>
              <w:wordWrap/>
              <w:overflowPunct/>
              <w:topLinePunct w:val="0"/>
              <w:autoSpaceDE/>
              <w:autoSpaceDN/>
              <w:bidi w:val="0"/>
              <w:ind w:firstLine="42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drawing>
                <wp:inline distT="0" distB="0" distL="114300" distR="114300">
                  <wp:extent cx="2781300" cy="2879725"/>
                  <wp:effectExtent l="0" t="0" r="0" b="15875"/>
                  <wp:docPr id="192" name="图片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982"/>
                          <pic:cNvPicPr>
                            <a:picLocks noChangeAspect="1"/>
                          </pic:cNvPicPr>
                        </pic:nvPicPr>
                        <pic:blipFill>
                          <a:blip r:embed="rId18"/>
                          <a:stretch>
                            <a:fillRect/>
                          </a:stretch>
                        </pic:blipFill>
                        <pic:spPr>
                          <a:xfrm>
                            <a:off x="0" y="0"/>
                            <a:ext cx="2781300" cy="2879725"/>
                          </a:xfrm>
                          <a:prstGeom prst="rect">
                            <a:avLst/>
                          </a:prstGeom>
                          <a:noFill/>
                          <a:ln>
                            <a:noFill/>
                          </a:ln>
                        </pic:spPr>
                      </pic:pic>
                    </a:graphicData>
                  </a:graphic>
                </wp:inline>
              </w:drawing>
            </w:r>
          </w:p>
          <w:p w14:paraId="40E69DB3">
            <w:pPr>
              <w:keepNext w:val="0"/>
              <w:keepLines w:val="0"/>
              <w:pageBreakBefore w:val="0"/>
              <w:widowControl/>
              <w:kinsoku/>
              <w:wordWrap/>
              <w:overflowPunct/>
              <w:topLinePunct w:val="0"/>
              <w:autoSpaceDE/>
              <w:autoSpaceDN/>
              <w:bidi w:val="0"/>
              <w:spacing w:line="240" w:lineRule="auto"/>
              <w:ind w:firstLine="482" w:firstLineChars="200"/>
              <w:jc w:val="center"/>
              <w:textAlignment w:val="auto"/>
              <w:rPr>
                <w:rFonts w:hint="default" w:ascii="Times New Roman" w:hAnsi="Times New Roman" w:eastAsia="宋体" w:cs="Times New Roman"/>
                <w:b/>
                <w:color w:val="000000"/>
                <w:kern w:val="0"/>
                <w:sz w:val="26"/>
                <w:szCs w:val="26"/>
                <w:highlight w:val="none"/>
                <w:lang w:val="en-US" w:eastAsia="zh-CN" w:bidi="ar"/>
              </w:rPr>
            </w:pPr>
            <w:bookmarkStart w:id="185" w:name="_Ref12583"/>
            <w:r>
              <w:rPr>
                <w:rFonts w:hint="default" w:ascii="Times New Roman" w:hAnsi="Times New Roman" w:eastAsia="宋体" w:cs="Times New Roman"/>
                <w:b/>
                <w:color w:val="000000"/>
                <w:kern w:val="2"/>
                <w:sz w:val="24"/>
                <w:szCs w:val="24"/>
                <w:highlight w:val="none"/>
                <w:lang w:val="en-US" w:eastAsia="zh-CN" w:bidi="ar-SA"/>
              </w:rPr>
              <w:t>图</w:t>
            </w:r>
            <w:r>
              <w:rPr>
                <w:rFonts w:hint="default" w:ascii="Times New Roman" w:hAnsi="Times New Roman" w:eastAsia="宋体" w:cs="Times New Roman"/>
                <w:b/>
                <w:color w:val="000000"/>
                <w:kern w:val="2"/>
                <w:sz w:val="24"/>
                <w:szCs w:val="24"/>
                <w:highlight w:val="none"/>
                <w:lang w:val="en-US" w:eastAsia="zh-CN" w:bidi="ar-SA"/>
              </w:rPr>
              <w:fldChar w:fldCharType="begin"/>
            </w:r>
            <w:r>
              <w:rPr>
                <w:rFonts w:hint="default" w:ascii="Times New Roman" w:hAnsi="Times New Roman" w:eastAsia="宋体" w:cs="Times New Roman"/>
                <w:b/>
                <w:color w:val="000000"/>
                <w:kern w:val="2"/>
                <w:sz w:val="24"/>
                <w:szCs w:val="24"/>
                <w:highlight w:val="none"/>
                <w:lang w:val="en-US" w:eastAsia="zh-CN" w:bidi="ar-SA"/>
              </w:rPr>
              <w:instrText xml:space="preserve"> STYLEREF 2 \s </w:instrText>
            </w:r>
            <w:r>
              <w:rPr>
                <w:rFonts w:hint="default" w:ascii="Times New Roman" w:hAnsi="Times New Roman" w:eastAsia="宋体" w:cs="Times New Roman"/>
                <w:b/>
                <w:color w:val="000000"/>
                <w:kern w:val="2"/>
                <w:sz w:val="24"/>
                <w:szCs w:val="24"/>
                <w:highlight w:val="none"/>
                <w:lang w:val="en-US" w:eastAsia="zh-CN" w:bidi="ar-SA"/>
              </w:rPr>
              <w:fldChar w:fldCharType="separate"/>
            </w:r>
            <w:r>
              <w:rPr>
                <w:rFonts w:hint="default" w:ascii="Times New Roman" w:hAnsi="Times New Roman" w:eastAsia="宋体" w:cs="Times New Roman"/>
                <w:b/>
                <w:color w:val="000000"/>
                <w:kern w:val="2"/>
                <w:sz w:val="24"/>
                <w:szCs w:val="24"/>
                <w:highlight w:val="none"/>
                <w:lang w:val="en-US" w:eastAsia="zh-CN" w:bidi="ar-SA"/>
              </w:rPr>
              <w:t>3.2</w:t>
            </w:r>
            <w:r>
              <w:rPr>
                <w:rFonts w:hint="default" w:ascii="Times New Roman" w:hAnsi="Times New Roman" w:eastAsia="宋体" w:cs="Times New Roman"/>
                <w:b/>
                <w:color w:val="000000"/>
                <w:kern w:val="2"/>
                <w:sz w:val="24"/>
                <w:szCs w:val="24"/>
                <w:highlight w:val="none"/>
                <w:lang w:val="en-US" w:eastAsia="zh-CN" w:bidi="ar-SA"/>
              </w:rPr>
              <w:fldChar w:fldCharType="end"/>
            </w:r>
            <w:r>
              <w:rPr>
                <w:rFonts w:hint="default" w:ascii="Times New Roman" w:hAnsi="Times New Roman" w:eastAsia="宋体" w:cs="Times New Roman"/>
                <w:b/>
                <w:color w:val="000000"/>
                <w:kern w:val="2"/>
                <w:sz w:val="24"/>
                <w:szCs w:val="24"/>
                <w:highlight w:val="none"/>
                <w:lang w:val="en-US" w:eastAsia="zh-CN" w:bidi="ar-SA"/>
              </w:rPr>
              <w:t>-</w:t>
            </w:r>
            <w:r>
              <w:rPr>
                <w:rFonts w:hint="default" w:ascii="Times New Roman" w:hAnsi="Times New Roman" w:eastAsia="宋体" w:cs="Times New Roman"/>
                <w:b/>
                <w:color w:val="000000"/>
                <w:kern w:val="2"/>
                <w:sz w:val="24"/>
                <w:szCs w:val="24"/>
                <w:highlight w:val="none"/>
                <w:lang w:val="en-US" w:eastAsia="zh-CN" w:bidi="ar-SA"/>
              </w:rPr>
              <w:fldChar w:fldCharType="begin"/>
            </w:r>
            <w:r>
              <w:rPr>
                <w:rFonts w:hint="default" w:ascii="Times New Roman" w:hAnsi="Times New Roman" w:eastAsia="宋体" w:cs="Times New Roman"/>
                <w:b/>
                <w:color w:val="000000"/>
                <w:kern w:val="2"/>
                <w:sz w:val="24"/>
                <w:szCs w:val="24"/>
                <w:highlight w:val="none"/>
                <w:lang w:val="en-US" w:eastAsia="zh-CN" w:bidi="ar-SA"/>
              </w:rPr>
              <w:instrText xml:space="preserve"> SEQ 图 \* ARABIC \s 2 </w:instrText>
            </w:r>
            <w:r>
              <w:rPr>
                <w:rFonts w:hint="default" w:ascii="Times New Roman" w:hAnsi="Times New Roman" w:eastAsia="宋体" w:cs="Times New Roman"/>
                <w:b/>
                <w:color w:val="000000"/>
                <w:kern w:val="2"/>
                <w:sz w:val="24"/>
                <w:szCs w:val="24"/>
                <w:highlight w:val="none"/>
                <w:lang w:val="en-US" w:eastAsia="zh-CN" w:bidi="ar-SA"/>
              </w:rPr>
              <w:fldChar w:fldCharType="separate"/>
            </w:r>
            <w:r>
              <w:rPr>
                <w:rFonts w:hint="default" w:ascii="Times New Roman" w:hAnsi="Times New Roman" w:eastAsia="宋体" w:cs="Times New Roman"/>
                <w:b/>
                <w:color w:val="000000"/>
                <w:kern w:val="2"/>
                <w:sz w:val="24"/>
                <w:szCs w:val="24"/>
                <w:highlight w:val="none"/>
                <w:lang w:val="en-US" w:eastAsia="zh-CN" w:bidi="ar-SA"/>
              </w:rPr>
              <w:t>1</w:t>
            </w:r>
            <w:r>
              <w:rPr>
                <w:rFonts w:hint="default" w:ascii="Times New Roman" w:hAnsi="Times New Roman" w:eastAsia="宋体" w:cs="Times New Roman"/>
                <w:b/>
                <w:color w:val="000000"/>
                <w:kern w:val="2"/>
                <w:sz w:val="24"/>
                <w:szCs w:val="24"/>
                <w:highlight w:val="none"/>
                <w:lang w:val="en-US" w:eastAsia="zh-CN" w:bidi="ar-SA"/>
              </w:rPr>
              <w:fldChar w:fldCharType="end"/>
            </w:r>
            <w:bookmarkEnd w:id="185"/>
            <w:r>
              <w:rPr>
                <w:rFonts w:hint="default" w:ascii="Times New Roman" w:hAnsi="Times New Roman" w:cs="Times New Roman"/>
                <w:b/>
                <w:color w:val="000000"/>
                <w:kern w:val="2"/>
                <w:sz w:val="24"/>
                <w:szCs w:val="24"/>
                <w:highlight w:val="none"/>
                <w:lang w:val="en-US" w:eastAsia="zh-CN" w:bidi="ar-SA"/>
              </w:rPr>
              <w:t xml:space="preserve"> 风玫瑰图</w:t>
            </w:r>
          </w:p>
          <w:p w14:paraId="063F937E">
            <w:pPr>
              <w:keepNext w:val="0"/>
              <w:keepLines w:val="0"/>
              <w:pageBreakBefore w:val="0"/>
              <w:kinsoku/>
              <w:wordWrap/>
              <w:overflowPunct/>
              <w:topLinePunct w:val="0"/>
              <w:autoSpaceDE/>
              <w:autoSpaceDN/>
              <w:bidi w:val="0"/>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④</w:t>
            </w:r>
            <w:r>
              <w:rPr>
                <w:rFonts w:hint="default" w:ascii="Times New Roman" w:hAnsi="Times New Roman" w:cs="Times New Roman"/>
                <w:color w:val="000000"/>
                <w:highlight w:val="none"/>
              </w:rPr>
              <w:t>雾：多年年平均相对湿度为84%，年平均相对湿度最大值为87%，出现于1990年，年平均相对湿度最小值为82%，出现三年。多年月平均相对湿度最大值为92%，出现在6月份，最小值为76%，出现在12月份。历年最小相对湿度为16%，出现在1987年1月13日。</w:t>
            </w:r>
          </w:p>
          <w:p w14:paraId="5C61E941">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⑤</w:t>
            </w:r>
            <w:r>
              <w:rPr>
                <w:rFonts w:hint="default" w:ascii="Times New Roman" w:hAnsi="Times New Roman" w:cs="Times New Roman"/>
                <w:color w:val="000000"/>
                <w:highlight w:val="none"/>
              </w:rPr>
              <w:t>相对湿度：多年年平均相对湿度为84%，年平均相对湿度最大值为87%，出现于1990年，年平均相对湿度最小值为82%，出现三年。多年月平均相对湿度最大值为92%，出现在6月份，最小值为76%，出现在12月份。历年最小相对湿度为16%，出现在1987年1月13日。</w:t>
            </w:r>
          </w:p>
          <w:p w14:paraId="17EA8289">
            <w:pPr>
              <w:pStyle w:val="4"/>
              <w:bidi w:val="0"/>
              <w:ind w:left="567" w:leftChars="0" w:hanging="567" w:firstLineChars="0"/>
              <w:rPr>
                <w:rFonts w:hint="default"/>
              </w:rPr>
            </w:pPr>
            <w:r>
              <w:rPr>
                <w:rFonts w:hint="default"/>
              </w:rPr>
              <w:t>水文概况</w:t>
            </w:r>
          </w:p>
          <w:p w14:paraId="4F4013AC">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eastAsia"/>
                <w:lang w:eastAsia="zh-CN"/>
              </w:rPr>
              <w:t>（</w:t>
            </w:r>
            <w:r>
              <w:rPr>
                <w:rFonts w:hint="eastAsia"/>
                <w:lang w:val="en-US" w:eastAsia="zh-CN"/>
              </w:rPr>
              <w:t>涉密删除</w:t>
            </w:r>
            <w:r>
              <w:rPr>
                <w:rFonts w:hint="eastAsia"/>
                <w:lang w:eastAsia="zh-CN"/>
              </w:rPr>
              <w:t>）</w:t>
            </w:r>
          </w:p>
          <w:p w14:paraId="1A95C92A">
            <w:pPr>
              <w:pStyle w:val="4"/>
              <w:bidi w:val="0"/>
              <w:ind w:left="567" w:leftChars="0" w:hanging="567" w:firstLineChars="0"/>
              <w:rPr>
                <w:rFonts w:hint="default"/>
              </w:rPr>
            </w:pPr>
            <w:r>
              <w:rPr>
                <w:rFonts w:hint="eastAsia"/>
                <w:lang w:val="en-US" w:eastAsia="zh-CN"/>
              </w:rPr>
              <w:t>自然灾害</w:t>
            </w:r>
          </w:p>
          <w:p w14:paraId="65F5001F">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eastAsia"/>
                <w:lang w:eastAsia="zh-CN"/>
              </w:rPr>
              <w:t>（</w:t>
            </w:r>
            <w:r>
              <w:rPr>
                <w:rFonts w:hint="eastAsia"/>
                <w:lang w:val="en-US" w:eastAsia="zh-CN"/>
              </w:rPr>
              <w:t>涉密删除</w:t>
            </w:r>
            <w:r>
              <w:rPr>
                <w:rFonts w:hint="eastAsia"/>
                <w:lang w:eastAsia="zh-CN"/>
              </w:rPr>
              <w:t>）</w:t>
            </w:r>
          </w:p>
          <w:p w14:paraId="6E434700">
            <w:pPr>
              <w:pStyle w:val="3"/>
              <w:bidi w:val="0"/>
              <w:ind w:left="567" w:leftChars="0" w:hanging="567" w:firstLineChars="0"/>
              <w:rPr>
                <w:rFonts w:hint="default"/>
              </w:rPr>
            </w:pPr>
            <w:bookmarkStart w:id="186" w:name="_Toc16729"/>
            <w:r>
              <w:rPr>
                <w:rFonts w:hint="default"/>
              </w:rPr>
              <w:t>自然资源概况</w:t>
            </w:r>
            <w:bookmarkEnd w:id="186"/>
          </w:p>
          <w:p w14:paraId="50ED4C51">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eastAsia"/>
                <w:lang w:eastAsia="zh-CN"/>
              </w:rPr>
              <w:t>（</w:t>
            </w:r>
            <w:r>
              <w:rPr>
                <w:rFonts w:hint="eastAsia"/>
                <w:lang w:val="en-US" w:eastAsia="zh-CN"/>
              </w:rPr>
              <w:t>涉密删除</w:t>
            </w:r>
            <w:r>
              <w:rPr>
                <w:rFonts w:hint="eastAsia"/>
                <w:lang w:eastAsia="zh-CN"/>
              </w:rPr>
              <w:t>）</w:t>
            </w:r>
          </w:p>
          <w:p w14:paraId="148F2762">
            <w:pPr>
              <w:pStyle w:val="3"/>
              <w:bidi w:val="0"/>
              <w:ind w:left="567" w:leftChars="0" w:hanging="567" w:firstLineChars="0"/>
              <w:rPr>
                <w:rFonts w:hint="default"/>
                <w:lang w:val="en-US" w:eastAsia="zh-CN"/>
              </w:rPr>
            </w:pPr>
            <w:bookmarkStart w:id="187" w:name="_Toc16545"/>
            <w:r>
              <w:rPr>
                <w:rFonts w:hint="default"/>
                <w:lang w:val="en-US" w:eastAsia="zh-CN"/>
              </w:rPr>
              <w:t>地形地貌与冲淤环境现状</w:t>
            </w:r>
            <w:bookmarkEnd w:id="187"/>
          </w:p>
          <w:p w14:paraId="71765D9C">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eastAsia"/>
                <w:lang w:eastAsia="zh-CN"/>
              </w:rPr>
              <w:t>（</w:t>
            </w:r>
            <w:r>
              <w:rPr>
                <w:rFonts w:hint="eastAsia"/>
                <w:lang w:val="en-US" w:eastAsia="zh-CN"/>
              </w:rPr>
              <w:t>涉密删除</w:t>
            </w:r>
            <w:r>
              <w:rPr>
                <w:rFonts w:hint="eastAsia"/>
                <w:lang w:eastAsia="zh-CN"/>
              </w:rPr>
              <w:t>）</w:t>
            </w:r>
          </w:p>
          <w:p w14:paraId="2CA5BFC0">
            <w:pPr>
              <w:pStyle w:val="3"/>
              <w:bidi w:val="0"/>
              <w:rPr>
                <w:rFonts w:hint="default"/>
                <w:lang w:val="en-US" w:eastAsia="zh-CN"/>
              </w:rPr>
            </w:pPr>
            <w:bookmarkStart w:id="188" w:name="_Toc17717"/>
            <w:r>
              <w:rPr>
                <w:rFonts w:hint="default"/>
                <w:lang w:val="en-US" w:eastAsia="zh-CN"/>
              </w:rPr>
              <w:t>水文动力环境现状调查与评价</w:t>
            </w:r>
            <w:bookmarkEnd w:id="188"/>
          </w:p>
          <w:p w14:paraId="1CCDE9CA">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u w:val="none"/>
                <w:lang w:val="en-US" w:eastAsia="zh-CN"/>
              </w:rPr>
            </w:pPr>
            <w:r>
              <w:rPr>
                <w:rFonts w:hint="eastAsia"/>
                <w:lang w:eastAsia="zh-CN"/>
              </w:rPr>
              <w:t>（</w:t>
            </w:r>
            <w:r>
              <w:rPr>
                <w:rFonts w:hint="eastAsia"/>
                <w:lang w:val="en-US" w:eastAsia="zh-CN"/>
              </w:rPr>
              <w:t>涉密删除</w:t>
            </w:r>
            <w:r>
              <w:rPr>
                <w:rFonts w:hint="eastAsia"/>
                <w:lang w:eastAsia="zh-CN"/>
              </w:rPr>
              <w:t>）</w:t>
            </w:r>
          </w:p>
          <w:p w14:paraId="7F6347E6">
            <w:pPr>
              <w:pStyle w:val="3"/>
              <w:bidi w:val="0"/>
              <w:rPr>
                <w:rFonts w:hint="default"/>
                <w:lang w:val="en-US" w:eastAsia="zh-CN"/>
              </w:rPr>
            </w:pPr>
            <w:r>
              <w:rPr>
                <w:rFonts w:hint="default"/>
                <w:lang w:val="en-US" w:eastAsia="zh-CN"/>
              </w:rPr>
              <w:t>海水水质现状调查与评价</w:t>
            </w:r>
          </w:p>
          <w:p w14:paraId="3C77AC99">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u w:val="none"/>
                <w:lang w:val="en-US" w:eastAsia="zh-CN"/>
              </w:rPr>
            </w:pPr>
            <w:r>
              <w:rPr>
                <w:rFonts w:hint="eastAsia"/>
                <w:lang w:eastAsia="zh-CN"/>
              </w:rPr>
              <w:t>（</w:t>
            </w:r>
            <w:r>
              <w:rPr>
                <w:rFonts w:hint="eastAsia"/>
                <w:lang w:val="en-US" w:eastAsia="zh-CN"/>
              </w:rPr>
              <w:t>涉密删除</w:t>
            </w:r>
            <w:r>
              <w:rPr>
                <w:rFonts w:hint="eastAsia"/>
                <w:lang w:eastAsia="zh-CN"/>
              </w:rPr>
              <w:t>）</w:t>
            </w:r>
          </w:p>
          <w:p w14:paraId="579674C2">
            <w:pPr>
              <w:pStyle w:val="3"/>
              <w:bidi w:val="0"/>
              <w:rPr>
                <w:rFonts w:hint="default"/>
                <w:lang w:val="en-US" w:eastAsia="zh-CN"/>
              </w:rPr>
            </w:pPr>
            <w:bookmarkStart w:id="189" w:name="_Toc15972"/>
            <w:r>
              <w:rPr>
                <w:rFonts w:hint="default"/>
                <w:lang w:val="en-US" w:eastAsia="zh-CN"/>
              </w:rPr>
              <w:t>海洋沉积物质量调查与评价</w:t>
            </w:r>
            <w:bookmarkEnd w:id="189"/>
          </w:p>
          <w:p w14:paraId="77AED433">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u w:val="none"/>
                <w:lang w:val="en-US" w:eastAsia="zh-CN"/>
              </w:rPr>
            </w:pPr>
            <w:r>
              <w:rPr>
                <w:rFonts w:hint="eastAsia"/>
                <w:lang w:eastAsia="zh-CN"/>
              </w:rPr>
              <w:t>（</w:t>
            </w:r>
            <w:r>
              <w:rPr>
                <w:rFonts w:hint="eastAsia"/>
                <w:lang w:val="en-US" w:eastAsia="zh-CN"/>
              </w:rPr>
              <w:t>涉密删除</w:t>
            </w:r>
            <w:r>
              <w:rPr>
                <w:rFonts w:hint="eastAsia"/>
                <w:lang w:eastAsia="zh-CN"/>
              </w:rPr>
              <w:t>）</w:t>
            </w:r>
          </w:p>
          <w:p w14:paraId="3E9007DB">
            <w:pPr>
              <w:pStyle w:val="3"/>
              <w:bidi w:val="0"/>
              <w:rPr>
                <w:rFonts w:hint="default"/>
                <w:lang w:val="en-US" w:eastAsia="zh-CN"/>
              </w:rPr>
            </w:pPr>
            <w:bookmarkStart w:id="190" w:name="_Toc22154"/>
            <w:r>
              <w:rPr>
                <w:rFonts w:hint="default"/>
                <w:lang w:val="en-US" w:eastAsia="zh-CN"/>
              </w:rPr>
              <w:t>海洋生物质量调查与评价</w:t>
            </w:r>
            <w:bookmarkEnd w:id="190"/>
          </w:p>
          <w:p w14:paraId="52E42059">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u w:val="none"/>
                <w:lang w:val="en-US" w:eastAsia="zh-CN"/>
              </w:rPr>
            </w:pPr>
            <w:r>
              <w:rPr>
                <w:rFonts w:hint="eastAsia"/>
                <w:lang w:eastAsia="zh-CN"/>
              </w:rPr>
              <w:t>（</w:t>
            </w:r>
            <w:r>
              <w:rPr>
                <w:rFonts w:hint="eastAsia"/>
                <w:lang w:val="en-US" w:eastAsia="zh-CN"/>
              </w:rPr>
              <w:t>涉密删除</w:t>
            </w:r>
            <w:r>
              <w:rPr>
                <w:rFonts w:hint="eastAsia"/>
                <w:lang w:eastAsia="zh-CN"/>
              </w:rPr>
              <w:t>）</w:t>
            </w:r>
          </w:p>
          <w:p w14:paraId="58C2BE56">
            <w:pPr>
              <w:pStyle w:val="3"/>
              <w:bidi w:val="0"/>
              <w:rPr>
                <w:rFonts w:hint="default"/>
                <w:lang w:val="en-US" w:eastAsia="zh-CN"/>
              </w:rPr>
            </w:pPr>
            <w:bookmarkStart w:id="191" w:name="_Toc25220"/>
            <w:r>
              <w:rPr>
                <w:rFonts w:hint="default"/>
                <w:lang w:val="en-US" w:eastAsia="zh-CN"/>
              </w:rPr>
              <w:t>海洋生态调查与评价</w:t>
            </w:r>
            <w:bookmarkEnd w:id="191"/>
          </w:p>
          <w:p w14:paraId="2597E654">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u w:val="none"/>
                <w:lang w:val="en-US" w:eastAsia="zh-CN"/>
              </w:rPr>
            </w:pPr>
            <w:r>
              <w:rPr>
                <w:rFonts w:hint="eastAsia"/>
                <w:lang w:eastAsia="zh-CN"/>
              </w:rPr>
              <w:t>（</w:t>
            </w:r>
            <w:r>
              <w:rPr>
                <w:rFonts w:hint="eastAsia"/>
                <w:lang w:val="en-US" w:eastAsia="zh-CN"/>
              </w:rPr>
              <w:t>涉密删除</w:t>
            </w:r>
            <w:r>
              <w:rPr>
                <w:rFonts w:hint="eastAsia"/>
                <w:lang w:eastAsia="zh-CN"/>
              </w:rPr>
              <w:t>）</w:t>
            </w:r>
          </w:p>
          <w:p w14:paraId="7027B039">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u w:val="none"/>
                <w:lang w:val="en-US" w:eastAsia="zh-CN"/>
              </w:rPr>
            </w:pPr>
          </w:p>
          <w:p w14:paraId="4DD539CE">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u w:val="none"/>
                <w:lang w:val="en-US" w:eastAsia="zh-CN"/>
              </w:rPr>
            </w:pPr>
          </w:p>
          <w:p w14:paraId="2ECFB84A">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u w:val="none"/>
                <w:lang w:val="en-US" w:eastAsia="zh-CN"/>
              </w:rPr>
            </w:pPr>
          </w:p>
          <w:p w14:paraId="60748D26">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u w:val="none"/>
                <w:lang w:val="en-US" w:eastAsia="zh-CN"/>
              </w:rPr>
            </w:pPr>
          </w:p>
          <w:p w14:paraId="6C3769BE">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u w:val="none"/>
                <w:lang w:val="en-US" w:eastAsia="zh-CN"/>
              </w:rPr>
            </w:pPr>
          </w:p>
          <w:bookmarkEnd w:id="172"/>
          <w:bookmarkEnd w:id="173"/>
          <w:p w14:paraId="063F6DC6">
            <w:pPr>
              <w:pStyle w:val="30"/>
              <w:bidi w:val="0"/>
              <w:rPr>
                <w:rFonts w:hint="default" w:ascii="Times New Roman" w:hAnsi="Times New Roman" w:cs="Times New Roman"/>
                <w:color w:val="000000"/>
                <w:u w:val="none"/>
                <w:lang w:val="en-US"/>
              </w:rPr>
            </w:pPr>
          </w:p>
        </w:tc>
      </w:tr>
    </w:tbl>
    <w:p w14:paraId="2744B94F">
      <w:pPr>
        <w:pStyle w:val="2"/>
        <w:bidi w:val="0"/>
        <w:ind w:left="425" w:leftChars="0" w:hanging="425" w:firstLineChars="0"/>
        <w:rPr>
          <w:rFonts w:hint="default" w:ascii="Times New Roman" w:hAnsi="Times New Roman" w:cs="Times New Roman"/>
          <w:color w:val="000000"/>
          <w:u w:val="none"/>
        </w:rPr>
        <w:sectPr>
          <w:pgSz w:w="11906" w:h="16838"/>
          <w:pgMar w:top="1701" w:right="1531" w:bottom="1701" w:left="1531" w:header="851" w:footer="1077" w:gutter="0"/>
          <w:pgNumType w:fmt="decimal"/>
          <w:cols w:space="720" w:num="1"/>
          <w:docGrid w:linePitch="312" w:charSpace="0"/>
        </w:sectPr>
      </w:pPr>
    </w:p>
    <w:tbl>
      <w:tblPr>
        <w:tblStyle w:val="21"/>
        <w:tblW w:w="946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8" w:type="dxa"/>
          <w:left w:w="108" w:type="dxa"/>
          <w:bottom w:w="108" w:type="dxa"/>
          <w:right w:w="108" w:type="dxa"/>
        </w:tblCellMar>
      </w:tblPr>
      <w:tblGrid>
        <w:gridCol w:w="734"/>
        <w:gridCol w:w="8730"/>
      </w:tblGrid>
      <w:tr w14:paraId="0EE456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8" w:type="dxa"/>
            <w:left w:w="108" w:type="dxa"/>
            <w:bottom w:w="108" w:type="dxa"/>
            <w:right w:w="108" w:type="dxa"/>
          </w:tblCellMar>
        </w:tblPrEx>
        <w:trPr>
          <w:trHeight w:val="2336" w:hRule="atLeast"/>
          <w:jc w:val="center"/>
        </w:trPr>
        <w:tc>
          <w:tcPr>
            <w:tcW w:w="734" w:type="dxa"/>
            <w:noWrap w:val="0"/>
            <w:vAlign w:val="center"/>
          </w:tcPr>
          <w:p w14:paraId="040AD7C0">
            <w:pPr>
              <w:adjustRightInd w:val="0"/>
              <w:snapToGrid w:val="0"/>
              <w:spacing w:line="360" w:lineRule="auto"/>
              <w:jc w:val="center"/>
              <w:rPr>
                <w:rFonts w:hint="default" w:ascii="Times New Roman" w:hAnsi="Times New Roman" w:cs="Times New Roman"/>
                <w:color w:val="000000"/>
                <w:kern w:val="0"/>
                <w:szCs w:val="21"/>
                <w:u w:val="none"/>
              </w:rPr>
            </w:pPr>
            <w:r>
              <w:rPr>
                <w:rFonts w:hint="default" w:ascii="Times New Roman" w:hAnsi="Times New Roman" w:cs="Times New Roman"/>
                <w:color w:val="000000"/>
                <w:kern w:val="0"/>
                <w:szCs w:val="21"/>
                <w:u w:val="none"/>
              </w:rPr>
              <w:t>生态环境现状</w:t>
            </w:r>
          </w:p>
        </w:tc>
        <w:tc>
          <w:tcPr>
            <w:tcW w:w="8730" w:type="dxa"/>
            <w:noWrap w:val="0"/>
            <w:vAlign w:val="top"/>
          </w:tcPr>
          <w:p w14:paraId="4247BD8D">
            <w:pPr>
              <w:pStyle w:val="3"/>
              <w:bidi w:val="0"/>
              <w:rPr>
                <w:rFonts w:hint="default"/>
                <w:lang w:val="en-US" w:eastAsia="zh-CN"/>
              </w:rPr>
            </w:pPr>
            <w:bookmarkStart w:id="192" w:name="_Toc14977"/>
            <w:r>
              <w:rPr>
                <w:rFonts w:hint="default"/>
                <w:lang w:val="en-US" w:eastAsia="zh-CN"/>
              </w:rPr>
              <w:t>环境空气质量调查与评价</w:t>
            </w:r>
            <w:bookmarkEnd w:id="192"/>
          </w:p>
          <w:p w14:paraId="405B76B7">
            <w:pPr>
              <w:pStyle w:val="4"/>
              <w:bidi w:val="0"/>
              <w:rPr>
                <w:rFonts w:hint="default"/>
                <w:lang w:val="en-US" w:eastAsia="zh-CN"/>
              </w:rPr>
            </w:pPr>
            <w:r>
              <w:rPr>
                <w:rFonts w:hint="default"/>
                <w:lang w:val="en-US" w:eastAsia="zh-CN"/>
              </w:rPr>
              <w:t>区域环境质量常规因子达标情况</w:t>
            </w:r>
          </w:p>
          <w:p w14:paraId="2C914C86">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lang w:val="en-US" w:eastAsia="zh-CN"/>
              </w:rPr>
            </w:pPr>
            <w:r>
              <w:rPr>
                <w:rFonts w:hint="default" w:ascii="Times New Roman" w:hAnsi="Times New Roman" w:cs="Times New Roman"/>
                <w:color w:val="000000"/>
                <w:highlight w:val="none"/>
                <w:lang w:val="en-US" w:eastAsia="zh-CN"/>
              </w:rPr>
              <w:t>根据</w:t>
            </w:r>
            <w:r>
              <w:rPr>
                <w:rFonts w:hint="default" w:ascii="Times New Roman" w:hAnsi="Times New Roman" w:cs="Times New Roman"/>
                <w:color w:val="000000"/>
                <w:highlight w:val="none"/>
              </w:rPr>
              <w:t>《环境影响评价技术导则大气环境》（HJ2.2-2018）要求，城市环境空气质量达标情况评价指标为SO</w:t>
            </w:r>
            <w:r>
              <w:rPr>
                <w:rFonts w:hint="default" w:ascii="Times New Roman" w:hAnsi="Times New Roman" w:cs="Times New Roman"/>
                <w:color w:val="000000"/>
                <w:highlight w:val="none"/>
                <w:vertAlign w:val="subscript"/>
              </w:rPr>
              <w:t>2</w:t>
            </w:r>
            <w:r>
              <w:rPr>
                <w:rFonts w:hint="default" w:ascii="Times New Roman" w:hAnsi="Times New Roman" w:cs="Times New Roman"/>
                <w:color w:val="000000"/>
                <w:highlight w:val="none"/>
              </w:rPr>
              <w:t>、NO</w:t>
            </w:r>
            <w:r>
              <w:rPr>
                <w:rFonts w:hint="default" w:ascii="Times New Roman" w:hAnsi="Times New Roman" w:cs="Times New Roman"/>
                <w:color w:val="000000"/>
                <w:highlight w:val="none"/>
                <w:vertAlign w:val="subscript"/>
              </w:rPr>
              <w:t>2</w:t>
            </w:r>
            <w:r>
              <w:rPr>
                <w:rFonts w:hint="default" w:ascii="Times New Roman" w:hAnsi="Times New Roman" w:cs="Times New Roman"/>
                <w:color w:val="000000"/>
                <w:highlight w:val="none"/>
              </w:rPr>
              <w:t>、PM</w:t>
            </w:r>
            <w:r>
              <w:rPr>
                <w:rFonts w:hint="default" w:ascii="Times New Roman" w:hAnsi="Times New Roman" w:cs="Times New Roman"/>
                <w:color w:val="000000"/>
                <w:highlight w:val="none"/>
                <w:vertAlign w:val="subscript"/>
              </w:rPr>
              <w:t>10</w:t>
            </w:r>
            <w:r>
              <w:rPr>
                <w:rFonts w:hint="default" w:ascii="Times New Roman" w:hAnsi="Times New Roman" w:cs="Times New Roman"/>
                <w:color w:val="000000"/>
                <w:highlight w:val="none"/>
              </w:rPr>
              <w:t>、PM</w:t>
            </w:r>
            <w:r>
              <w:rPr>
                <w:rFonts w:hint="default" w:ascii="Times New Roman" w:hAnsi="Times New Roman" w:cs="Times New Roman"/>
                <w:color w:val="000000"/>
                <w:highlight w:val="none"/>
                <w:vertAlign w:val="subscript"/>
              </w:rPr>
              <w:t>2.5</w:t>
            </w:r>
            <w:r>
              <w:rPr>
                <w:rFonts w:hint="default" w:ascii="Times New Roman" w:hAnsi="Times New Roman" w:cs="Times New Roman"/>
                <w:color w:val="000000"/>
                <w:highlight w:val="none"/>
              </w:rPr>
              <w:t>、CO和O</w:t>
            </w:r>
            <w:r>
              <w:rPr>
                <w:rFonts w:hint="default" w:ascii="Times New Roman" w:hAnsi="Times New Roman" w:cs="Times New Roman"/>
                <w:color w:val="000000"/>
                <w:highlight w:val="none"/>
                <w:vertAlign w:val="subscript"/>
              </w:rPr>
              <w:t>3</w:t>
            </w:r>
            <w:r>
              <w:rPr>
                <w:rFonts w:hint="default" w:ascii="Times New Roman" w:hAnsi="Times New Roman" w:cs="Times New Roman"/>
                <w:color w:val="000000"/>
                <w:highlight w:val="none"/>
              </w:rPr>
              <w:t>，六项污染物全部达标即为城市环境空气质量达标。项目所在区域达标判定，优先采用国家或地方生态环境主管部门公开公布的评价基准年环境质量公告或环境质量报告中的数据或结论。</w:t>
            </w:r>
          </w:p>
          <w:p w14:paraId="60A56C48">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lang w:val="en-US" w:eastAsia="zh-CN"/>
              </w:rPr>
            </w:pPr>
            <w:r>
              <w:rPr>
                <w:rFonts w:hint="default" w:ascii="Times New Roman" w:hAnsi="Times New Roman" w:cs="Times New Roman"/>
                <w:color w:val="000000"/>
                <w:highlight w:val="none"/>
              </w:rPr>
              <w:t>根据环境空气质量功能区分类，本工程所在区域大气环境为二类区。根据</w:t>
            </w:r>
            <w:r>
              <w:rPr>
                <w:rFonts w:hint="default" w:ascii="Times New Roman" w:hAnsi="Times New Roman" w:cs="Times New Roman"/>
                <w:color w:val="000000"/>
                <w:highlight w:val="none"/>
                <w:lang w:val="en-US" w:eastAsia="zh-CN"/>
              </w:rPr>
              <w:t>福州</w:t>
            </w:r>
            <w:r>
              <w:rPr>
                <w:rFonts w:hint="default" w:ascii="Times New Roman" w:hAnsi="Times New Roman" w:cs="Times New Roman"/>
                <w:color w:val="000000"/>
                <w:highlight w:val="none"/>
              </w:rPr>
              <w:t>市</w:t>
            </w:r>
            <w:r>
              <w:rPr>
                <w:rFonts w:hint="default" w:ascii="Times New Roman" w:hAnsi="Times New Roman" w:cs="Times New Roman"/>
                <w:color w:val="000000"/>
                <w:highlight w:val="none"/>
                <w:lang w:val="en-US" w:eastAsia="zh-CN"/>
              </w:rPr>
              <w:t>福清生态环境局</w:t>
            </w:r>
            <w:r>
              <w:rPr>
                <w:rFonts w:hint="default" w:ascii="Times New Roman" w:hAnsi="Times New Roman" w:cs="Times New Roman"/>
                <w:color w:val="000000"/>
                <w:highlight w:val="none"/>
              </w:rPr>
              <w:t>发布的《福清市空气环境质量月报》</w:t>
            </w:r>
            <w:r>
              <w:rPr>
                <w:rFonts w:hint="default" w:ascii="Times New Roman" w:hAnsi="Times New Roman" w:cs="Times New Roman"/>
                <w:color w:val="000000"/>
                <w:highlight w:val="none"/>
                <w:lang w:eastAsia="zh-CN"/>
              </w:rPr>
              <w:t>（202</w:t>
            </w:r>
            <w:r>
              <w:rPr>
                <w:rFonts w:hint="default" w:ascii="Times New Roman" w:hAnsi="Times New Roman" w:cs="Times New Roman"/>
                <w:color w:val="000000"/>
                <w:highlight w:val="none"/>
                <w:lang w:val="en-US" w:eastAsia="zh-CN"/>
              </w:rPr>
              <w:t>5</w:t>
            </w:r>
            <w:r>
              <w:rPr>
                <w:rFonts w:hint="default" w:ascii="Times New Roman" w:hAnsi="Times New Roman" w:cs="Times New Roman"/>
                <w:color w:val="000000"/>
                <w:highlight w:val="none"/>
                <w:lang w:eastAsia="zh-CN"/>
              </w:rPr>
              <w:t>年1</w:t>
            </w:r>
            <w:r>
              <w:rPr>
                <w:rFonts w:hint="default" w:ascii="Times New Roman" w:hAnsi="Times New Roman" w:cs="Times New Roman"/>
                <w:color w:val="000000"/>
                <w:highlight w:val="none"/>
                <w:lang w:val="en-US" w:eastAsia="zh-CN"/>
              </w:rPr>
              <w:t>-1</w:t>
            </w:r>
            <w:r>
              <w:rPr>
                <w:rFonts w:hint="default" w:ascii="Times New Roman" w:hAnsi="Times New Roman" w:cs="Times New Roman"/>
                <w:color w:val="000000"/>
                <w:highlight w:val="none"/>
                <w:lang w:eastAsia="zh-CN"/>
              </w:rPr>
              <w:t>2月）</w:t>
            </w:r>
            <w:r>
              <w:rPr>
                <w:rFonts w:hint="default" w:ascii="Times New Roman" w:hAnsi="Times New Roman" w:cs="Times New Roman"/>
                <w:color w:val="000000"/>
                <w:highlight w:val="none"/>
                <w:lang w:val="en-US" w:eastAsia="zh-CN"/>
              </w:rPr>
              <w:t>中</w:t>
            </w:r>
            <w:r>
              <w:rPr>
                <w:rFonts w:hint="default" w:ascii="Times New Roman" w:hAnsi="Times New Roman" w:cs="Times New Roman"/>
                <w:color w:val="000000"/>
                <w:highlight w:val="none"/>
              </w:rPr>
              <w:t>的相关数据</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具体统计详见</w:t>
            </w:r>
            <w:r>
              <w:rPr>
                <w:rFonts w:hint="default" w:ascii="Times New Roman" w:hAnsi="Times New Roman" w:cs="Times New Roman"/>
                <w:b w:val="0"/>
                <w:bCs w:val="0"/>
                <w:color w:val="000000"/>
                <w:highlight w:val="none"/>
              </w:rPr>
              <w:t>下</w:t>
            </w:r>
            <w:r>
              <w:rPr>
                <w:rFonts w:hint="default" w:ascii="Times New Roman" w:hAnsi="Times New Roman" w:cs="Times New Roman"/>
                <w:b w:val="0"/>
                <w:bCs w:val="0"/>
                <w:color w:val="000000"/>
                <w:highlight w:val="none"/>
              </w:rPr>
              <w:fldChar w:fldCharType="begin"/>
            </w:r>
            <w:r>
              <w:rPr>
                <w:rFonts w:hint="default" w:ascii="Times New Roman" w:hAnsi="Times New Roman" w:cs="Times New Roman"/>
                <w:b w:val="0"/>
                <w:bCs w:val="0"/>
                <w:color w:val="000000"/>
                <w:highlight w:val="none"/>
              </w:rPr>
              <w:instrText xml:space="preserve"> REF _Ref14231 \h </w:instrText>
            </w:r>
            <w:r>
              <w:rPr>
                <w:rFonts w:hint="default" w:ascii="Times New Roman" w:hAnsi="Times New Roman" w:cs="Times New Roman"/>
                <w:b w:val="0"/>
                <w:bCs w:val="0"/>
                <w:color w:val="000000"/>
                <w:highlight w:val="none"/>
              </w:rPr>
              <w:fldChar w:fldCharType="separate"/>
            </w:r>
            <w:r>
              <w:rPr>
                <w:rFonts w:hint="default" w:ascii="Times New Roman" w:hAnsi="Times New Roman" w:cs="Times New Roman"/>
                <w:color w:val="000000"/>
                <w:highlight w:val="none"/>
                <w:lang w:val="en-US" w:eastAsia="zh-CN"/>
              </w:rPr>
              <w:t>表</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STYLEREF 2 \s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lang w:val="en-US" w:eastAsia="zh-CN"/>
              </w:rPr>
              <w:t>3.10</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val="en-US" w:eastAsia="zh-CN"/>
              </w:rPr>
              <w:t>-1</w:t>
            </w:r>
            <w:r>
              <w:rPr>
                <w:rFonts w:hint="default" w:ascii="Times New Roman" w:hAnsi="Times New Roman" w:cs="Times New Roman"/>
                <w:b w:val="0"/>
                <w:bCs w:val="0"/>
                <w:color w:val="000000"/>
                <w:highlight w:val="none"/>
              </w:rPr>
              <w:fldChar w:fldCharType="end"/>
            </w:r>
            <w:r>
              <w:rPr>
                <w:rFonts w:hint="default" w:ascii="Times New Roman" w:hAnsi="Times New Roman" w:cs="Times New Roman"/>
                <w:b w:val="0"/>
                <w:bCs w:val="0"/>
                <w:color w:val="000000"/>
                <w:highlight w:val="none"/>
              </w:rPr>
              <w:t>。</w:t>
            </w:r>
            <w:r>
              <w:rPr>
                <w:rFonts w:hint="default" w:ascii="Times New Roman" w:hAnsi="Times New Roman" w:cs="Times New Roman"/>
                <w:color w:val="000000"/>
                <w:highlight w:val="none"/>
              </w:rPr>
              <w:t>由表可知，</w:t>
            </w:r>
            <w:r>
              <w:rPr>
                <w:rFonts w:hint="default" w:ascii="Times New Roman" w:hAnsi="Times New Roman" w:cs="Times New Roman"/>
                <w:color w:val="000000"/>
                <w:highlight w:val="none"/>
                <w:lang w:val="en-US" w:eastAsia="zh-CN"/>
              </w:rPr>
              <w:t>福清市</w:t>
            </w:r>
            <w:r>
              <w:rPr>
                <w:rFonts w:hint="default" w:ascii="Times New Roman" w:hAnsi="Times New Roman" w:cs="Times New Roman"/>
                <w:color w:val="000000"/>
                <w:highlight w:val="none"/>
              </w:rPr>
              <w:t>区域空气质量六项基本污染物，SO</w:t>
            </w:r>
            <w:r>
              <w:rPr>
                <w:rFonts w:hint="default" w:ascii="Times New Roman" w:hAnsi="Times New Roman" w:cs="Times New Roman"/>
                <w:color w:val="000000"/>
                <w:highlight w:val="none"/>
                <w:vertAlign w:val="subscript"/>
              </w:rPr>
              <w:t>2</w:t>
            </w:r>
            <w:r>
              <w:rPr>
                <w:rFonts w:hint="default" w:ascii="Times New Roman" w:hAnsi="Times New Roman" w:cs="Times New Roman"/>
                <w:color w:val="000000"/>
                <w:highlight w:val="none"/>
              </w:rPr>
              <w:t>、NO</w:t>
            </w:r>
            <w:r>
              <w:rPr>
                <w:rFonts w:hint="default" w:ascii="Times New Roman" w:hAnsi="Times New Roman" w:cs="Times New Roman"/>
                <w:color w:val="000000"/>
                <w:highlight w:val="none"/>
                <w:vertAlign w:val="subscript"/>
              </w:rPr>
              <w:t>2</w:t>
            </w:r>
            <w:r>
              <w:rPr>
                <w:rFonts w:hint="default" w:ascii="Times New Roman" w:hAnsi="Times New Roman" w:cs="Times New Roman"/>
                <w:color w:val="000000"/>
                <w:highlight w:val="none"/>
              </w:rPr>
              <w:t>、PM</w:t>
            </w:r>
            <w:r>
              <w:rPr>
                <w:rFonts w:hint="default" w:ascii="Times New Roman" w:hAnsi="Times New Roman" w:cs="Times New Roman"/>
                <w:color w:val="000000"/>
                <w:highlight w:val="none"/>
                <w:vertAlign w:val="subscript"/>
              </w:rPr>
              <w:t>10</w:t>
            </w:r>
            <w:r>
              <w:rPr>
                <w:rFonts w:hint="default" w:ascii="Times New Roman" w:hAnsi="Times New Roman" w:cs="Times New Roman"/>
                <w:color w:val="000000"/>
                <w:highlight w:val="none"/>
              </w:rPr>
              <w:t>、PM</w:t>
            </w:r>
            <w:r>
              <w:rPr>
                <w:rFonts w:hint="default" w:ascii="Times New Roman" w:hAnsi="Times New Roman" w:cs="Times New Roman"/>
                <w:color w:val="000000"/>
                <w:highlight w:val="none"/>
                <w:vertAlign w:val="subscript"/>
              </w:rPr>
              <w:t>2.5</w:t>
            </w:r>
            <w:r>
              <w:rPr>
                <w:rFonts w:hint="default" w:ascii="Times New Roman" w:hAnsi="Times New Roman" w:cs="Times New Roman"/>
                <w:color w:val="000000"/>
                <w:highlight w:val="none"/>
              </w:rPr>
              <w:t>、CO和O</w:t>
            </w:r>
            <w:r>
              <w:rPr>
                <w:rFonts w:hint="default" w:ascii="Times New Roman" w:hAnsi="Times New Roman" w:cs="Times New Roman"/>
                <w:color w:val="000000"/>
                <w:highlight w:val="none"/>
                <w:vertAlign w:val="subscript"/>
              </w:rPr>
              <w:t>3</w:t>
            </w:r>
            <w:r>
              <w:rPr>
                <w:rFonts w:hint="default" w:ascii="Times New Roman" w:hAnsi="Times New Roman" w:cs="Times New Roman"/>
                <w:color w:val="000000"/>
                <w:highlight w:val="none"/>
              </w:rPr>
              <w:t>全部符合</w:t>
            </w:r>
            <w:r>
              <w:rPr>
                <w:rFonts w:hint="default" w:ascii="Times New Roman" w:hAnsi="Times New Roman" w:cs="Times New Roman"/>
                <w:color w:val="000000"/>
                <w:highlight w:val="none"/>
                <w:lang w:val="en-US" w:eastAsia="zh-CN"/>
              </w:rPr>
              <w:t>《环境空气质量标准》（GB 3095-2026）表1中的二级标准</w:t>
            </w:r>
            <w:r>
              <w:rPr>
                <w:rFonts w:hint="default" w:ascii="Times New Roman" w:hAnsi="Times New Roman" w:cs="Times New Roman"/>
                <w:color w:val="000000"/>
                <w:highlight w:val="none"/>
              </w:rPr>
              <w:t>，</w:t>
            </w:r>
            <w:r>
              <w:rPr>
                <w:rFonts w:hint="default" w:ascii="Times New Roman" w:hAnsi="Times New Roman" w:cs="Times New Roman"/>
                <w:color w:val="000000"/>
                <w:highlight w:val="none"/>
                <w:lang w:val="en-US" w:eastAsia="zh-CN"/>
              </w:rPr>
              <w:t>福清市</w:t>
            </w:r>
            <w:r>
              <w:rPr>
                <w:rFonts w:hint="default" w:ascii="Times New Roman" w:hAnsi="Times New Roman" w:cs="Times New Roman"/>
                <w:color w:val="000000"/>
                <w:highlight w:val="none"/>
              </w:rPr>
              <w:t>属于环境空气质量达标区</w:t>
            </w:r>
            <w:r>
              <w:rPr>
                <w:rFonts w:hint="default" w:ascii="Times New Roman" w:hAnsi="Times New Roman" w:cs="Times New Roman"/>
                <w:color w:val="000000"/>
                <w:highlight w:val="none"/>
                <w:lang w:eastAsia="zh-CN"/>
              </w:rPr>
              <w:t>。</w:t>
            </w:r>
          </w:p>
          <w:p w14:paraId="4D41E497">
            <w:pPr>
              <w:pStyle w:val="30"/>
              <w:bidi w:val="0"/>
              <w:rPr>
                <w:rFonts w:hint="default" w:ascii="Times New Roman" w:hAnsi="Times New Roman" w:cs="Times New Roman"/>
                <w:color w:val="000000"/>
                <w:highlight w:val="none"/>
                <w:lang w:val="en-US" w:eastAsia="zh-CN"/>
              </w:rPr>
            </w:pPr>
            <w:bookmarkStart w:id="193" w:name="_Ref14231"/>
            <w:r>
              <w:rPr>
                <w:rFonts w:hint="default" w:ascii="Times New Roman" w:hAnsi="Times New Roman" w:cs="Times New Roman"/>
                <w:color w:val="000000"/>
                <w:highlight w:val="none"/>
                <w:lang w:val="en-US" w:eastAsia="zh-CN"/>
              </w:rPr>
              <w:t>表</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STYLEREF 2 \s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lang w:val="en-US" w:eastAsia="zh-CN"/>
              </w:rPr>
              <w:t>3.10</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val="en-US" w:eastAsia="zh-CN"/>
              </w:rPr>
              <w:t>-</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SEQ 表 \* ARABIC \s 2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lang w:val="en-US" w:eastAsia="zh-CN"/>
              </w:rPr>
              <w:t>1</w:t>
            </w:r>
            <w:r>
              <w:rPr>
                <w:rFonts w:hint="default" w:ascii="Times New Roman" w:hAnsi="Times New Roman" w:cs="Times New Roman"/>
                <w:color w:val="000000"/>
                <w:highlight w:val="none"/>
                <w:lang w:val="en-US" w:eastAsia="zh-CN"/>
              </w:rPr>
              <w:fldChar w:fldCharType="end"/>
            </w:r>
            <w:bookmarkEnd w:id="193"/>
            <w:r>
              <w:rPr>
                <w:rFonts w:hint="default" w:ascii="Times New Roman" w:hAnsi="Times New Roman" w:cs="Times New Roman"/>
                <w:color w:val="000000"/>
                <w:highlight w:val="none"/>
                <w:lang w:val="en-US" w:eastAsia="zh-CN"/>
              </w:rPr>
              <w:t xml:space="preserve"> 福清市2025年1-12月空气环境质量月报统计表</w:t>
            </w:r>
          </w:p>
          <w:tbl>
            <w:tblPr>
              <w:tblStyle w:val="32"/>
              <w:tblW w:w="8559" w:type="dxa"/>
              <w:jc w:val="center"/>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Layout w:type="fixed"/>
              <w:tblCellMar>
                <w:top w:w="0" w:type="dxa"/>
                <w:left w:w="0" w:type="dxa"/>
                <w:bottom w:w="0" w:type="dxa"/>
                <w:right w:w="0" w:type="dxa"/>
              </w:tblCellMar>
            </w:tblPr>
            <w:tblGrid>
              <w:gridCol w:w="1432"/>
              <w:gridCol w:w="631"/>
              <w:gridCol w:w="631"/>
              <w:gridCol w:w="631"/>
              <w:gridCol w:w="631"/>
              <w:gridCol w:w="631"/>
              <w:gridCol w:w="639"/>
              <w:gridCol w:w="1199"/>
              <w:gridCol w:w="1280"/>
              <w:gridCol w:w="854"/>
            </w:tblGrid>
            <w:tr w14:paraId="34E58B73">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50" w:hRule="atLeast"/>
                <w:tblHeader/>
                <w:jc w:val="center"/>
              </w:trPr>
              <w:tc>
                <w:tcPr>
                  <w:tcW w:w="836" w:type="pct"/>
                  <w:vMerge w:val="restart"/>
                  <w:noWrap w:val="0"/>
                  <w:vAlign w:val="center"/>
                </w:tcPr>
                <w:p w14:paraId="04C03D85">
                  <w:pPr>
                    <w:widowControl w:val="0"/>
                    <w:bidi w:val="0"/>
                    <w:adjustRightInd/>
                    <w:snapToGrid/>
                    <w:spacing w:line="240" w:lineRule="auto"/>
                    <w:ind w:firstLine="0" w:firstLineChars="0"/>
                    <w:jc w:val="center"/>
                    <w:rPr>
                      <w:rFonts w:hint="default" w:ascii="Times New Roman" w:hAnsi="Times New Roman" w:eastAsia="宋体" w:cs="Times New Roman"/>
                      <w:b/>
                      <w:bCs/>
                      <w:color w:val="000000"/>
                      <w:kern w:val="2"/>
                      <w:sz w:val="21"/>
                      <w:szCs w:val="24"/>
                      <w:highlight w:val="none"/>
                      <w:lang w:val="en-US" w:eastAsia="zh-CN" w:bidi="ar-SA"/>
                    </w:rPr>
                  </w:pPr>
                  <w:r>
                    <w:rPr>
                      <w:rFonts w:hint="default" w:ascii="Times New Roman" w:hAnsi="Times New Roman" w:eastAsia="宋体" w:cs="Times New Roman"/>
                      <w:b/>
                      <w:bCs/>
                      <w:color w:val="000000"/>
                      <w:kern w:val="2"/>
                      <w:sz w:val="21"/>
                      <w:szCs w:val="24"/>
                      <w:highlight w:val="none"/>
                      <w:lang w:val="en-US" w:eastAsia="zh-CN" w:bidi="ar-SA"/>
                    </w:rPr>
                    <w:t>时间</w:t>
                  </w:r>
                </w:p>
              </w:tc>
              <w:tc>
                <w:tcPr>
                  <w:tcW w:w="2216" w:type="pct"/>
                  <w:gridSpan w:val="6"/>
                  <w:noWrap w:val="0"/>
                  <w:vAlign w:val="center"/>
                </w:tcPr>
                <w:p w14:paraId="452BA263">
                  <w:pPr>
                    <w:widowControl w:val="0"/>
                    <w:bidi w:val="0"/>
                    <w:adjustRightInd/>
                    <w:snapToGrid/>
                    <w:spacing w:line="240" w:lineRule="auto"/>
                    <w:ind w:firstLine="0" w:firstLineChars="0"/>
                    <w:jc w:val="center"/>
                    <w:rPr>
                      <w:rFonts w:hint="default" w:ascii="Times New Roman" w:hAnsi="Times New Roman" w:eastAsia="宋体" w:cs="Times New Roman"/>
                      <w:b/>
                      <w:bCs/>
                      <w:color w:val="000000"/>
                      <w:kern w:val="2"/>
                      <w:sz w:val="21"/>
                      <w:szCs w:val="24"/>
                      <w:highlight w:val="none"/>
                      <w:lang w:val="en-US" w:eastAsia="zh-CN" w:bidi="ar-SA"/>
                    </w:rPr>
                  </w:pPr>
                  <w:r>
                    <w:rPr>
                      <w:rFonts w:hint="default" w:ascii="Times New Roman" w:hAnsi="Times New Roman" w:eastAsia="宋体" w:cs="Times New Roman"/>
                      <w:b/>
                      <w:bCs/>
                      <w:color w:val="000000"/>
                      <w:kern w:val="2"/>
                      <w:sz w:val="21"/>
                      <w:szCs w:val="24"/>
                      <w:highlight w:val="none"/>
                      <w:lang w:val="en-US" w:eastAsia="zh-CN" w:bidi="ar-SA"/>
                    </w:rPr>
                    <w:t>污染物月日均值*（mg/m</w:t>
                  </w:r>
                  <w:r>
                    <w:rPr>
                      <w:rFonts w:hint="default" w:ascii="Times New Roman" w:hAnsi="Times New Roman" w:eastAsia="宋体" w:cs="Times New Roman"/>
                      <w:b/>
                      <w:bCs/>
                      <w:color w:val="000000"/>
                      <w:kern w:val="2"/>
                      <w:sz w:val="21"/>
                      <w:szCs w:val="24"/>
                      <w:highlight w:val="none"/>
                      <w:vertAlign w:val="superscript"/>
                      <w:lang w:val="en-US" w:eastAsia="zh-CN" w:bidi="ar-SA"/>
                    </w:rPr>
                    <w:t>3</w:t>
                  </w:r>
                  <w:r>
                    <w:rPr>
                      <w:rFonts w:hint="default" w:ascii="Times New Roman" w:hAnsi="Times New Roman" w:eastAsia="宋体" w:cs="Times New Roman"/>
                      <w:b/>
                      <w:bCs/>
                      <w:color w:val="000000"/>
                      <w:kern w:val="2"/>
                      <w:sz w:val="21"/>
                      <w:szCs w:val="24"/>
                      <w:highlight w:val="none"/>
                      <w:lang w:val="en-US" w:eastAsia="zh-CN" w:bidi="ar-SA"/>
                    </w:rPr>
                    <w:t>）</w:t>
                  </w:r>
                </w:p>
              </w:tc>
              <w:tc>
                <w:tcPr>
                  <w:tcW w:w="1947" w:type="pct"/>
                  <w:gridSpan w:val="3"/>
                  <w:noWrap w:val="0"/>
                  <w:vAlign w:val="center"/>
                </w:tcPr>
                <w:p w14:paraId="290738C4">
                  <w:pPr>
                    <w:widowControl w:val="0"/>
                    <w:bidi w:val="0"/>
                    <w:adjustRightInd/>
                    <w:snapToGrid/>
                    <w:spacing w:line="240" w:lineRule="auto"/>
                    <w:ind w:firstLine="0" w:firstLineChars="0"/>
                    <w:jc w:val="center"/>
                    <w:rPr>
                      <w:rFonts w:hint="default" w:ascii="Times New Roman" w:hAnsi="Times New Roman" w:eastAsia="宋体" w:cs="Times New Roman"/>
                      <w:b/>
                      <w:bCs/>
                      <w:color w:val="000000"/>
                      <w:kern w:val="2"/>
                      <w:sz w:val="21"/>
                      <w:szCs w:val="24"/>
                      <w:highlight w:val="none"/>
                      <w:lang w:val="en-US" w:eastAsia="zh-CN" w:bidi="ar-SA"/>
                    </w:rPr>
                  </w:pPr>
                  <w:r>
                    <w:rPr>
                      <w:rFonts w:hint="default" w:ascii="Times New Roman" w:hAnsi="Times New Roman" w:eastAsia="宋体" w:cs="Times New Roman"/>
                      <w:b/>
                      <w:bCs/>
                      <w:color w:val="000000"/>
                      <w:kern w:val="2"/>
                      <w:sz w:val="21"/>
                      <w:szCs w:val="24"/>
                      <w:highlight w:val="none"/>
                      <w:lang w:val="en-US" w:eastAsia="zh-CN" w:bidi="ar-SA"/>
                    </w:rPr>
                    <w:t>达标天数</w:t>
                  </w:r>
                </w:p>
              </w:tc>
            </w:tr>
            <w:tr w14:paraId="0D405F21">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548" w:hRule="atLeast"/>
                <w:tblHeader/>
                <w:jc w:val="center"/>
              </w:trPr>
              <w:tc>
                <w:tcPr>
                  <w:tcW w:w="836" w:type="pct"/>
                  <w:vMerge w:val="continue"/>
                  <w:noWrap w:val="0"/>
                  <w:vAlign w:val="center"/>
                </w:tcPr>
                <w:p w14:paraId="75E8009F">
                  <w:pPr>
                    <w:widowControl w:val="0"/>
                    <w:bidi w:val="0"/>
                    <w:adjustRightInd/>
                    <w:snapToGrid/>
                    <w:spacing w:line="240" w:lineRule="auto"/>
                    <w:ind w:firstLine="0" w:firstLineChars="0"/>
                    <w:jc w:val="center"/>
                    <w:rPr>
                      <w:rFonts w:hint="default" w:ascii="Times New Roman" w:hAnsi="Times New Roman" w:cs="Times New Roman"/>
                      <w:color w:val="000000"/>
                      <w:highlight w:val="none"/>
                    </w:rPr>
                  </w:pPr>
                </w:p>
              </w:tc>
              <w:tc>
                <w:tcPr>
                  <w:tcW w:w="368" w:type="pct"/>
                  <w:noWrap w:val="0"/>
                  <w:vAlign w:val="center"/>
                </w:tcPr>
                <w:p w14:paraId="72F833A1">
                  <w:pPr>
                    <w:widowControl w:val="0"/>
                    <w:bidi w:val="0"/>
                    <w:adjustRightInd/>
                    <w:snapToGrid/>
                    <w:spacing w:line="240" w:lineRule="auto"/>
                    <w:ind w:firstLine="0" w:firstLineChars="0"/>
                    <w:jc w:val="center"/>
                    <w:rPr>
                      <w:rFonts w:hint="default" w:ascii="Times New Roman" w:hAnsi="Times New Roman" w:eastAsia="宋体" w:cs="Times New Roman"/>
                      <w:b/>
                      <w:bCs/>
                      <w:color w:val="000000"/>
                      <w:kern w:val="2"/>
                      <w:sz w:val="21"/>
                      <w:szCs w:val="24"/>
                      <w:highlight w:val="none"/>
                      <w:lang w:val="en-US" w:eastAsia="zh-CN" w:bidi="ar-SA"/>
                    </w:rPr>
                  </w:pPr>
                  <w:r>
                    <w:rPr>
                      <w:rFonts w:hint="default" w:ascii="Times New Roman" w:hAnsi="Times New Roman" w:eastAsia="宋体" w:cs="Times New Roman"/>
                      <w:b/>
                      <w:bCs/>
                      <w:color w:val="000000"/>
                      <w:kern w:val="2"/>
                      <w:sz w:val="21"/>
                      <w:szCs w:val="24"/>
                      <w:highlight w:val="none"/>
                      <w:lang w:val="en-US" w:eastAsia="zh-CN" w:bidi="ar-SA"/>
                    </w:rPr>
                    <w:t>SO</w:t>
                  </w:r>
                  <w:r>
                    <w:rPr>
                      <w:rFonts w:hint="default" w:ascii="Times New Roman" w:hAnsi="Times New Roman" w:eastAsia="宋体" w:cs="Times New Roman"/>
                      <w:b/>
                      <w:bCs/>
                      <w:color w:val="000000"/>
                      <w:kern w:val="2"/>
                      <w:sz w:val="21"/>
                      <w:szCs w:val="24"/>
                      <w:highlight w:val="none"/>
                      <w:vertAlign w:val="subscript"/>
                      <w:lang w:val="en-US" w:eastAsia="zh-CN" w:bidi="ar-SA"/>
                    </w:rPr>
                    <w:t>2</w:t>
                  </w:r>
                </w:p>
              </w:tc>
              <w:tc>
                <w:tcPr>
                  <w:tcW w:w="368" w:type="pct"/>
                  <w:noWrap w:val="0"/>
                  <w:vAlign w:val="center"/>
                </w:tcPr>
                <w:p w14:paraId="7F191318">
                  <w:pPr>
                    <w:widowControl w:val="0"/>
                    <w:bidi w:val="0"/>
                    <w:adjustRightInd/>
                    <w:snapToGrid/>
                    <w:spacing w:line="240" w:lineRule="auto"/>
                    <w:ind w:firstLine="0" w:firstLineChars="0"/>
                    <w:jc w:val="center"/>
                    <w:rPr>
                      <w:rFonts w:hint="default" w:ascii="Times New Roman" w:hAnsi="Times New Roman" w:eastAsia="宋体" w:cs="Times New Roman"/>
                      <w:b/>
                      <w:bCs/>
                      <w:color w:val="000000"/>
                      <w:kern w:val="2"/>
                      <w:sz w:val="21"/>
                      <w:szCs w:val="24"/>
                      <w:highlight w:val="none"/>
                      <w:lang w:val="en-US" w:eastAsia="zh-CN" w:bidi="ar-SA"/>
                    </w:rPr>
                  </w:pPr>
                  <w:r>
                    <w:rPr>
                      <w:rFonts w:hint="default" w:ascii="Times New Roman" w:hAnsi="Times New Roman" w:eastAsia="宋体" w:cs="Times New Roman"/>
                      <w:b/>
                      <w:bCs/>
                      <w:color w:val="000000"/>
                      <w:kern w:val="2"/>
                      <w:sz w:val="21"/>
                      <w:szCs w:val="24"/>
                      <w:highlight w:val="none"/>
                      <w:lang w:val="en-US" w:eastAsia="zh-CN" w:bidi="ar-SA"/>
                    </w:rPr>
                    <w:t>NO</w:t>
                  </w:r>
                  <w:r>
                    <w:rPr>
                      <w:rFonts w:hint="default" w:ascii="Times New Roman" w:hAnsi="Times New Roman" w:eastAsia="宋体" w:cs="Times New Roman"/>
                      <w:b/>
                      <w:bCs/>
                      <w:color w:val="000000"/>
                      <w:kern w:val="2"/>
                      <w:sz w:val="21"/>
                      <w:szCs w:val="24"/>
                      <w:highlight w:val="none"/>
                      <w:vertAlign w:val="subscript"/>
                      <w:lang w:val="en-US" w:eastAsia="zh-CN" w:bidi="ar-SA"/>
                    </w:rPr>
                    <w:t>2</w:t>
                  </w:r>
                </w:p>
              </w:tc>
              <w:tc>
                <w:tcPr>
                  <w:tcW w:w="368" w:type="pct"/>
                  <w:noWrap w:val="0"/>
                  <w:vAlign w:val="center"/>
                </w:tcPr>
                <w:p w14:paraId="498B2E2B">
                  <w:pPr>
                    <w:widowControl w:val="0"/>
                    <w:bidi w:val="0"/>
                    <w:adjustRightInd/>
                    <w:snapToGrid/>
                    <w:spacing w:line="240" w:lineRule="auto"/>
                    <w:ind w:firstLine="0" w:firstLineChars="0"/>
                    <w:jc w:val="center"/>
                    <w:rPr>
                      <w:rFonts w:hint="default" w:ascii="Times New Roman" w:hAnsi="Times New Roman" w:eastAsia="宋体" w:cs="Times New Roman"/>
                      <w:b/>
                      <w:bCs/>
                      <w:color w:val="000000"/>
                      <w:kern w:val="2"/>
                      <w:sz w:val="21"/>
                      <w:szCs w:val="24"/>
                      <w:highlight w:val="none"/>
                      <w:lang w:val="en-US" w:eastAsia="zh-CN" w:bidi="ar-SA"/>
                    </w:rPr>
                  </w:pPr>
                  <w:r>
                    <w:rPr>
                      <w:rFonts w:hint="default" w:ascii="Times New Roman" w:hAnsi="Times New Roman" w:eastAsia="宋体" w:cs="Times New Roman"/>
                      <w:b/>
                      <w:bCs/>
                      <w:color w:val="000000"/>
                      <w:kern w:val="2"/>
                      <w:sz w:val="21"/>
                      <w:szCs w:val="24"/>
                      <w:highlight w:val="none"/>
                      <w:lang w:val="en-US" w:eastAsia="zh-CN" w:bidi="ar-SA"/>
                    </w:rPr>
                    <w:t>PM</w:t>
                  </w:r>
                  <w:r>
                    <w:rPr>
                      <w:rFonts w:hint="default" w:ascii="Times New Roman" w:hAnsi="Times New Roman" w:eastAsia="宋体" w:cs="Times New Roman"/>
                      <w:b/>
                      <w:bCs/>
                      <w:color w:val="000000"/>
                      <w:kern w:val="2"/>
                      <w:sz w:val="21"/>
                      <w:szCs w:val="24"/>
                      <w:highlight w:val="none"/>
                      <w:vertAlign w:val="subscript"/>
                      <w:lang w:val="en-US" w:eastAsia="zh-CN" w:bidi="ar-SA"/>
                    </w:rPr>
                    <w:t>10</w:t>
                  </w:r>
                </w:p>
              </w:tc>
              <w:tc>
                <w:tcPr>
                  <w:tcW w:w="368" w:type="pct"/>
                  <w:noWrap w:val="0"/>
                  <w:vAlign w:val="center"/>
                </w:tcPr>
                <w:p w14:paraId="45E24D10">
                  <w:pPr>
                    <w:widowControl w:val="0"/>
                    <w:bidi w:val="0"/>
                    <w:adjustRightInd/>
                    <w:snapToGrid/>
                    <w:spacing w:line="240" w:lineRule="auto"/>
                    <w:ind w:firstLine="0" w:firstLineChars="0"/>
                    <w:jc w:val="center"/>
                    <w:rPr>
                      <w:rFonts w:hint="default" w:ascii="Times New Roman" w:hAnsi="Times New Roman" w:eastAsia="宋体" w:cs="Times New Roman"/>
                      <w:b/>
                      <w:bCs/>
                      <w:color w:val="000000"/>
                      <w:kern w:val="2"/>
                      <w:sz w:val="21"/>
                      <w:szCs w:val="24"/>
                      <w:highlight w:val="none"/>
                      <w:lang w:val="en-US" w:eastAsia="zh-CN" w:bidi="ar-SA"/>
                    </w:rPr>
                  </w:pPr>
                  <w:r>
                    <w:rPr>
                      <w:rFonts w:hint="default" w:ascii="Times New Roman" w:hAnsi="Times New Roman" w:eastAsia="宋体" w:cs="Times New Roman"/>
                      <w:b/>
                      <w:bCs/>
                      <w:color w:val="000000"/>
                      <w:kern w:val="2"/>
                      <w:sz w:val="21"/>
                      <w:szCs w:val="24"/>
                      <w:highlight w:val="none"/>
                      <w:lang w:val="en-US" w:eastAsia="zh-CN" w:bidi="ar-SA"/>
                    </w:rPr>
                    <w:t>PM</w:t>
                  </w:r>
                  <w:r>
                    <w:rPr>
                      <w:rFonts w:hint="default" w:ascii="Times New Roman" w:hAnsi="Times New Roman" w:eastAsia="宋体" w:cs="Times New Roman"/>
                      <w:b/>
                      <w:bCs/>
                      <w:color w:val="000000"/>
                      <w:kern w:val="2"/>
                      <w:sz w:val="21"/>
                      <w:szCs w:val="24"/>
                      <w:highlight w:val="none"/>
                      <w:vertAlign w:val="subscript"/>
                      <w:lang w:val="en-US" w:eastAsia="zh-CN" w:bidi="ar-SA"/>
                    </w:rPr>
                    <w:t>2.5</w:t>
                  </w:r>
                </w:p>
              </w:tc>
              <w:tc>
                <w:tcPr>
                  <w:tcW w:w="368" w:type="pct"/>
                  <w:noWrap w:val="0"/>
                  <w:vAlign w:val="center"/>
                </w:tcPr>
                <w:p w14:paraId="15053BFA">
                  <w:pPr>
                    <w:widowControl w:val="0"/>
                    <w:bidi w:val="0"/>
                    <w:adjustRightInd/>
                    <w:snapToGrid/>
                    <w:spacing w:line="240" w:lineRule="auto"/>
                    <w:ind w:firstLine="0" w:firstLineChars="0"/>
                    <w:jc w:val="center"/>
                    <w:rPr>
                      <w:rFonts w:hint="default" w:ascii="Times New Roman" w:hAnsi="Times New Roman" w:eastAsia="宋体" w:cs="Times New Roman"/>
                      <w:b/>
                      <w:bCs/>
                      <w:color w:val="000000"/>
                      <w:kern w:val="2"/>
                      <w:sz w:val="21"/>
                      <w:szCs w:val="24"/>
                      <w:highlight w:val="none"/>
                      <w:lang w:val="en-US" w:eastAsia="zh-CN" w:bidi="ar-SA"/>
                    </w:rPr>
                  </w:pPr>
                  <w:r>
                    <w:rPr>
                      <w:rFonts w:hint="default" w:ascii="Times New Roman" w:hAnsi="Times New Roman" w:eastAsia="宋体" w:cs="Times New Roman"/>
                      <w:b/>
                      <w:bCs/>
                      <w:color w:val="000000"/>
                      <w:kern w:val="2"/>
                      <w:sz w:val="21"/>
                      <w:szCs w:val="24"/>
                      <w:highlight w:val="none"/>
                      <w:lang w:val="en-US" w:eastAsia="zh-CN" w:bidi="ar-SA"/>
                    </w:rPr>
                    <w:t>CO</w:t>
                  </w:r>
                </w:p>
              </w:tc>
              <w:tc>
                <w:tcPr>
                  <w:tcW w:w="373" w:type="pct"/>
                  <w:noWrap w:val="0"/>
                  <w:vAlign w:val="center"/>
                </w:tcPr>
                <w:p w14:paraId="09C400AC">
                  <w:pPr>
                    <w:widowControl w:val="0"/>
                    <w:bidi w:val="0"/>
                    <w:adjustRightInd/>
                    <w:snapToGrid/>
                    <w:spacing w:line="240" w:lineRule="auto"/>
                    <w:ind w:firstLine="0" w:firstLineChars="0"/>
                    <w:jc w:val="center"/>
                    <w:rPr>
                      <w:rFonts w:hint="default" w:ascii="Times New Roman" w:hAnsi="Times New Roman" w:eastAsia="宋体" w:cs="Times New Roman"/>
                      <w:b/>
                      <w:bCs/>
                      <w:color w:val="000000"/>
                      <w:kern w:val="2"/>
                      <w:sz w:val="21"/>
                      <w:szCs w:val="24"/>
                      <w:highlight w:val="none"/>
                      <w:lang w:val="en-US" w:eastAsia="zh-CN" w:bidi="ar-SA"/>
                    </w:rPr>
                  </w:pPr>
                  <w:r>
                    <w:rPr>
                      <w:rFonts w:hint="default" w:ascii="Times New Roman" w:hAnsi="Times New Roman" w:eastAsia="宋体" w:cs="Times New Roman"/>
                      <w:b/>
                      <w:bCs/>
                      <w:color w:val="000000"/>
                      <w:kern w:val="2"/>
                      <w:sz w:val="21"/>
                      <w:szCs w:val="24"/>
                      <w:highlight w:val="none"/>
                      <w:lang w:val="en-US" w:eastAsia="zh-CN" w:bidi="ar-SA"/>
                    </w:rPr>
                    <w:t>O</w:t>
                  </w:r>
                  <w:r>
                    <w:rPr>
                      <w:rFonts w:hint="default" w:ascii="Times New Roman" w:hAnsi="Times New Roman" w:eastAsia="宋体" w:cs="Times New Roman"/>
                      <w:b/>
                      <w:bCs/>
                      <w:color w:val="000000"/>
                      <w:kern w:val="2"/>
                      <w:sz w:val="21"/>
                      <w:szCs w:val="24"/>
                      <w:highlight w:val="none"/>
                      <w:vertAlign w:val="subscript"/>
                      <w:lang w:val="en-US" w:eastAsia="zh-CN" w:bidi="ar-SA"/>
                    </w:rPr>
                    <w:t>3</w:t>
                  </w:r>
                </w:p>
              </w:tc>
              <w:tc>
                <w:tcPr>
                  <w:tcW w:w="700" w:type="pct"/>
                  <w:noWrap w:val="0"/>
                  <w:vAlign w:val="center"/>
                </w:tcPr>
                <w:p w14:paraId="70A29115">
                  <w:pPr>
                    <w:widowControl w:val="0"/>
                    <w:bidi w:val="0"/>
                    <w:adjustRightInd/>
                    <w:snapToGrid/>
                    <w:spacing w:line="240" w:lineRule="auto"/>
                    <w:ind w:firstLine="0" w:firstLineChars="0"/>
                    <w:jc w:val="center"/>
                    <w:rPr>
                      <w:rFonts w:hint="default" w:ascii="Times New Roman" w:hAnsi="Times New Roman" w:eastAsia="宋体" w:cs="Times New Roman"/>
                      <w:b/>
                      <w:bCs/>
                      <w:color w:val="000000"/>
                      <w:kern w:val="2"/>
                      <w:sz w:val="21"/>
                      <w:szCs w:val="24"/>
                      <w:highlight w:val="none"/>
                      <w:lang w:val="en-US" w:eastAsia="zh-CN" w:bidi="ar-SA"/>
                    </w:rPr>
                  </w:pPr>
                  <w:r>
                    <w:rPr>
                      <w:rFonts w:hint="default" w:ascii="Times New Roman" w:hAnsi="Times New Roman" w:eastAsia="宋体" w:cs="Times New Roman"/>
                      <w:b/>
                      <w:bCs/>
                      <w:color w:val="000000"/>
                      <w:kern w:val="2"/>
                      <w:sz w:val="21"/>
                      <w:szCs w:val="24"/>
                      <w:highlight w:val="none"/>
                      <w:lang w:val="en-US" w:eastAsia="zh-CN" w:bidi="ar-SA"/>
                    </w:rPr>
                    <w:t>一级达标天数</w:t>
                  </w:r>
                </w:p>
              </w:tc>
              <w:tc>
                <w:tcPr>
                  <w:tcW w:w="747" w:type="pct"/>
                  <w:noWrap w:val="0"/>
                  <w:vAlign w:val="center"/>
                </w:tcPr>
                <w:p w14:paraId="52A88E61">
                  <w:pPr>
                    <w:widowControl w:val="0"/>
                    <w:bidi w:val="0"/>
                    <w:adjustRightInd/>
                    <w:snapToGrid/>
                    <w:spacing w:line="240" w:lineRule="auto"/>
                    <w:ind w:firstLine="0" w:firstLineChars="0"/>
                    <w:jc w:val="center"/>
                    <w:rPr>
                      <w:rFonts w:hint="default" w:ascii="Times New Roman" w:hAnsi="Times New Roman" w:eastAsia="宋体" w:cs="Times New Roman"/>
                      <w:b/>
                      <w:bCs/>
                      <w:color w:val="000000"/>
                      <w:kern w:val="2"/>
                      <w:sz w:val="21"/>
                      <w:szCs w:val="24"/>
                      <w:highlight w:val="none"/>
                      <w:lang w:val="en-US" w:eastAsia="zh-CN" w:bidi="ar-SA"/>
                    </w:rPr>
                  </w:pPr>
                  <w:r>
                    <w:rPr>
                      <w:rFonts w:hint="default" w:ascii="Times New Roman" w:hAnsi="Times New Roman" w:eastAsia="宋体" w:cs="Times New Roman"/>
                      <w:b/>
                      <w:bCs/>
                      <w:color w:val="000000"/>
                      <w:kern w:val="2"/>
                      <w:sz w:val="21"/>
                      <w:szCs w:val="24"/>
                      <w:highlight w:val="none"/>
                      <w:lang w:val="en-US" w:eastAsia="zh-CN" w:bidi="ar-SA"/>
                    </w:rPr>
                    <w:t>二级达标天数</w:t>
                  </w:r>
                </w:p>
              </w:tc>
              <w:tc>
                <w:tcPr>
                  <w:tcW w:w="498" w:type="pct"/>
                  <w:noWrap w:val="0"/>
                  <w:vAlign w:val="center"/>
                </w:tcPr>
                <w:p w14:paraId="78D3A89C">
                  <w:pPr>
                    <w:widowControl w:val="0"/>
                    <w:bidi w:val="0"/>
                    <w:adjustRightInd/>
                    <w:snapToGrid/>
                    <w:spacing w:line="240" w:lineRule="auto"/>
                    <w:ind w:firstLine="0" w:firstLineChars="0"/>
                    <w:jc w:val="center"/>
                    <w:rPr>
                      <w:rFonts w:hint="default" w:ascii="Times New Roman" w:hAnsi="Times New Roman" w:eastAsia="宋体" w:cs="Times New Roman"/>
                      <w:b/>
                      <w:bCs/>
                      <w:color w:val="000000"/>
                      <w:kern w:val="2"/>
                      <w:sz w:val="21"/>
                      <w:szCs w:val="24"/>
                      <w:highlight w:val="none"/>
                      <w:lang w:val="en-US" w:eastAsia="zh-CN" w:bidi="ar-SA"/>
                    </w:rPr>
                  </w:pPr>
                  <w:r>
                    <w:rPr>
                      <w:rFonts w:hint="default" w:ascii="Times New Roman" w:hAnsi="Times New Roman" w:eastAsia="宋体" w:cs="Times New Roman"/>
                      <w:b/>
                      <w:bCs/>
                      <w:color w:val="000000"/>
                      <w:kern w:val="2"/>
                      <w:sz w:val="21"/>
                      <w:szCs w:val="24"/>
                      <w:highlight w:val="none"/>
                      <w:lang w:val="en-US" w:eastAsia="zh-CN" w:bidi="ar-SA"/>
                    </w:rPr>
                    <w:t>超标天数</w:t>
                  </w:r>
                </w:p>
              </w:tc>
            </w:tr>
            <w:tr w14:paraId="63B63B86">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45" w:hRule="atLeast"/>
                <w:jc w:val="center"/>
              </w:trPr>
              <w:tc>
                <w:tcPr>
                  <w:tcW w:w="836" w:type="pct"/>
                  <w:noWrap w:val="0"/>
                  <w:vAlign w:val="center"/>
                </w:tcPr>
                <w:p w14:paraId="0009E47C">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b w:val="0"/>
                      <w:bCs w:val="0"/>
                      <w:color w:val="000000"/>
                      <w:kern w:val="2"/>
                      <w:sz w:val="21"/>
                      <w:szCs w:val="24"/>
                      <w:highlight w:val="none"/>
                      <w:lang w:val="en-US" w:eastAsia="zh-CN" w:bidi="ar-SA"/>
                    </w:rPr>
                    <w:t>202</w:t>
                  </w:r>
                  <w:r>
                    <w:rPr>
                      <w:rFonts w:hint="default" w:ascii="Times New Roman" w:hAnsi="Times New Roman" w:cs="Times New Roman"/>
                      <w:b w:val="0"/>
                      <w:bCs w:val="0"/>
                      <w:color w:val="000000"/>
                      <w:kern w:val="2"/>
                      <w:sz w:val="21"/>
                      <w:szCs w:val="24"/>
                      <w:highlight w:val="none"/>
                      <w:lang w:val="en-US" w:eastAsia="zh-CN" w:bidi="ar-SA"/>
                    </w:rPr>
                    <w:t>5</w:t>
                  </w:r>
                  <w:r>
                    <w:rPr>
                      <w:rFonts w:hint="default" w:ascii="Times New Roman" w:hAnsi="Times New Roman" w:eastAsia="宋体" w:cs="Times New Roman"/>
                      <w:color w:val="000000"/>
                      <w:kern w:val="2"/>
                      <w:sz w:val="21"/>
                      <w:szCs w:val="24"/>
                      <w:highlight w:val="none"/>
                      <w:lang w:val="en-US" w:eastAsia="zh-CN" w:bidi="ar-SA"/>
                    </w:rPr>
                    <w:t>年1月</w:t>
                  </w:r>
                </w:p>
              </w:tc>
              <w:tc>
                <w:tcPr>
                  <w:tcW w:w="368" w:type="pct"/>
                  <w:noWrap w:val="0"/>
                  <w:vAlign w:val="center"/>
                </w:tcPr>
                <w:p w14:paraId="14C61E99">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0.003</w:t>
                  </w:r>
                </w:p>
              </w:tc>
              <w:tc>
                <w:tcPr>
                  <w:tcW w:w="368" w:type="pct"/>
                  <w:noWrap w:val="0"/>
                  <w:vAlign w:val="center"/>
                </w:tcPr>
                <w:p w14:paraId="1E8CD20E">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0.0</w:t>
                  </w:r>
                  <w:r>
                    <w:rPr>
                      <w:rFonts w:hint="default" w:ascii="Times New Roman" w:hAnsi="Times New Roman" w:cs="Times New Roman"/>
                      <w:color w:val="000000"/>
                      <w:kern w:val="2"/>
                      <w:sz w:val="21"/>
                      <w:szCs w:val="24"/>
                      <w:highlight w:val="none"/>
                      <w:lang w:val="en-US" w:eastAsia="zh-CN" w:bidi="ar-SA"/>
                    </w:rPr>
                    <w:t>11</w:t>
                  </w:r>
                </w:p>
              </w:tc>
              <w:tc>
                <w:tcPr>
                  <w:tcW w:w="368" w:type="pct"/>
                  <w:noWrap w:val="0"/>
                  <w:vAlign w:val="center"/>
                </w:tcPr>
                <w:p w14:paraId="47E6E193">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0.0</w:t>
                  </w:r>
                  <w:r>
                    <w:rPr>
                      <w:rFonts w:hint="default" w:ascii="Times New Roman" w:hAnsi="Times New Roman" w:cs="Times New Roman"/>
                      <w:color w:val="000000"/>
                      <w:kern w:val="2"/>
                      <w:sz w:val="21"/>
                      <w:szCs w:val="24"/>
                      <w:highlight w:val="none"/>
                      <w:lang w:val="en-US" w:eastAsia="zh-CN" w:bidi="ar-SA"/>
                    </w:rPr>
                    <w:t>43</w:t>
                  </w:r>
                </w:p>
              </w:tc>
              <w:tc>
                <w:tcPr>
                  <w:tcW w:w="368" w:type="pct"/>
                  <w:noWrap w:val="0"/>
                  <w:vAlign w:val="center"/>
                </w:tcPr>
                <w:p w14:paraId="14546B6B">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0.0</w:t>
                  </w:r>
                  <w:r>
                    <w:rPr>
                      <w:rFonts w:hint="default" w:ascii="Times New Roman" w:hAnsi="Times New Roman" w:cs="Times New Roman"/>
                      <w:color w:val="000000"/>
                      <w:kern w:val="2"/>
                      <w:sz w:val="21"/>
                      <w:szCs w:val="24"/>
                      <w:highlight w:val="none"/>
                      <w:lang w:val="en-US" w:eastAsia="zh-CN" w:bidi="ar-SA"/>
                    </w:rPr>
                    <w:t>23</w:t>
                  </w:r>
                </w:p>
              </w:tc>
              <w:tc>
                <w:tcPr>
                  <w:tcW w:w="368" w:type="pct"/>
                  <w:noWrap w:val="0"/>
                  <w:vAlign w:val="center"/>
                </w:tcPr>
                <w:p w14:paraId="50EE1EEE">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0.</w:t>
                  </w:r>
                  <w:r>
                    <w:rPr>
                      <w:rFonts w:hint="default" w:ascii="Times New Roman" w:hAnsi="Times New Roman" w:cs="Times New Roman"/>
                      <w:color w:val="000000"/>
                      <w:kern w:val="2"/>
                      <w:sz w:val="21"/>
                      <w:szCs w:val="24"/>
                      <w:highlight w:val="none"/>
                      <w:lang w:val="en-US" w:eastAsia="zh-CN" w:bidi="ar-SA"/>
                    </w:rPr>
                    <w:t>6</w:t>
                  </w:r>
                </w:p>
              </w:tc>
              <w:tc>
                <w:tcPr>
                  <w:tcW w:w="373" w:type="pct"/>
                  <w:noWrap w:val="0"/>
                  <w:vAlign w:val="center"/>
                </w:tcPr>
                <w:p w14:paraId="3D17CBF8">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0.</w:t>
                  </w:r>
                  <w:r>
                    <w:rPr>
                      <w:rFonts w:hint="default" w:ascii="Times New Roman" w:hAnsi="Times New Roman" w:cs="Times New Roman"/>
                      <w:color w:val="000000"/>
                      <w:kern w:val="2"/>
                      <w:sz w:val="21"/>
                      <w:szCs w:val="24"/>
                      <w:highlight w:val="none"/>
                      <w:lang w:val="en-US" w:eastAsia="zh-CN" w:bidi="ar-SA"/>
                    </w:rPr>
                    <w:t>109</w:t>
                  </w:r>
                </w:p>
              </w:tc>
              <w:tc>
                <w:tcPr>
                  <w:tcW w:w="700" w:type="pct"/>
                  <w:noWrap w:val="0"/>
                  <w:vAlign w:val="center"/>
                </w:tcPr>
                <w:p w14:paraId="28ECB00D">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1</w:t>
                  </w:r>
                  <w:r>
                    <w:rPr>
                      <w:rFonts w:hint="default" w:ascii="Times New Roman" w:hAnsi="Times New Roman" w:cs="Times New Roman"/>
                      <w:color w:val="000000"/>
                      <w:kern w:val="2"/>
                      <w:sz w:val="21"/>
                      <w:szCs w:val="24"/>
                      <w:highlight w:val="none"/>
                      <w:lang w:val="en-US" w:eastAsia="zh-CN" w:bidi="ar-SA"/>
                    </w:rPr>
                    <w:t>8</w:t>
                  </w:r>
                </w:p>
              </w:tc>
              <w:tc>
                <w:tcPr>
                  <w:tcW w:w="747" w:type="pct"/>
                  <w:noWrap w:val="0"/>
                  <w:vAlign w:val="center"/>
                </w:tcPr>
                <w:p w14:paraId="739C4C75">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1</w:t>
                  </w:r>
                  <w:r>
                    <w:rPr>
                      <w:rFonts w:hint="default" w:ascii="Times New Roman" w:hAnsi="Times New Roman" w:cs="Times New Roman"/>
                      <w:color w:val="000000"/>
                      <w:kern w:val="2"/>
                      <w:sz w:val="21"/>
                      <w:szCs w:val="24"/>
                      <w:highlight w:val="none"/>
                      <w:lang w:val="en-US" w:eastAsia="zh-CN" w:bidi="ar-SA"/>
                    </w:rPr>
                    <w:t>3</w:t>
                  </w:r>
                </w:p>
              </w:tc>
              <w:tc>
                <w:tcPr>
                  <w:tcW w:w="498" w:type="pct"/>
                  <w:noWrap w:val="0"/>
                  <w:vAlign w:val="center"/>
                </w:tcPr>
                <w:p w14:paraId="41F824C4">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0</w:t>
                  </w:r>
                </w:p>
              </w:tc>
            </w:tr>
            <w:tr w14:paraId="785C2992">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45" w:hRule="atLeast"/>
                <w:jc w:val="center"/>
              </w:trPr>
              <w:tc>
                <w:tcPr>
                  <w:tcW w:w="836" w:type="pct"/>
                  <w:noWrap w:val="0"/>
                  <w:vAlign w:val="center"/>
                </w:tcPr>
                <w:p w14:paraId="5693CCB6">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b w:val="0"/>
                      <w:bCs w:val="0"/>
                      <w:color w:val="000000"/>
                      <w:kern w:val="2"/>
                      <w:sz w:val="21"/>
                      <w:szCs w:val="24"/>
                      <w:highlight w:val="none"/>
                      <w:lang w:val="en-US" w:eastAsia="zh-CN" w:bidi="ar-SA"/>
                    </w:rPr>
                    <w:t>202</w:t>
                  </w:r>
                  <w:r>
                    <w:rPr>
                      <w:rFonts w:hint="default" w:ascii="Times New Roman" w:hAnsi="Times New Roman" w:cs="Times New Roman"/>
                      <w:b w:val="0"/>
                      <w:bCs w:val="0"/>
                      <w:color w:val="000000"/>
                      <w:kern w:val="2"/>
                      <w:sz w:val="21"/>
                      <w:szCs w:val="24"/>
                      <w:highlight w:val="none"/>
                      <w:lang w:val="en-US" w:eastAsia="zh-CN" w:bidi="ar-SA"/>
                    </w:rPr>
                    <w:t>5</w:t>
                  </w:r>
                  <w:r>
                    <w:rPr>
                      <w:rFonts w:hint="default" w:ascii="Times New Roman" w:hAnsi="Times New Roman" w:eastAsia="宋体" w:cs="Times New Roman"/>
                      <w:b w:val="0"/>
                      <w:bCs w:val="0"/>
                      <w:color w:val="000000"/>
                      <w:kern w:val="2"/>
                      <w:sz w:val="21"/>
                      <w:szCs w:val="24"/>
                      <w:highlight w:val="none"/>
                      <w:lang w:val="en-US" w:eastAsia="zh-CN" w:bidi="ar-SA"/>
                    </w:rPr>
                    <w:t>年</w:t>
                  </w:r>
                  <w:r>
                    <w:rPr>
                      <w:rFonts w:hint="default" w:ascii="Times New Roman" w:hAnsi="Times New Roman" w:eastAsia="宋体" w:cs="Times New Roman"/>
                      <w:color w:val="000000"/>
                      <w:kern w:val="2"/>
                      <w:sz w:val="21"/>
                      <w:szCs w:val="24"/>
                      <w:highlight w:val="none"/>
                      <w:lang w:val="en-US" w:eastAsia="zh-CN" w:bidi="ar-SA"/>
                    </w:rPr>
                    <w:t>2月</w:t>
                  </w:r>
                </w:p>
              </w:tc>
              <w:tc>
                <w:tcPr>
                  <w:tcW w:w="368" w:type="pct"/>
                  <w:noWrap w:val="0"/>
                  <w:vAlign w:val="center"/>
                </w:tcPr>
                <w:p w14:paraId="759F33E9">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0.00</w:t>
                  </w:r>
                  <w:r>
                    <w:rPr>
                      <w:rFonts w:hint="default" w:ascii="Times New Roman" w:hAnsi="Times New Roman" w:cs="Times New Roman"/>
                      <w:color w:val="000000"/>
                      <w:kern w:val="2"/>
                      <w:sz w:val="21"/>
                      <w:szCs w:val="24"/>
                      <w:highlight w:val="none"/>
                      <w:lang w:val="en-US" w:eastAsia="zh-CN" w:bidi="ar-SA"/>
                    </w:rPr>
                    <w:t>2</w:t>
                  </w:r>
                </w:p>
              </w:tc>
              <w:tc>
                <w:tcPr>
                  <w:tcW w:w="368" w:type="pct"/>
                  <w:noWrap w:val="0"/>
                  <w:vAlign w:val="center"/>
                </w:tcPr>
                <w:p w14:paraId="107A8F37">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0.0</w:t>
                  </w:r>
                  <w:r>
                    <w:rPr>
                      <w:rFonts w:hint="default" w:ascii="Times New Roman" w:hAnsi="Times New Roman" w:cs="Times New Roman"/>
                      <w:color w:val="000000"/>
                      <w:kern w:val="2"/>
                      <w:sz w:val="21"/>
                      <w:szCs w:val="24"/>
                      <w:highlight w:val="none"/>
                      <w:lang w:val="en-US" w:eastAsia="zh-CN" w:bidi="ar-SA"/>
                    </w:rPr>
                    <w:t>11</w:t>
                  </w:r>
                </w:p>
              </w:tc>
              <w:tc>
                <w:tcPr>
                  <w:tcW w:w="368" w:type="pct"/>
                  <w:noWrap w:val="0"/>
                  <w:vAlign w:val="center"/>
                </w:tcPr>
                <w:p w14:paraId="6A97BB2C">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0.0</w:t>
                  </w:r>
                  <w:r>
                    <w:rPr>
                      <w:rFonts w:hint="default" w:ascii="Times New Roman" w:hAnsi="Times New Roman" w:cs="Times New Roman"/>
                      <w:color w:val="000000"/>
                      <w:kern w:val="2"/>
                      <w:sz w:val="21"/>
                      <w:szCs w:val="24"/>
                      <w:highlight w:val="none"/>
                      <w:lang w:val="en-US" w:eastAsia="zh-CN" w:bidi="ar-SA"/>
                    </w:rPr>
                    <w:t>34</w:t>
                  </w:r>
                </w:p>
              </w:tc>
              <w:tc>
                <w:tcPr>
                  <w:tcW w:w="368" w:type="pct"/>
                  <w:noWrap w:val="0"/>
                  <w:vAlign w:val="center"/>
                </w:tcPr>
                <w:p w14:paraId="38A728B9">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0.02</w:t>
                  </w:r>
                  <w:r>
                    <w:rPr>
                      <w:rFonts w:hint="default" w:ascii="Times New Roman" w:hAnsi="Times New Roman" w:cs="Times New Roman"/>
                      <w:color w:val="000000"/>
                      <w:kern w:val="2"/>
                      <w:sz w:val="21"/>
                      <w:szCs w:val="24"/>
                      <w:highlight w:val="none"/>
                      <w:lang w:val="en-US" w:eastAsia="zh-CN" w:bidi="ar-SA"/>
                    </w:rPr>
                    <w:t>4</w:t>
                  </w:r>
                </w:p>
              </w:tc>
              <w:tc>
                <w:tcPr>
                  <w:tcW w:w="368" w:type="pct"/>
                  <w:noWrap w:val="0"/>
                  <w:vAlign w:val="center"/>
                </w:tcPr>
                <w:p w14:paraId="0D505E64">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kern w:val="2"/>
                      <w:sz w:val="21"/>
                      <w:szCs w:val="24"/>
                      <w:highlight w:val="none"/>
                      <w:lang w:val="en-US" w:eastAsia="zh-CN" w:bidi="ar-SA"/>
                    </w:rPr>
                    <w:t>0.6</w:t>
                  </w:r>
                </w:p>
              </w:tc>
              <w:tc>
                <w:tcPr>
                  <w:tcW w:w="373" w:type="pct"/>
                  <w:noWrap w:val="0"/>
                  <w:vAlign w:val="center"/>
                </w:tcPr>
                <w:p w14:paraId="164D3B6F">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0.</w:t>
                  </w:r>
                  <w:r>
                    <w:rPr>
                      <w:rFonts w:hint="default" w:ascii="Times New Roman" w:hAnsi="Times New Roman" w:cs="Times New Roman"/>
                      <w:color w:val="000000"/>
                      <w:kern w:val="2"/>
                      <w:sz w:val="21"/>
                      <w:szCs w:val="24"/>
                      <w:highlight w:val="none"/>
                      <w:lang w:val="en-US" w:eastAsia="zh-CN" w:bidi="ar-SA"/>
                    </w:rPr>
                    <w:t>091</w:t>
                  </w:r>
                </w:p>
              </w:tc>
              <w:tc>
                <w:tcPr>
                  <w:tcW w:w="700" w:type="pct"/>
                  <w:noWrap w:val="0"/>
                  <w:vAlign w:val="center"/>
                </w:tcPr>
                <w:p w14:paraId="5FFF1BC0">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kern w:val="2"/>
                      <w:sz w:val="21"/>
                      <w:szCs w:val="24"/>
                      <w:highlight w:val="none"/>
                      <w:lang w:val="en-US" w:eastAsia="zh-CN" w:bidi="ar-SA"/>
                    </w:rPr>
                    <w:t>20</w:t>
                  </w:r>
                </w:p>
              </w:tc>
              <w:tc>
                <w:tcPr>
                  <w:tcW w:w="747" w:type="pct"/>
                  <w:noWrap w:val="0"/>
                  <w:vAlign w:val="center"/>
                </w:tcPr>
                <w:p w14:paraId="1D20BCF6">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8</w:t>
                  </w:r>
                </w:p>
              </w:tc>
              <w:tc>
                <w:tcPr>
                  <w:tcW w:w="498" w:type="pct"/>
                  <w:noWrap w:val="0"/>
                  <w:vAlign w:val="center"/>
                </w:tcPr>
                <w:p w14:paraId="19C43952">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kern w:val="2"/>
                      <w:sz w:val="21"/>
                      <w:szCs w:val="24"/>
                      <w:highlight w:val="none"/>
                      <w:lang w:val="en-US" w:eastAsia="zh-CN" w:bidi="ar-SA"/>
                    </w:rPr>
                    <w:t>0</w:t>
                  </w:r>
                </w:p>
              </w:tc>
            </w:tr>
            <w:tr w14:paraId="6B69F0F8">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45" w:hRule="atLeast"/>
                <w:jc w:val="center"/>
              </w:trPr>
              <w:tc>
                <w:tcPr>
                  <w:tcW w:w="836" w:type="pct"/>
                  <w:noWrap w:val="0"/>
                  <w:vAlign w:val="center"/>
                </w:tcPr>
                <w:p w14:paraId="192F51E8">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b w:val="0"/>
                      <w:bCs w:val="0"/>
                      <w:color w:val="000000"/>
                      <w:kern w:val="2"/>
                      <w:sz w:val="21"/>
                      <w:szCs w:val="24"/>
                      <w:highlight w:val="none"/>
                      <w:lang w:val="en-US" w:eastAsia="zh-CN" w:bidi="ar-SA"/>
                    </w:rPr>
                    <w:t>202</w:t>
                  </w:r>
                  <w:r>
                    <w:rPr>
                      <w:rFonts w:hint="default" w:ascii="Times New Roman" w:hAnsi="Times New Roman" w:cs="Times New Roman"/>
                      <w:b w:val="0"/>
                      <w:bCs w:val="0"/>
                      <w:color w:val="000000"/>
                      <w:kern w:val="2"/>
                      <w:sz w:val="21"/>
                      <w:szCs w:val="24"/>
                      <w:highlight w:val="none"/>
                      <w:lang w:val="en-US" w:eastAsia="zh-CN" w:bidi="ar-SA"/>
                    </w:rPr>
                    <w:t>5</w:t>
                  </w:r>
                  <w:r>
                    <w:rPr>
                      <w:rFonts w:hint="default" w:ascii="Times New Roman" w:hAnsi="Times New Roman" w:eastAsia="宋体" w:cs="Times New Roman"/>
                      <w:b w:val="0"/>
                      <w:bCs w:val="0"/>
                      <w:color w:val="000000"/>
                      <w:kern w:val="2"/>
                      <w:sz w:val="21"/>
                      <w:szCs w:val="24"/>
                      <w:highlight w:val="none"/>
                      <w:lang w:val="en-US" w:eastAsia="zh-CN" w:bidi="ar-SA"/>
                    </w:rPr>
                    <w:t>年</w:t>
                  </w:r>
                  <w:r>
                    <w:rPr>
                      <w:rFonts w:hint="default" w:ascii="Times New Roman" w:hAnsi="Times New Roman" w:eastAsia="宋体" w:cs="Times New Roman"/>
                      <w:color w:val="000000"/>
                      <w:kern w:val="2"/>
                      <w:sz w:val="21"/>
                      <w:szCs w:val="24"/>
                      <w:highlight w:val="none"/>
                      <w:lang w:val="en-US" w:eastAsia="zh-CN" w:bidi="ar-SA"/>
                    </w:rPr>
                    <w:t>3月</w:t>
                  </w:r>
                </w:p>
              </w:tc>
              <w:tc>
                <w:tcPr>
                  <w:tcW w:w="368" w:type="pct"/>
                  <w:noWrap w:val="0"/>
                  <w:vAlign w:val="center"/>
                </w:tcPr>
                <w:p w14:paraId="2C83B12B">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0.00</w:t>
                  </w:r>
                  <w:r>
                    <w:rPr>
                      <w:rFonts w:hint="default" w:ascii="Times New Roman" w:hAnsi="Times New Roman" w:cs="Times New Roman"/>
                      <w:color w:val="000000"/>
                      <w:kern w:val="2"/>
                      <w:sz w:val="21"/>
                      <w:szCs w:val="24"/>
                      <w:highlight w:val="none"/>
                      <w:lang w:val="en-US" w:eastAsia="zh-CN" w:bidi="ar-SA"/>
                    </w:rPr>
                    <w:t>3</w:t>
                  </w:r>
                </w:p>
              </w:tc>
              <w:tc>
                <w:tcPr>
                  <w:tcW w:w="368" w:type="pct"/>
                  <w:noWrap w:val="0"/>
                  <w:vAlign w:val="center"/>
                </w:tcPr>
                <w:p w14:paraId="57CE0268">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0.0</w:t>
                  </w:r>
                  <w:r>
                    <w:rPr>
                      <w:rFonts w:hint="default" w:ascii="Times New Roman" w:hAnsi="Times New Roman" w:cs="Times New Roman"/>
                      <w:color w:val="000000"/>
                      <w:kern w:val="2"/>
                      <w:sz w:val="21"/>
                      <w:szCs w:val="24"/>
                      <w:highlight w:val="none"/>
                      <w:lang w:val="en-US" w:eastAsia="zh-CN" w:bidi="ar-SA"/>
                    </w:rPr>
                    <w:t>09</w:t>
                  </w:r>
                </w:p>
              </w:tc>
              <w:tc>
                <w:tcPr>
                  <w:tcW w:w="368" w:type="pct"/>
                  <w:noWrap w:val="0"/>
                  <w:vAlign w:val="center"/>
                </w:tcPr>
                <w:p w14:paraId="3571C623">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0.0</w:t>
                  </w:r>
                  <w:r>
                    <w:rPr>
                      <w:rFonts w:hint="default" w:ascii="Times New Roman" w:hAnsi="Times New Roman" w:cs="Times New Roman"/>
                      <w:color w:val="000000"/>
                      <w:kern w:val="2"/>
                      <w:sz w:val="21"/>
                      <w:szCs w:val="24"/>
                      <w:highlight w:val="none"/>
                      <w:lang w:val="en-US" w:eastAsia="zh-CN" w:bidi="ar-SA"/>
                    </w:rPr>
                    <w:t>35</w:t>
                  </w:r>
                </w:p>
              </w:tc>
              <w:tc>
                <w:tcPr>
                  <w:tcW w:w="368" w:type="pct"/>
                  <w:noWrap w:val="0"/>
                  <w:vAlign w:val="center"/>
                </w:tcPr>
                <w:p w14:paraId="2CEDF09C">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0.0</w:t>
                  </w:r>
                  <w:r>
                    <w:rPr>
                      <w:rFonts w:hint="default" w:ascii="Times New Roman" w:hAnsi="Times New Roman" w:cs="Times New Roman"/>
                      <w:color w:val="000000"/>
                      <w:kern w:val="2"/>
                      <w:sz w:val="21"/>
                      <w:szCs w:val="24"/>
                      <w:highlight w:val="none"/>
                      <w:lang w:val="en-US" w:eastAsia="zh-CN" w:bidi="ar-SA"/>
                    </w:rPr>
                    <w:t>17</w:t>
                  </w:r>
                </w:p>
              </w:tc>
              <w:tc>
                <w:tcPr>
                  <w:tcW w:w="368" w:type="pct"/>
                  <w:noWrap w:val="0"/>
                  <w:vAlign w:val="center"/>
                </w:tcPr>
                <w:p w14:paraId="4A16D43C">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kern w:val="2"/>
                      <w:sz w:val="21"/>
                      <w:szCs w:val="24"/>
                      <w:highlight w:val="none"/>
                      <w:lang w:val="en-US" w:eastAsia="zh-CN" w:bidi="ar-SA"/>
                    </w:rPr>
                    <w:t>0.8</w:t>
                  </w:r>
                </w:p>
              </w:tc>
              <w:tc>
                <w:tcPr>
                  <w:tcW w:w="373" w:type="pct"/>
                  <w:noWrap w:val="0"/>
                  <w:vAlign w:val="center"/>
                </w:tcPr>
                <w:p w14:paraId="27845992">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0.1</w:t>
                  </w:r>
                  <w:r>
                    <w:rPr>
                      <w:rFonts w:hint="default" w:ascii="Times New Roman" w:hAnsi="Times New Roman" w:cs="Times New Roman"/>
                      <w:color w:val="000000"/>
                      <w:kern w:val="2"/>
                      <w:sz w:val="21"/>
                      <w:szCs w:val="24"/>
                      <w:highlight w:val="none"/>
                      <w:lang w:val="en-US" w:eastAsia="zh-CN" w:bidi="ar-SA"/>
                    </w:rPr>
                    <w:t>33</w:t>
                  </w:r>
                </w:p>
              </w:tc>
              <w:tc>
                <w:tcPr>
                  <w:tcW w:w="700" w:type="pct"/>
                  <w:noWrap w:val="0"/>
                  <w:vAlign w:val="center"/>
                </w:tcPr>
                <w:p w14:paraId="255487A8">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kern w:val="2"/>
                      <w:sz w:val="21"/>
                      <w:szCs w:val="24"/>
                      <w:highlight w:val="none"/>
                      <w:lang w:val="en-US" w:eastAsia="zh-CN" w:bidi="ar-SA"/>
                    </w:rPr>
                    <w:t>18</w:t>
                  </w:r>
                </w:p>
              </w:tc>
              <w:tc>
                <w:tcPr>
                  <w:tcW w:w="747" w:type="pct"/>
                  <w:noWrap w:val="0"/>
                  <w:vAlign w:val="center"/>
                </w:tcPr>
                <w:p w14:paraId="73140D73">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kern w:val="2"/>
                      <w:sz w:val="21"/>
                      <w:szCs w:val="24"/>
                      <w:highlight w:val="none"/>
                      <w:lang w:val="en-US" w:eastAsia="zh-CN" w:bidi="ar-SA"/>
                    </w:rPr>
                    <w:t>13</w:t>
                  </w:r>
                </w:p>
              </w:tc>
              <w:tc>
                <w:tcPr>
                  <w:tcW w:w="498" w:type="pct"/>
                  <w:noWrap w:val="0"/>
                  <w:vAlign w:val="center"/>
                </w:tcPr>
                <w:p w14:paraId="79CF7F45">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0</w:t>
                  </w:r>
                </w:p>
              </w:tc>
            </w:tr>
            <w:tr w14:paraId="54593BED">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45" w:hRule="atLeast"/>
                <w:jc w:val="center"/>
              </w:trPr>
              <w:tc>
                <w:tcPr>
                  <w:tcW w:w="836" w:type="pct"/>
                  <w:noWrap w:val="0"/>
                  <w:vAlign w:val="center"/>
                </w:tcPr>
                <w:p w14:paraId="4B29C471">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b w:val="0"/>
                      <w:bCs w:val="0"/>
                      <w:color w:val="000000"/>
                      <w:kern w:val="2"/>
                      <w:sz w:val="21"/>
                      <w:szCs w:val="24"/>
                      <w:highlight w:val="none"/>
                      <w:lang w:val="en-US" w:eastAsia="zh-CN" w:bidi="ar-SA"/>
                    </w:rPr>
                    <w:t>202</w:t>
                  </w:r>
                  <w:r>
                    <w:rPr>
                      <w:rFonts w:hint="default" w:ascii="Times New Roman" w:hAnsi="Times New Roman" w:cs="Times New Roman"/>
                      <w:b w:val="0"/>
                      <w:bCs w:val="0"/>
                      <w:color w:val="000000"/>
                      <w:kern w:val="2"/>
                      <w:sz w:val="21"/>
                      <w:szCs w:val="24"/>
                      <w:highlight w:val="none"/>
                      <w:lang w:val="en-US" w:eastAsia="zh-CN" w:bidi="ar-SA"/>
                    </w:rPr>
                    <w:t>5</w:t>
                  </w:r>
                  <w:r>
                    <w:rPr>
                      <w:rFonts w:hint="default" w:ascii="Times New Roman" w:hAnsi="Times New Roman" w:eastAsia="宋体" w:cs="Times New Roman"/>
                      <w:b w:val="0"/>
                      <w:bCs w:val="0"/>
                      <w:color w:val="000000"/>
                      <w:kern w:val="2"/>
                      <w:sz w:val="21"/>
                      <w:szCs w:val="24"/>
                      <w:highlight w:val="none"/>
                      <w:lang w:val="en-US" w:eastAsia="zh-CN" w:bidi="ar-SA"/>
                    </w:rPr>
                    <w:t>年</w:t>
                  </w:r>
                  <w:r>
                    <w:rPr>
                      <w:rFonts w:hint="default" w:ascii="Times New Roman" w:hAnsi="Times New Roman" w:eastAsia="宋体" w:cs="Times New Roman"/>
                      <w:color w:val="000000"/>
                      <w:kern w:val="2"/>
                      <w:sz w:val="21"/>
                      <w:szCs w:val="24"/>
                      <w:highlight w:val="none"/>
                      <w:lang w:val="en-US" w:eastAsia="zh-CN" w:bidi="ar-SA"/>
                    </w:rPr>
                    <w:t>4月</w:t>
                  </w:r>
                </w:p>
              </w:tc>
              <w:tc>
                <w:tcPr>
                  <w:tcW w:w="368" w:type="pct"/>
                  <w:noWrap w:val="0"/>
                  <w:vAlign w:val="center"/>
                </w:tcPr>
                <w:p w14:paraId="26FAF01E">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0.00</w:t>
                  </w:r>
                  <w:r>
                    <w:rPr>
                      <w:rFonts w:hint="default" w:ascii="Times New Roman" w:hAnsi="Times New Roman" w:cs="Times New Roman"/>
                      <w:color w:val="000000"/>
                      <w:kern w:val="2"/>
                      <w:sz w:val="21"/>
                      <w:szCs w:val="24"/>
                      <w:highlight w:val="none"/>
                      <w:lang w:val="en-US" w:eastAsia="zh-CN" w:bidi="ar-SA"/>
                    </w:rPr>
                    <w:t>2</w:t>
                  </w:r>
                </w:p>
              </w:tc>
              <w:tc>
                <w:tcPr>
                  <w:tcW w:w="368" w:type="pct"/>
                  <w:noWrap w:val="0"/>
                  <w:vAlign w:val="center"/>
                </w:tcPr>
                <w:p w14:paraId="53295D8B">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0.0</w:t>
                  </w:r>
                  <w:r>
                    <w:rPr>
                      <w:rFonts w:hint="default" w:ascii="Times New Roman" w:hAnsi="Times New Roman" w:cs="Times New Roman"/>
                      <w:color w:val="000000"/>
                      <w:kern w:val="2"/>
                      <w:sz w:val="21"/>
                      <w:szCs w:val="24"/>
                      <w:highlight w:val="none"/>
                      <w:lang w:val="en-US" w:eastAsia="zh-CN" w:bidi="ar-SA"/>
                    </w:rPr>
                    <w:t>15</w:t>
                  </w:r>
                </w:p>
              </w:tc>
              <w:tc>
                <w:tcPr>
                  <w:tcW w:w="368" w:type="pct"/>
                  <w:noWrap w:val="0"/>
                  <w:vAlign w:val="center"/>
                </w:tcPr>
                <w:p w14:paraId="298CEC13">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0.0</w:t>
                  </w:r>
                  <w:r>
                    <w:rPr>
                      <w:rFonts w:hint="default" w:ascii="Times New Roman" w:hAnsi="Times New Roman" w:cs="Times New Roman"/>
                      <w:color w:val="000000"/>
                      <w:kern w:val="2"/>
                      <w:sz w:val="21"/>
                      <w:szCs w:val="24"/>
                      <w:highlight w:val="none"/>
                      <w:lang w:val="en-US" w:eastAsia="zh-CN" w:bidi="ar-SA"/>
                    </w:rPr>
                    <w:t>45</w:t>
                  </w:r>
                </w:p>
              </w:tc>
              <w:tc>
                <w:tcPr>
                  <w:tcW w:w="368" w:type="pct"/>
                  <w:noWrap w:val="0"/>
                  <w:vAlign w:val="center"/>
                </w:tcPr>
                <w:p w14:paraId="1CADBEB9">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0.0</w:t>
                  </w:r>
                  <w:r>
                    <w:rPr>
                      <w:rFonts w:hint="default" w:ascii="Times New Roman" w:hAnsi="Times New Roman" w:cs="Times New Roman"/>
                      <w:color w:val="000000"/>
                      <w:kern w:val="2"/>
                      <w:sz w:val="21"/>
                      <w:szCs w:val="24"/>
                      <w:highlight w:val="none"/>
                      <w:lang w:val="en-US" w:eastAsia="zh-CN" w:bidi="ar-SA"/>
                    </w:rPr>
                    <w:t>24</w:t>
                  </w:r>
                </w:p>
              </w:tc>
              <w:tc>
                <w:tcPr>
                  <w:tcW w:w="368" w:type="pct"/>
                  <w:noWrap w:val="0"/>
                  <w:vAlign w:val="center"/>
                </w:tcPr>
                <w:p w14:paraId="54C7D1CC">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0.8</w:t>
                  </w:r>
                </w:p>
              </w:tc>
              <w:tc>
                <w:tcPr>
                  <w:tcW w:w="373" w:type="pct"/>
                  <w:noWrap w:val="0"/>
                  <w:vAlign w:val="center"/>
                </w:tcPr>
                <w:p w14:paraId="40FAA7D1">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0.1</w:t>
                  </w:r>
                  <w:r>
                    <w:rPr>
                      <w:rFonts w:hint="default" w:ascii="Times New Roman" w:hAnsi="Times New Roman" w:cs="Times New Roman"/>
                      <w:color w:val="000000"/>
                      <w:kern w:val="2"/>
                      <w:sz w:val="21"/>
                      <w:szCs w:val="24"/>
                      <w:highlight w:val="none"/>
                      <w:lang w:val="en-US" w:eastAsia="zh-CN" w:bidi="ar-SA"/>
                    </w:rPr>
                    <w:t>44</w:t>
                  </w:r>
                </w:p>
              </w:tc>
              <w:tc>
                <w:tcPr>
                  <w:tcW w:w="700" w:type="pct"/>
                  <w:noWrap w:val="0"/>
                  <w:vAlign w:val="center"/>
                </w:tcPr>
                <w:p w14:paraId="61DD4DAF">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kern w:val="2"/>
                      <w:sz w:val="21"/>
                      <w:szCs w:val="24"/>
                      <w:highlight w:val="none"/>
                      <w:lang w:val="en-US" w:eastAsia="zh-CN" w:bidi="ar-SA"/>
                    </w:rPr>
                    <w:t>8</w:t>
                  </w:r>
                </w:p>
              </w:tc>
              <w:tc>
                <w:tcPr>
                  <w:tcW w:w="747" w:type="pct"/>
                  <w:noWrap w:val="0"/>
                  <w:vAlign w:val="center"/>
                </w:tcPr>
                <w:p w14:paraId="1BFD8673">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kern w:val="2"/>
                      <w:sz w:val="21"/>
                      <w:szCs w:val="24"/>
                      <w:highlight w:val="none"/>
                      <w:lang w:val="en-US" w:eastAsia="zh-CN" w:bidi="ar-SA"/>
                    </w:rPr>
                    <w:t>22</w:t>
                  </w:r>
                </w:p>
              </w:tc>
              <w:tc>
                <w:tcPr>
                  <w:tcW w:w="498" w:type="pct"/>
                  <w:noWrap w:val="0"/>
                  <w:vAlign w:val="center"/>
                </w:tcPr>
                <w:p w14:paraId="18FBEA87">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0</w:t>
                  </w:r>
                </w:p>
              </w:tc>
            </w:tr>
            <w:tr w14:paraId="6DBADD50">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45" w:hRule="atLeast"/>
                <w:jc w:val="center"/>
              </w:trPr>
              <w:tc>
                <w:tcPr>
                  <w:tcW w:w="836" w:type="pct"/>
                  <w:noWrap w:val="0"/>
                  <w:vAlign w:val="center"/>
                </w:tcPr>
                <w:p w14:paraId="21787FD3">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b w:val="0"/>
                      <w:bCs w:val="0"/>
                      <w:color w:val="000000"/>
                      <w:kern w:val="2"/>
                      <w:sz w:val="21"/>
                      <w:szCs w:val="24"/>
                      <w:highlight w:val="none"/>
                      <w:lang w:val="en-US" w:eastAsia="zh-CN" w:bidi="ar-SA"/>
                    </w:rPr>
                    <w:t>202</w:t>
                  </w:r>
                  <w:r>
                    <w:rPr>
                      <w:rFonts w:hint="default" w:ascii="Times New Roman" w:hAnsi="Times New Roman" w:cs="Times New Roman"/>
                      <w:b w:val="0"/>
                      <w:bCs w:val="0"/>
                      <w:color w:val="000000"/>
                      <w:kern w:val="2"/>
                      <w:sz w:val="21"/>
                      <w:szCs w:val="24"/>
                      <w:highlight w:val="none"/>
                      <w:lang w:val="en-US" w:eastAsia="zh-CN" w:bidi="ar-SA"/>
                    </w:rPr>
                    <w:t>5</w:t>
                  </w:r>
                  <w:r>
                    <w:rPr>
                      <w:rFonts w:hint="default" w:ascii="Times New Roman" w:hAnsi="Times New Roman" w:eastAsia="宋体" w:cs="Times New Roman"/>
                      <w:b w:val="0"/>
                      <w:bCs w:val="0"/>
                      <w:color w:val="000000"/>
                      <w:kern w:val="2"/>
                      <w:sz w:val="21"/>
                      <w:szCs w:val="24"/>
                      <w:highlight w:val="none"/>
                      <w:lang w:val="en-US" w:eastAsia="zh-CN" w:bidi="ar-SA"/>
                    </w:rPr>
                    <w:t>年</w:t>
                  </w:r>
                  <w:r>
                    <w:rPr>
                      <w:rFonts w:hint="default" w:ascii="Times New Roman" w:hAnsi="Times New Roman" w:eastAsia="宋体" w:cs="Times New Roman"/>
                      <w:color w:val="000000"/>
                      <w:kern w:val="2"/>
                      <w:sz w:val="21"/>
                      <w:szCs w:val="24"/>
                      <w:highlight w:val="none"/>
                      <w:lang w:val="en-US" w:eastAsia="zh-CN" w:bidi="ar-SA"/>
                    </w:rPr>
                    <w:t>5月</w:t>
                  </w:r>
                </w:p>
              </w:tc>
              <w:tc>
                <w:tcPr>
                  <w:tcW w:w="368" w:type="pct"/>
                  <w:noWrap w:val="0"/>
                  <w:vAlign w:val="center"/>
                </w:tcPr>
                <w:p w14:paraId="5769AB25">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0.002</w:t>
                  </w:r>
                </w:p>
              </w:tc>
              <w:tc>
                <w:tcPr>
                  <w:tcW w:w="368" w:type="pct"/>
                  <w:noWrap w:val="0"/>
                  <w:vAlign w:val="center"/>
                </w:tcPr>
                <w:p w14:paraId="0FA8A0E0">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0.011</w:t>
                  </w:r>
                </w:p>
              </w:tc>
              <w:tc>
                <w:tcPr>
                  <w:tcW w:w="368" w:type="pct"/>
                  <w:noWrap w:val="0"/>
                  <w:vAlign w:val="center"/>
                </w:tcPr>
                <w:p w14:paraId="0E9B7544">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0.0</w:t>
                  </w:r>
                  <w:r>
                    <w:rPr>
                      <w:rFonts w:hint="default" w:ascii="Times New Roman" w:hAnsi="Times New Roman" w:cs="Times New Roman"/>
                      <w:color w:val="000000"/>
                      <w:kern w:val="2"/>
                      <w:sz w:val="21"/>
                      <w:szCs w:val="24"/>
                      <w:highlight w:val="none"/>
                      <w:lang w:val="en-US" w:eastAsia="zh-CN" w:bidi="ar-SA"/>
                    </w:rPr>
                    <w:t>34</w:t>
                  </w:r>
                </w:p>
              </w:tc>
              <w:tc>
                <w:tcPr>
                  <w:tcW w:w="368" w:type="pct"/>
                  <w:noWrap w:val="0"/>
                  <w:vAlign w:val="center"/>
                </w:tcPr>
                <w:p w14:paraId="44CFDA93">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0.0</w:t>
                  </w:r>
                  <w:r>
                    <w:rPr>
                      <w:rFonts w:hint="default" w:ascii="Times New Roman" w:hAnsi="Times New Roman" w:cs="Times New Roman"/>
                      <w:color w:val="000000"/>
                      <w:kern w:val="2"/>
                      <w:sz w:val="21"/>
                      <w:szCs w:val="24"/>
                      <w:highlight w:val="none"/>
                      <w:lang w:val="en-US" w:eastAsia="zh-CN" w:bidi="ar-SA"/>
                    </w:rPr>
                    <w:t>20</w:t>
                  </w:r>
                </w:p>
              </w:tc>
              <w:tc>
                <w:tcPr>
                  <w:tcW w:w="368" w:type="pct"/>
                  <w:noWrap w:val="0"/>
                  <w:vAlign w:val="center"/>
                </w:tcPr>
                <w:p w14:paraId="2A6B567E">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0.</w:t>
                  </w:r>
                  <w:r>
                    <w:rPr>
                      <w:rFonts w:hint="default" w:ascii="Times New Roman" w:hAnsi="Times New Roman" w:cs="Times New Roman"/>
                      <w:color w:val="000000"/>
                      <w:kern w:val="2"/>
                      <w:sz w:val="21"/>
                      <w:szCs w:val="24"/>
                      <w:highlight w:val="none"/>
                      <w:lang w:val="en-US" w:eastAsia="zh-CN" w:bidi="ar-SA"/>
                    </w:rPr>
                    <w:t>7</w:t>
                  </w:r>
                </w:p>
              </w:tc>
              <w:tc>
                <w:tcPr>
                  <w:tcW w:w="373" w:type="pct"/>
                  <w:noWrap w:val="0"/>
                  <w:vAlign w:val="center"/>
                </w:tcPr>
                <w:p w14:paraId="7E596865">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0.</w:t>
                  </w:r>
                  <w:r>
                    <w:rPr>
                      <w:rFonts w:hint="default" w:ascii="Times New Roman" w:hAnsi="Times New Roman" w:cs="Times New Roman"/>
                      <w:color w:val="000000"/>
                      <w:kern w:val="2"/>
                      <w:sz w:val="21"/>
                      <w:szCs w:val="24"/>
                      <w:highlight w:val="none"/>
                      <w:lang w:val="en-US" w:eastAsia="zh-CN" w:bidi="ar-SA"/>
                    </w:rPr>
                    <w:t>144</w:t>
                  </w:r>
                </w:p>
              </w:tc>
              <w:tc>
                <w:tcPr>
                  <w:tcW w:w="700" w:type="pct"/>
                  <w:noWrap w:val="0"/>
                  <w:vAlign w:val="center"/>
                </w:tcPr>
                <w:p w14:paraId="65E71D7F">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kern w:val="2"/>
                      <w:sz w:val="21"/>
                      <w:szCs w:val="24"/>
                      <w:highlight w:val="none"/>
                      <w:lang w:val="en-US" w:eastAsia="zh-CN" w:bidi="ar-SA"/>
                    </w:rPr>
                    <w:t>13</w:t>
                  </w:r>
                </w:p>
              </w:tc>
              <w:tc>
                <w:tcPr>
                  <w:tcW w:w="747" w:type="pct"/>
                  <w:noWrap w:val="0"/>
                  <w:vAlign w:val="center"/>
                </w:tcPr>
                <w:p w14:paraId="093F5C48">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kern w:val="2"/>
                      <w:sz w:val="21"/>
                      <w:szCs w:val="24"/>
                      <w:highlight w:val="none"/>
                      <w:lang w:val="en-US" w:eastAsia="zh-CN" w:bidi="ar-SA"/>
                    </w:rPr>
                    <w:t>17</w:t>
                  </w:r>
                </w:p>
              </w:tc>
              <w:tc>
                <w:tcPr>
                  <w:tcW w:w="498" w:type="pct"/>
                  <w:noWrap w:val="0"/>
                  <w:vAlign w:val="center"/>
                </w:tcPr>
                <w:p w14:paraId="1100CFBE">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kern w:val="2"/>
                      <w:sz w:val="21"/>
                      <w:szCs w:val="24"/>
                      <w:highlight w:val="none"/>
                      <w:lang w:val="en-US" w:eastAsia="zh-CN" w:bidi="ar-SA"/>
                    </w:rPr>
                    <w:t>1</w:t>
                  </w:r>
                </w:p>
              </w:tc>
            </w:tr>
            <w:tr w14:paraId="3290FBDA">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45" w:hRule="atLeast"/>
                <w:jc w:val="center"/>
              </w:trPr>
              <w:tc>
                <w:tcPr>
                  <w:tcW w:w="836" w:type="pct"/>
                  <w:noWrap w:val="0"/>
                  <w:vAlign w:val="center"/>
                </w:tcPr>
                <w:p w14:paraId="57ABAA09">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b w:val="0"/>
                      <w:bCs w:val="0"/>
                      <w:color w:val="000000"/>
                      <w:kern w:val="2"/>
                      <w:sz w:val="21"/>
                      <w:szCs w:val="24"/>
                      <w:highlight w:val="none"/>
                      <w:lang w:val="en-US" w:eastAsia="zh-CN" w:bidi="ar-SA"/>
                    </w:rPr>
                    <w:t>202</w:t>
                  </w:r>
                  <w:r>
                    <w:rPr>
                      <w:rFonts w:hint="default" w:ascii="Times New Roman" w:hAnsi="Times New Roman" w:cs="Times New Roman"/>
                      <w:b w:val="0"/>
                      <w:bCs w:val="0"/>
                      <w:color w:val="000000"/>
                      <w:kern w:val="2"/>
                      <w:sz w:val="21"/>
                      <w:szCs w:val="24"/>
                      <w:highlight w:val="none"/>
                      <w:lang w:val="en-US" w:eastAsia="zh-CN" w:bidi="ar-SA"/>
                    </w:rPr>
                    <w:t>5</w:t>
                  </w:r>
                  <w:r>
                    <w:rPr>
                      <w:rFonts w:hint="default" w:ascii="Times New Roman" w:hAnsi="Times New Roman" w:eastAsia="宋体" w:cs="Times New Roman"/>
                      <w:b w:val="0"/>
                      <w:bCs w:val="0"/>
                      <w:color w:val="000000"/>
                      <w:kern w:val="2"/>
                      <w:sz w:val="21"/>
                      <w:szCs w:val="24"/>
                      <w:highlight w:val="none"/>
                      <w:lang w:val="en-US" w:eastAsia="zh-CN" w:bidi="ar-SA"/>
                    </w:rPr>
                    <w:t>年</w:t>
                  </w:r>
                  <w:r>
                    <w:rPr>
                      <w:rFonts w:hint="default" w:ascii="Times New Roman" w:hAnsi="Times New Roman" w:eastAsia="宋体" w:cs="Times New Roman"/>
                      <w:color w:val="000000"/>
                      <w:kern w:val="2"/>
                      <w:sz w:val="21"/>
                      <w:szCs w:val="24"/>
                      <w:highlight w:val="none"/>
                      <w:lang w:val="en-US" w:eastAsia="zh-CN" w:bidi="ar-SA"/>
                    </w:rPr>
                    <w:t>6月</w:t>
                  </w:r>
                </w:p>
              </w:tc>
              <w:tc>
                <w:tcPr>
                  <w:tcW w:w="368" w:type="pct"/>
                  <w:noWrap w:val="0"/>
                  <w:vAlign w:val="center"/>
                </w:tcPr>
                <w:p w14:paraId="145DBBEA">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0.002</w:t>
                  </w:r>
                </w:p>
              </w:tc>
              <w:tc>
                <w:tcPr>
                  <w:tcW w:w="368" w:type="pct"/>
                  <w:noWrap w:val="0"/>
                  <w:vAlign w:val="center"/>
                </w:tcPr>
                <w:p w14:paraId="40962C7D">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0.0</w:t>
                  </w:r>
                  <w:r>
                    <w:rPr>
                      <w:rFonts w:hint="default" w:ascii="Times New Roman" w:hAnsi="Times New Roman" w:cs="Times New Roman"/>
                      <w:color w:val="000000"/>
                      <w:kern w:val="2"/>
                      <w:sz w:val="21"/>
                      <w:szCs w:val="24"/>
                      <w:highlight w:val="none"/>
                      <w:lang w:val="en-US" w:eastAsia="zh-CN" w:bidi="ar-SA"/>
                    </w:rPr>
                    <w:t>07</w:t>
                  </w:r>
                </w:p>
              </w:tc>
              <w:tc>
                <w:tcPr>
                  <w:tcW w:w="368" w:type="pct"/>
                  <w:noWrap w:val="0"/>
                  <w:vAlign w:val="center"/>
                </w:tcPr>
                <w:p w14:paraId="078D2B94">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0.022</w:t>
                  </w:r>
                </w:p>
              </w:tc>
              <w:tc>
                <w:tcPr>
                  <w:tcW w:w="368" w:type="pct"/>
                  <w:noWrap w:val="0"/>
                  <w:vAlign w:val="center"/>
                </w:tcPr>
                <w:p w14:paraId="3752611A">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0.01</w:t>
                  </w:r>
                  <w:r>
                    <w:rPr>
                      <w:rFonts w:hint="default" w:ascii="Times New Roman" w:hAnsi="Times New Roman" w:cs="Times New Roman"/>
                      <w:color w:val="000000"/>
                      <w:kern w:val="2"/>
                      <w:sz w:val="21"/>
                      <w:szCs w:val="24"/>
                      <w:highlight w:val="none"/>
                      <w:lang w:val="en-US" w:eastAsia="zh-CN" w:bidi="ar-SA"/>
                    </w:rPr>
                    <w:t>1</w:t>
                  </w:r>
                </w:p>
              </w:tc>
              <w:tc>
                <w:tcPr>
                  <w:tcW w:w="368" w:type="pct"/>
                  <w:noWrap w:val="0"/>
                  <w:vAlign w:val="center"/>
                </w:tcPr>
                <w:p w14:paraId="6B26E747">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0.6</w:t>
                  </w:r>
                </w:p>
              </w:tc>
              <w:tc>
                <w:tcPr>
                  <w:tcW w:w="373" w:type="pct"/>
                  <w:noWrap w:val="0"/>
                  <w:vAlign w:val="center"/>
                </w:tcPr>
                <w:p w14:paraId="2D8CEC87">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0.1</w:t>
                  </w:r>
                  <w:r>
                    <w:rPr>
                      <w:rFonts w:hint="default" w:ascii="Times New Roman" w:hAnsi="Times New Roman" w:cs="Times New Roman"/>
                      <w:color w:val="000000"/>
                      <w:kern w:val="2"/>
                      <w:sz w:val="21"/>
                      <w:szCs w:val="24"/>
                      <w:highlight w:val="none"/>
                      <w:lang w:val="en-US" w:eastAsia="zh-CN" w:bidi="ar-SA"/>
                    </w:rPr>
                    <w:t>20</w:t>
                  </w:r>
                </w:p>
              </w:tc>
              <w:tc>
                <w:tcPr>
                  <w:tcW w:w="700" w:type="pct"/>
                  <w:noWrap w:val="0"/>
                  <w:vAlign w:val="center"/>
                </w:tcPr>
                <w:p w14:paraId="2A635191">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kern w:val="2"/>
                      <w:sz w:val="21"/>
                      <w:szCs w:val="24"/>
                      <w:highlight w:val="none"/>
                      <w:lang w:val="en-US" w:eastAsia="zh-CN" w:bidi="ar-SA"/>
                    </w:rPr>
                    <w:t>17</w:t>
                  </w:r>
                </w:p>
              </w:tc>
              <w:tc>
                <w:tcPr>
                  <w:tcW w:w="747" w:type="pct"/>
                  <w:noWrap w:val="0"/>
                  <w:vAlign w:val="center"/>
                </w:tcPr>
                <w:p w14:paraId="080E5392">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kern w:val="2"/>
                      <w:sz w:val="21"/>
                      <w:szCs w:val="24"/>
                      <w:highlight w:val="none"/>
                      <w:lang w:val="en-US" w:eastAsia="zh-CN" w:bidi="ar-SA"/>
                    </w:rPr>
                    <w:t>13</w:t>
                  </w:r>
                </w:p>
              </w:tc>
              <w:tc>
                <w:tcPr>
                  <w:tcW w:w="498" w:type="pct"/>
                  <w:noWrap w:val="0"/>
                  <w:vAlign w:val="center"/>
                </w:tcPr>
                <w:p w14:paraId="6CEFD73C">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0</w:t>
                  </w:r>
                </w:p>
              </w:tc>
            </w:tr>
            <w:tr w14:paraId="64532707">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45" w:hRule="atLeast"/>
                <w:jc w:val="center"/>
              </w:trPr>
              <w:tc>
                <w:tcPr>
                  <w:tcW w:w="836" w:type="pct"/>
                  <w:noWrap w:val="0"/>
                  <w:vAlign w:val="center"/>
                </w:tcPr>
                <w:p w14:paraId="002A6E87">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b w:val="0"/>
                      <w:bCs w:val="0"/>
                      <w:color w:val="000000"/>
                      <w:kern w:val="2"/>
                      <w:sz w:val="21"/>
                      <w:szCs w:val="24"/>
                      <w:highlight w:val="none"/>
                      <w:lang w:val="en-US" w:eastAsia="zh-CN" w:bidi="ar-SA"/>
                    </w:rPr>
                    <w:t>202</w:t>
                  </w:r>
                  <w:r>
                    <w:rPr>
                      <w:rFonts w:hint="default" w:ascii="Times New Roman" w:hAnsi="Times New Roman" w:cs="Times New Roman"/>
                      <w:b w:val="0"/>
                      <w:bCs w:val="0"/>
                      <w:color w:val="000000"/>
                      <w:kern w:val="2"/>
                      <w:sz w:val="21"/>
                      <w:szCs w:val="24"/>
                      <w:highlight w:val="none"/>
                      <w:lang w:val="en-US" w:eastAsia="zh-CN" w:bidi="ar-SA"/>
                    </w:rPr>
                    <w:t>5</w:t>
                  </w:r>
                  <w:r>
                    <w:rPr>
                      <w:rFonts w:hint="default" w:ascii="Times New Roman" w:hAnsi="Times New Roman" w:eastAsia="宋体" w:cs="Times New Roman"/>
                      <w:b w:val="0"/>
                      <w:bCs w:val="0"/>
                      <w:color w:val="000000"/>
                      <w:kern w:val="2"/>
                      <w:sz w:val="21"/>
                      <w:szCs w:val="24"/>
                      <w:highlight w:val="none"/>
                      <w:lang w:val="en-US" w:eastAsia="zh-CN" w:bidi="ar-SA"/>
                    </w:rPr>
                    <w:t>年</w:t>
                  </w:r>
                  <w:r>
                    <w:rPr>
                      <w:rFonts w:hint="default" w:ascii="Times New Roman" w:hAnsi="Times New Roman" w:eastAsia="宋体" w:cs="Times New Roman"/>
                      <w:color w:val="000000"/>
                      <w:kern w:val="2"/>
                      <w:sz w:val="21"/>
                      <w:szCs w:val="24"/>
                      <w:highlight w:val="none"/>
                      <w:lang w:val="en-US" w:eastAsia="zh-CN" w:bidi="ar-SA"/>
                    </w:rPr>
                    <w:t>7月</w:t>
                  </w:r>
                </w:p>
              </w:tc>
              <w:tc>
                <w:tcPr>
                  <w:tcW w:w="368" w:type="pct"/>
                  <w:noWrap w:val="0"/>
                  <w:vAlign w:val="center"/>
                </w:tcPr>
                <w:p w14:paraId="456AC7E5">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0.002</w:t>
                  </w:r>
                </w:p>
              </w:tc>
              <w:tc>
                <w:tcPr>
                  <w:tcW w:w="368" w:type="pct"/>
                  <w:noWrap w:val="0"/>
                  <w:vAlign w:val="center"/>
                </w:tcPr>
                <w:p w14:paraId="050428A5">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0.008</w:t>
                  </w:r>
                </w:p>
              </w:tc>
              <w:tc>
                <w:tcPr>
                  <w:tcW w:w="368" w:type="pct"/>
                  <w:noWrap w:val="0"/>
                  <w:vAlign w:val="center"/>
                </w:tcPr>
                <w:p w14:paraId="63E0EC7E">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0.020</w:t>
                  </w:r>
                </w:p>
              </w:tc>
              <w:tc>
                <w:tcPr>
                  <w:tcW w:w="368" w:type="pct"/>
                  <w:noWrap w:val="0"/>
                  <w:vAlign w:val="center"/>
                </w:tcPr>
                <w:p w14:paraId="6A223120">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0.00</w:t>
                  </w:r>
                  <w:r>
                    <w:rPr>
                      <w:rFonts w:hint="default" w:ascii="Times New Roman" w:hAnsi="Times New Roman" w:cs="Times New Roman"/>
                      <w:color w:val="000000"/>
                      <w:kern w:val="2"/>
                      <w:sz w:val="21"/>
                      <w:szCs w:val="24"/>
                      <w:highlight w:val="none"/>
                      <w:lang w:val="en-US" w:eastAsia="zh-CN" w:bidi="ar-SA"/>
                    </w:rPr>
                    <w:t>8</w:t>
                  </w:r>
                </w:p>
              </w:tc>
              <w:tc>
                <w:tcPr>
                  <w:tcW w:w="368" w:type="pct"/>
                  <w:noWrap w:val="0"/>
                  <w:vAlign w:val="center"/>
                </w:tcPr>
                <w:p w14:paraId="5A642D01">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0.4</w:t>
                  </w:r>
                </w:p>
              </w:tc>
              <w:tc>
                <w:tcPr>
                  <w:tcW w:w="373" w:type="pct"/>
                  <w:noWrap w:val="0"/>
                  <w:vAlign w:val="center"/>
                </w:tcPr>
                <w:p w14:paraId="61A0BAD3">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0.10</w:t>
                  </w:r>
                  <w:r>
                    <w:rPr>
                      <w:rFonts w:hint="default" w:ascii="Times New Roman" w:hAnsi="Times New Roman" w:cs="Times New Roman"/>
                      <w:color w:val="000000"/>
                      <w:kern w:val="2"/>
                      <w:sz w:val="21"/>
                      <w:szCs w:val="24"/>
                      <w:highlight w:val="none"/>
                      <w:lang w:val="en-US" w:eastAsia="zh-CN" w:bidi="ar-SA"/>
                    </w:rPr>
                    <w:t>4</w:t>
                  </w:r>
                </w:p>
              </w:tc>
              <w:tc>
                <w:tcPr>
                  <w:tcW w:w="700" w:type="pct"/>
                  <w:noWrap w:val="0"/>
                  <w:vAlign w:val="center"/>
                </w:tcPr>
                <w:p w14:paraId="6766D07C">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kern w:val="2"/>
                      <w:sz w:val="21"/>
                      <w:szCs w:val="24"/>
                      <w:highlight w:val="none"/>
                      <w:lang w:val="en-US" w:eastAsia="zh-CN" w:bidi="ar-SA"/>
                    </w:rPr>
                    <w:t>27</w:t>
                  </w:r>
                </w:p>
              </w:tc>
              <w:tc>
                <w:tcPr>
                  <w:tcW w:w="747" w:type="pct"/>
                  <w:noWrap w:val="0"/>
                  <w:vAlign w:val="center"/>
                </w:tcPr>
                <w:p w14:paraId="629D5E1E">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kern w:val="2"/>
                      <w:sz w:val="21"/>
                      <w:szCs w:val="24"/>
                      <w:highlight w:val="none"/>
                      <w:lang w:val="en-US" w:eastAsia="zh-CN" w:bidi="ar-SA"/>
                    </w:rPr>
                    <w:t>4</w:t>
                  </w:r>
                </w:p>
              </w:tc>
              <w:tc>
                <w:tcPr>
                  <w:tcW w:w="498" w:type="pct"/>
                  <w:noWrap w:val="0"/>
                  <w:vAlign w:val="center"/>
                </w:tcPr>
                <w:p w14:paraId="344A1AFD">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0</w:t>
                  </w:r>
                </w:p>
              </w:tc>
            </w:tr>
            <w:tr w14:paraId="0D791445">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45" w:hRule="atLeast"/>
                <w:jc w:val="center"/>
              </w:trPr>
              <w:tc>
                <w:tcPr>
                  <w:tcW w:w="836" w:type="pct"/>
                  <w:noWrap w:val="0"/>
                  <w:vAlign w:val="center"/>
                </w:tcPr>
                <w:p w14:paraId="1157D013">
                  <w:pPr>
                    <w:widowControl w:val="0"/>
                    <w:bidi w:val="0"/>
                    <w:adjustRightInd/>
                    <w:snapToGrid/>
                    <w:spacing w:line="240" w:lineRule="auto"/>
                    <w:ind w:firstLine="0" w:firstLineChars="0"/>
                    <w:jc w:val="center"/>
                    <w:rPr>
                      <w:rFonts w:hint="default" w:ascii="Times New Roman" w:hAnsi="Times New Roman" w:eastAsia="宋体" w:cs="Times New Roman"/>
                      <w:b w:val="0"/>
                      <w:bCs w:val="0"/>
                      <w:color w:val="000000"/>
                      <w:kern w:val="2"/>
                      <w:sz w:val="21"/>
                      <w:szCs w:val="24"/>
                      <w:highlight w:val="none"/>
                      <w:lang w:val="en-US" w:eastAsia="zh-CN" w:bidi="ar-SA"/>
                    </w:rPr>
                  </w:pPr>
                  <w:r>
                    <w:rPr>
                      <w:rFonts w:hint="default" w:ascii="Times New Roman" w:hAnsi="Times New Roman" w:eastAsia="宋体" w:cs="Times New Roman"/>
                      <w:b w:val="0"/>
                      <w:bCs w:val="0"/>
                      <w:color w:val="000000"/>
                      <w:kern w:val="2"/>
                      <w:sz w:val="21"/>
                      <w:szCs w:val="24"/>
                      <w:highlight w:val="none"/>
                      <w:lang w:val="en-US" w:eastAsia="zh-CN" w:bidi="ar-SA"/>
                    </w:rPr>
                    <w:t>202</w:t>
                  </w:r>
                  <w:r>
                    <w:rPr>
                      <w:rFonts w:hint="default" w:ascii="Times New Roman" w:hAnsi="Times New Roman" w:cs="Times New Roman"/>
                      <w:b w:val="0"/>
                      <w:bCs w:val="0"/>
                      <w:color w:val="000000"/>
                      <w:kern w:val="2"/>
                      <w:sz w:val="21"/>
                      <w:szCs w:val="24"/>
                      <w:highlight w:val="none"/>
                      <w:lang w:val="en-US" w:eastAsia="zh-CN" w:bidi="ar-SA"/>
                    </w:rPr>
                    <w:t>5</w:t>
                  </w:r>
                  <w:r>
                    <w:rPr>
                      <w:rFonts w:hint="default" w:ascii="Times New Roman" w:hAnsi="Times New Roman" w:eastAsia="宋体" w:cs="Times New Roman"/>
                      <w:b w:val="0"/>
                      <w:bCs w:val="0"/>
                      <w:color w:val="000000"/>
                      <w:kern w:val="2"/>
                      <w:sz w:val="21"/>
                      <w:szCs w:val="24"/>
                      <w:highlight w:val="none"/>
                      <w:lang w:val="en-US" w:eastAsia="zh-CN" w:bidi="ar-SA"/>
                    </w:rPr>
                    <w:t>年8月</w:t>
                  </w:r>
                </w:p>
              </w:tc>
              <w:tc>
                <w:tcPr>
                  <w:tcW w:w="368" w:type="pct"/>
                  <w:noWrap w:val="0"/>
                  <w:vAlign w:val="center"/>
                </w:tcPr>
                <w:p w14:paraId="7C1FDBB8">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0.00</w:t>
                  </w:r>
                  <w:r>
                    <w:rPr>
                      <w:rFonts w:hint="default" w:ascii="Times New Roman" w:hAnsi="Times New Roman" w:cs="Times New Roman"/>
                      <w:color w:val="000000"/>
                      <w:kern w:val="2"/>
                      <w:sz w:val="21"/>
                      <w:szCs w:val="24"/>
                      <w:highlight w:val="none"/>
                      <w:lang w:val="en-US" w:eastAsia="zh-CN" w:bidi="ar-SA"/>
                    </w:rPr>
                    <w:t>3</w:t>
                  </w:r>
                </w:p>
              </w:tc>
              <w:tc>
                <w:tcPr>
                  <w:tcW w:w="368" w:type="pct"/>
                  <w:noWrap w:val="0"/>
                  <w:vAlign w:val="center"/>
                </w:tcPr>
                <w:p w14:paraId="2535F9AD">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0.009</w:t>
                  </w:r>
                </w:p>
              </w:tc>
              <w:tc>
                <w:tcPr>
                  <w:tcW w:w="368" w:type="pct"/>
                  <w:noWrap w:val="0"/>
                  <w:vAlign w:val="center"/>
                </w:tcPr>
                <w:p w14:paraId="0DE22D39">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0.0</w:t>
                  </w:r>
                  <w:r>
                    <w:rPr>
                      <w:rFonts w:hint="default" w:ascii="Times New Roman" w:hAnsi="Times New Roman" w:cs="Times New Roman"/>
                      <w:color w:val="000000"/>
                      <w:kern w:val="2"/>
                      <w:sz w:val="21"/>
                      <w:szCs w:val="24"/>
                      <w:highlight w:val="none"/>
                      <w:lang w:val="en-US" w:eastAsia="zh-CN" w:bidi="ar-SA"/>
                    </w:rPr>
                    <w:t>21</w:t>
                  </w:r>
                </w:p>
              </w:tc>
              <w:tc>
                <w:tcPr>
                  <w:tcW w:w="368" w:type="pct"/>
                  <w:noWrap w:val="0"/>
                  <w:vAlign w:val="center"/>
                </w:tcPr>
                <w:p w14:paraId="5836C067">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0.0</w:t>
                  </w:r>
                  <w:r>
                    <w:rPr>
                      <w:rFonts w:hint="default" w:ascii="Times New Roman" w:hAnsi="Times New Roman" w:cs="Times New Roman"/>
                      <w:color w:val="000000"/>
                      <w:kern w:val="2"/>
                      <w:sz w:val="21"/>
                      <w:szCs w:val="24"/>
                      <w:highlight w:val="none"/>
                      <w:lang w:val="en-US" w:eastAsia="zh-CN" w:bidi="ar-SA"/>
                    </w:rPr>
                    <w:t>09</w:t>
                  </w:r>
                </w:p>
              </w:tc>
              <w:tc>
                <w:tcPr>
                  <w:tcW w:w="368" w:type="pct"/>
                  <w:noWrap w:val="0"/>
                  <w:vAlign w:val="center"/>
                </w:tcPr>
                <w:p w14:paraId="0A9C0DF5">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0.</w:t>
                  </w:r>
                  <w:r>
                    <w:rPr>
                      <w:rFonts w:hint="default" w:ascii="Times New Roman" w:hAnsi="Times New Roman" w:cs="Times New Roman"/>
                      <w:color w:val="000000"/>
                      <w:kern w:val="2"/>
                      <w:sz w:val="21"/>
                      <w:szCs w:val="24"/>
                      <w:highlight w:val="none"/>
                      <w:lang w:val="en-US" w:eastAsia="zh-CN" w:bidi="ar-SA"/>
                    </w:rPr>
                    <w:t>4</w:t>
                  </w:r>
                </w:p>
              </w:tc>
              <w:tc>
                <w:tcPr>
                  <w:tcW w:w="373" w:type="pct"/>
                  <w:noWrap w:val="0"/>
                  <w:vAlign w:val="center"/>
                </w:tcPr>
                <w:p w14:paraId="54782D8C">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0.</w:t>
                  </w:r>
                  <w:r>
                    <w:rPr>
                      <w:rFonts w:hint="default" w:ascii="Times New Roman" w:hAnsi="Times New Roman" w:cs="Times New Roman"/>
                      <w:color w:val="000000"/>
                      <w:kern w:val="2"/>
                      <w:sz w:val="21"/>
                      <w:szCs w:val="24"/>
                      <w:highlight w:val="none"/>
                      <w:lang w:val="en-US" w:eastAsia="zh-CN" w:bidi="ar-SA"/>
                    </w:rPr>
                    <w:t>101</w:t>
                  </w:r>
                </w:p>
              </w:tc>
              <w:tc>
                <w:tcPr>
                  <w:tcW w:w="700" w:type="pct"/>
                  <w:noWrap w:val="0"/>
                  <w:vAlign w:val="center"/>
                </w:tcPr>
                <w:p w14:paraId="54330717">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kern w:val="2"/>
                      <w:sz w:val="21"/>
                      <w:szCs w:val="24"/>
                      <w:highlight w:val="none"/>
                      <w:lang w:val="en-US" w:eastAsia="zh-CN" w:bidi="ar-SA"/>
                    </w:rPr>
                    <w:t>27</w:t>
                  </w:r>
                </w:p>
              </w:tc>
              <w:tc>
                <w:tcPr>
                  <w:tcW w:w="747" w:type="pct"/>
                  <w:noWrap w:val="0"/>
                  <w:vAlign w:val="center"/>
                </w:tcPr>
                <w:p w14:paraId="2537A390">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kern w:val="2"/>
                      <w:sz w:val="21"/>
                      <w:szCs w:val="24"/>
                      <w:highlight w:val="none"/>
                      <w:lang w:val="en-US" w:eastAsia="zh-CN" w:bidi="ar-SA"/>
                    </w:rPr>
                    <w:t>4</w:t>
                  </w:r>
                </w:p>
              </w:tc>
              <w:tc>
                <w:tcPr>
                  <w:tcW w:w="498" w:type="pct"/>
                  <w:noWrap w:val="0"/>
                  <w:vAlign w:val="center"/>
                </w:tcPr>
                <w:p w14:paraId="17874CD1">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0</w:t>
                  </w:r>
                </w:p>
              </w:tc>
            </w:tr>
            <w:tr w14:paraId="4CBB344C">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45" w:hRule="atLeast"/>
                <w:jc w:val="center"/>
              </w:trPr>
              <w:tc>
                <w:tcPr>
                  <w:tcW w:w="836" w:type="pct"/>
                  <w:noWrap w:val="0"/>
                  <w:vAlign w:val="center"/>
                </w:tcPr>
                <w:p w14:paraId="39870BBA">
                  <w:pPr>
                    <w:widowControl w:val="0"/>
                    <w:bidi w:val="0"/>
                    <w:adjustRightInd/>
                    <w:snapToGrid/>
                    <w:spacing w:line="240" w:lineRule="auto"/>
                    <w:ind w:firstLine="0" w:firstLineChars="0"/>
                    <w:jc w:val="center"/>
                    <w:rPr>
                      <w:rFonts w:hint="default" w:ascii="Times New Roman" w:hAnsi="Times New Roman" w:eastAsia="宋体" w:cs="Times New Roman"/>
                      <w:b w:val="0"/>
                      <w:bCs w:val="0"/>
                      <w:color w:val="000000"/>
                      <w:kern w:val="2"/>
                      <w:sz w:val="21"/>
                      <w:szCs w:val="24"/>
                      <w:highlight w:val="none"/>
                      <w:lang w:val="en-US" w:eastAsia="zh-CN" w:bidi="ar-SA"/>
                    </w:rPr>
                  </w:pPr>
                  <w:r>
                    <w:rPr>
                      <w:rFonts w:hint="default" w:ascii="Times New Roman" w:hAnsi="Times New Roman" w:eastAsia="宋体" w:cs="Times New Roman"/>
                      <w:b w:val="0"/>
                      <w:bCs w:val="0"/>
                      <w:color w:val="000000"/>
                      <w:kern w:val="2"/>
                      <w:sz w:val="21"/>
                      <w:szCs w:val="24"/>
                      <w:highlight w:val="none"/>
                      <w:lang w:val="en-US" w:eastAsia="zh-CN" w:bidi="ar-SA"/>
                    </w:rPr>
                    <w:t>202</w:t>
                  </w:r>
                  <w:r>
                    <w:rPr>
                      <w:rFonts w:hint="default" w:ascii="Times New Roman" w:hAnsi="Times New Roman" w:cs="Times New Roman"/>
                      <w:b w:val="0"/>
                      <w:bCs w:val="0"/>
                      <w:color w:val="000000"/>
                      <w:kern w:val="2"/>
                      <w:sz w:val="21"/>
                      <w:szCs w:val="24"/>
                      <w:highlight w:val="none"/>
                      <w:lang w:val="en-US" w:eastAsia="zh-CN" w:bidi="ar-SA"/>
                    </w:rPr>
                    <w:t>5</w:t>
                  </w:r>
                  <w:r>
                    <w:rPr>
                      <w:rFonts w:hint="default" w:ascii="Times New Roman" w:hAnsi="Times New Roman" w:eastAsia="宋体" w:cs="Times New Roman"/>
                      <w:b w:val="0"/>
                      <w:bCs w:val="0"/>
                      <w:color w:val="000000"/>
                      <w:kern w:val="2"/>
                      <w:sz w:val="21"/>
                      <w:szCs w:val="24"/>
                      <w:highlight w:val="none"/>
                      <w:lang w:val="en-US" w:eastAsia="zh-CN" w:bidi="ar-SA"/>
                    </w:rPr>
                    <w:t>年9月</w:t>
                  </w:r>
                </w:p>
              </w:tc>
              <w:tc>
                <w:tcPr>
                  <w:tcW w:w="368" w:type="pct"/>
                  <w:noWrap w:val="0"/>
                  <w:vAlign w:val="center"/>
                </w:tcPr>
                <w:p w14:paraId="36936AB1">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0.002</w:t>
                  </w:r>
                </w:p>
              </w:tc>
              <w:tc>
                <w:tcPr>
                  <w:tcW w:w="368" w:type="pct"/>
                  <w:noWrap w:val="0"/>
                  <w:vAlign w:val="center"/>
                </w:tcPr>
                <w:p w14:paraId="312392CE">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0.00</w:t>
                  </w:r>
                  <w:r>
                    <w:rPr>
                      <w:rFonts w:hint="default" w:ascii="Times New Roman" w:hAnsi="Times New Roman" w:cs="Times New Roman"/>
                      <w:color w:val="000000"/>
                      <w:kern w:val="2"/>
                      <w:sz w:val="21"/>
                      <w:szCs w:val="24"/>
                      <w:highlight w:val="none"/>
                      <w:lang w:val="en-US" w:eastAsia="zh-CN" w:bidi="ar-SA"/>
                    </w:rPr>
                    <w:t>8</w:t>
                  </w:r>
                </w:p>
              </w:tc>
              <w:tc>
                <w:tcPr>
                  <w:tcW w:w="368" w:type="pct"/>
                  <w:noWrap w:val="0"/>
                  <w:vAlign w:val="center"/>
                </w:tcPr>
                <w:p w14:paraId="0F41A205">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0.0</w:t>
                  </w:r>
                  <w:r>
                    <w:rPr>
                      <w:rFonts w:hint="default" w:ascii="Times New Roman" w:hAnsi="Times New Roman" w:cs="Times New Roman"/>
                      <w:color w:val="000000"/>
                      <w:kern w:val="2"/>
                      <w:sz w:val="21"/>
                      <w:szCs w:val="24"/>
                      <w:highlight w:val="none"/>
                      <w:lang w:val="en-US" w:eastAsia="zh-CN" w:bidi="ar-SA"/>
                    </w:rPr>
                    <w:t>19</w:t>
                  </w:r>
                </w:p>
              </w:tc>
              <w:tc>
                <w:tcPr>
                  <w:tcW w:w="368" w:type="pct"/>
                  <w:noWrap w:val="0"/>
                  <w:vAlign w:val="center"/>
                </w:tcPr>
                <w:p w14:paraId="7F89FFDD">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0.010</w:t>
                  </w:r>
                </w:p>
              </w:tc>
              <w:tc>
                <w:tcPr>
                  <w:tcW w:w="368" w:type="pct"/>
                  <w:noWrap w:val="0"/>
                  <w:vAlign w:val="center"/>
                </w:tcPr>
                <w:p w14:paraId="1B427436">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0.</w:t>
                  </w:r>
                  <w:r>
                    <w:rPr>
                      <w:rFonts w:hint="default" w:ascii="Times New Roman" w:hAnsi="Times New Roman" w:cs="Times New Roman"/>
                      <w:color w:val="000000"/>
                      <w:kern w:val="2"/>
                      <w:sz w:val="21"/>
                      <w:szCs w:val="24"/>
                      <w:highlight w:val="none"/>
                      <w:lang w:val="en-US" w:eastAsia="zh-CN" w:bidi="ar-SA"/>
                    </w:rPr>
                    <w:t>6</w:t>
                  </w:r>
                </w:p>
              </w:tc>
              <w:tc>
                <w:tcPr>
                  <w:tcW w:w="373" w:type="pct"/>
                  <w:noWrap w:val="0"/>
                  <w:vAlign w:val="center"/>
                </w:tcPr>
                <w:p w14:paraId="4AD48C6A">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0.</w:t>
                  </w:r>
                  <w:r>
                    <w:rPr>
                      <w:rFonts w:hint="default" w:ascii="Times New Roman" w:hAnsi="Times New Roman" w:cs="Times New Roman"/>
                      <w:color w:val="000000"/>
                      <w:kern w:val="2"/>
                      <w:sz w:val="21"/>
                      <w:szCs w:val="24"/>
                      <w:highlight w:val="none"/>
                      <w:lang w:val="en-US" w:eastAsia="zh-CN" w:bidi="ar-SA"/>
                    </w:rPr>
                    <w:t>111</w:t>
                  </w:r>
                </w:p>
              </w:tc>
              <w:tc>
                <w:tcPr>
                  <w:tcW w:w="700" w:type="pct"/>
                  <w:noWrap w:val="0"/>
                  <w:vAlign w:val="center"/>
                </w:tcPr>
                <w:p w14:paraId="23BD3D2D">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kern w:val="2"/>
                      <w:sz w:val="21"/>
                      <w:szCs w:val="24"/>
                      <w:highlight w:val="none"/>
                      <w:lang w:val="en-US" w:eastAsia="zh-CN" w:bidi="ar-SA"/>
                    </w:rPr>
                    <w:t>24</w:t>
                  </w:r>
                </w:p>
              </w:tc>
              <w:tc>
                <w:tcPr>
                  <w:tcW w:w="747" w:type="pct"/>
                  <w:noWrap w:val="0"/>
                  <w:vAlign w:val="center"/>
                </w:tcPr>
                <w:p w14:paraId="12C8FD9A">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kern w:val="2"/>
                      <w:sz w:val="21"/>
                      <w:szCs w:val="24"/>
                      <w:highlight w:val="none"/>
                      <w:lang w:val="en-US" w:eastAsia="zh-CN" w:bidi="ar-SA"/>
                    </w:rPr>
                    <w:t>6</w:t>
                  </w:r>
                </w:p>
              </w:tc>
              <w:tc>
                <w:tcPr>
                  <w:tcW w:w="498" w:type="pct"/>
                  <w:noWrap w:val="0"/>
                  <w:vAlign w:val="center"/>
                </w:tcPr>
                <w:p w14:paraId="18839CB6">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0</w:t>
                  </w:r>
                </w:p>
              </w:tc>
            </w:tr>
            <w:tr w14:paraId="43DB5393">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45" w:hRule="atLeast"/>
                <w:jc w:val="center"/>
              </w:trPr>
              <w:tc>
                <w:tcPr>
                  <w:tcW w:w="836" w:type="pct"/>
                  <w:noWrap w:val="0"/>
                  <w:vAlign w:val="center"/>
                </w:tcPr>
                <w:p w14:paraId="2F349F7B">
                  <w:pPr>
                    <w:widowControl w:val="0"/>
                    <w:bidi w:val="0"/>
                    <w:adjustRightInd/>
                    <w:snapToGrid/>
                    <w:spacing w:line="240" w:lineRule="auto"/>
                    <w:ind w:firstLine="0" w:firstLineChars="0"/>
                    <w:jc w:val="center"/>
                    <w:rPr>
                      <w:rFonts w:hint="default" w:ascii="Times New Roman" w:hAnsi="Times New Roman" w:eastAsia="宋体" w:cs="Times New Roman"/>
                      <w:b w:val="0"/>
                      <w:bCs w:val="0"/>
                      <w:color w:val="000000"/>
                      <w:kern w:val="2"/>
                      <w:sz w:val="21"/>
                      <w:szCs w:val="24"/>
                      <w:highlight w:val="none"/>
                      <w:lang w:val="en-US" w:eastAsia="zh-CN" w:bidi="ar-SA"/>
                    </w:rPr>
                  </w:pPr>
                  <w:r>
                    <w:rPr>
                      <w:rFonts w:hint="default" w:ascii="Times New Roman" w:hAnsi="Times New Roman" w:eastAsia="宋体" w:cs="Times New Roman"/>
                      <w:b w:val="0"/>
                      <w:bCs w:val="0"/>
                      <w:color w:val="000000"/>
                      <w:kern w:val="2"/>
                      <w:sz w:val="21"/>
                      <w:szCs w:val="24"/>
                      <w:highlight w:val="none"/>
                      <w:lang w:val="en-US" w:eastAsia="zh-CN" w:bidi="ar-SA"/>
                    </w:rPr>
                    <w:t>202</w:t>
                  </w:r>
                  <w:r>
                    <w:rPr>
                      <w:rFonts w:hint="default" w:ascii="Times New Roman" w:hAnsi="Times New Roman" w:cs="Times New Roman"/>
                      <w:b w:val="0"/>
                      <w:bCs w:val="0"/>
                      <w:color w:val="000000"/>
                      <w:kern w:val="2"/>
                      <w:sz w:val="21"/>
                      <w:szCs w:val="24"/>
                      <w:highlight w:val="none"/>
                      <w:lang w:val="en-US" w:eastAsia="zh-CN" w:bidi="ar-SA"/>
                    </w:rPr>
                    <w:t>5</w:t>
                  </w:r>
                  <w:r>
                    <w:rPr>
                      <w:rFonts w:hint="default" w:ascii="Times New Roman" w:hAnsi="Times New Roman" w:eastAsia="宋体" w:cs="Times New Roman"/>
                      <w:b w:val="0"/>
                      <w:bCs w:val="0"/>
                      <w:color w:val="000000"/>
                      <w:kern w:val="2"/>
                      <w:sz w:val="21"/>
                      <w:szCs w:val="24"/>
                      <w:highlight w:val="none"/>
                      <w:lang w:val="en-US" w:eastAsia="zh-CN" w:bidi="ar-SA"/>
                    </w:rPr>
                    <w:t>年10月</w:t>
                  </w:r>
                </w:p>
              </w:tc>
              <w:tc>
                <w:tcPr>
                  <w:tcW w:w="368" w:type="pct"/>
                  <w:noWrap w:val="0"/>
                  <w:vAlign w:val="center"/>
                </w:tcPr>
                <w:p w14:paraId="529E934E">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0.00</w:t>
                  </w:r>
                  <w:r>
                    <w:rPr>
                      <w:rFonts w:hint="default" w:ascii="Times New Roman" w:hAnsi="Times New Roman" w:cs="Times New Roman"/>
                      <w:color w:val="000000"/>
                      <w:kern w:val="2"/>
                      <w:sz w:val="21"/>
                      <w:szCs w:val="24"/>
                      <w:highlight w:val="none"/>
                      <w:lang w:val="en-US" w:eastAsia="zh-CN" w:bidi="ar-SA"/>
                    </w:rPr>
                    <w:t>3</w:t>
                  </w:r>
                </w:p>
              </w:tc>
              <w:tc>
                <w:tcPr>
                  <w:tcW w:w="368" w:type="pct"/>
                  <w:noWrap w:val="0"/>
                  <w:vAlign w:val="center"/>
                </w:tcPr>
                <w:p w14:paraId="3A460F6D">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0.00</w:t>
                  </w:r>
                  <w:r>
                    <w:rPr>
                      <w:rFonts w:hint="default" w:ascii="Times New Roman" w:hAnsi="Times New Roman" w:cs="Times New Roman"/>
                      <w:color w:val="000000"/>
                      <w:kern w:val="2"/>
                      <w:sz w:val="21"/>
                      <w:szCs w:val="24"/>
                      <w:highlight w:val="none"/>
                      <w:lang w:val="en-US" w:eastAsia="zh-CN" w:bidi="ar-SA"/>
                    </w:rPr>
                    <w:t>8</w:t>
                  </w:r>
                </w:p>
              </w:tc>
              <w:tc>
                <w:tcPr>
                  <w:tcW w:w="368" w:type="pct"/>
                  <w:noWrap w:val="0"/>
                  <w:vAlign w:val="center"/>
                </w:tcPr>
                <w:p w14:paraId="3C048439">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0.02</w:t>
                  </w:r>
                  <w:r>
                    <w:rPr>
                      <w:rFonts w:hint="default" w:ascii="Times New Roman" w:hAnsi="Times New Roman" w:cs="Times New Roman"/>
                      <w:color w:val="000000"/>
                      <w:kern w:val="2"/>
                      <w:sz w:val="21"/>
                      <w:szCs w:val="24"/>
                      <w:highlight w:val="none"/>
                      <w:lang w:val="en-US" w:eastAsia="zh-CN" w:bidi="ar-SA"/>
                    </w:rPr>
                    <w:t>3</w:t>
                  </w:r>
                </w:p>
              </w:tc>
              <w:tc>
                <w:tcPr>
                  <w:tcW w:w="368" w:type="pct"/>
                  <w:noWrap w:val="0"/>
                  <w:vAlign w:val="center"/>
                </w:tcPr>
                <w:p w14:paraId="6E2FE7DE">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0.01</w:t>
                  </w:r>
                  <w:r>
                    <w:rPr>
                      <w:rFonts w:hint="default" w:ascii="Times New Roman" w:hAnsi="Times New Roman" w:cs="Times New Roman"/>
                      <w:color w:val="000000"/>
                      <w:kern w:val="2"/>
                      <w:sz w:val="21"/>
                      <w:szCs w:val="24"/>
                      <w:highlight w:val="none"/>
                      <w:lang w:val="en-US" w:eastAsia="zh-CN" w:bidi="ar-SA"/>
                    </w:rPr>
                    <w:t>1</w:t>
                  </w:r>
                </w:p>
              </w:tc>
              <w:tc>
                <w:tcPr>
                  <w:tcW w:w="368" w:type="pct"/>
                  <w:noWrap w:val="0"/>
                  <w:vAlign w:val="center"/>
                </w:tcPr>
                <w:p w14:paraId="5C4AFA23">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0.</w:t>
                  </w:r>
                  <w:r>
                    <w:rPr>
                      <w:rFonts w:hint="default" w:ascii="Times New Roman" w:hAnsi="Times New Roman" w:cs="Times New Roman"/>
                      <w:color w:val="000000"/>
                      <w:kern w:val="2"/>
                      <w:sz w:val="21"/>
                      <w:szCs w:val="24"/>
                      <w:highlight w:val="none"/>
                      <w:lang w:val="en-US" w:eastAsia="zh-CN" w:bidi="ar-SA"/>
                    </w:rPr>
                    <w:t>6</w:t>
                  </w:r>
                </w:p>
              </w:tc>
              <w:tc>
                <w:tcPr>
                  <w:tcW w:w="373" w:type="pct"/>
                  <w:noWrap w:val="0"/>
                  <w:vAlign w:val="center"/>
                </w:tcPr>
                <w:p w14:paraId="0306885A">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0.1</w:t>
                  </w:r>
                  <w:r>
                    <w:rPr>
                      <w:rFonts w:hint="default" w:ascii="Times New Roman" w:hAnsi="Times New Roman" w:cs="Times New Roman"/>
                      <w:color w:val="000000"/>
                      <w:kern w:val="2"/>
                      <w:sz w:val="21"/>
                      <w:szCs w:val="24"/>
                      <w:highlight w:val="none"/>
                      <w:lang w:val="en-US" w:eastAsia="zh-CN" w:bidi="ar-SA"/>
                    </w:rPr>
                    <w:t>12</w:t>
                  </w:r>
                </w:p>
              </w:tc>
              <w:tc>
                <w:tcPr>
                  <w:tcW w:w="700" w:type="pct"/>
                  <w:noWrap w:val="0"/>
                  <w:vAlign w:val="center"/>
                </w:tcPr>
                <w:p w14:paraId="1D0C24EC">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kern w:val="2"/>
                      <w:sz w:val="21"/>
                      <w:szCs w:val="24"/>
                      <w:highlight w:val="none"/>
                      <w:lang w:val="en-US" w:eastAsia="zh-CN" w:bidi="ar-SA"/>
                    </w:rPr>
                    <w:t>24</w:t>
                  </w:r>
                </w:p>
              </w:tc>
              <w:tc>
                <w:tcPr>
                  <w:tcW w:w="747" w:type="pct"/>
                  <w:noWrap w:val="0"/>
                  <w:vAlign w:val="center"/>
                </w:tcPr>
                <w:p w14:paraId="678744ED">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kern w:val="2"/>
                      <w:sz w:val="21"/>
                      <w:szCs w:val="24"/>
                      <w:highlight w:val="none"/>
                      <w:lang w:val="en-US" w:eastAsia="zh-CN" w:bidi="ar-SA"/>
                    </w:rPr>
                    <w:t>7</w:t>
                  </w:r>
                </w:p>
              </w:tc>
              <w:tc>
                <w:tcPr>
                  <w:tcW w:w="498" w:type="pct"/>
                  <w:noWrap w:val="0"/>
                  <w:vAlign w:val="center"/>
                </w:tcPr>
                <w:p w14:paraId="0F01DDD9">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0</w:t>
                  </w:r>
                </w:p>
              </w:tc>
            </w:tr>
            <w:tr w14:paraId="4A02B688">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45" w:hRule="atLeast"/>
                <w:jc w:val="center"/>
              </w:trPr>
              <w:tc>
                <w:tcPr>
                  <w:tcW w:w="836" w:type="pct"/>
                  <w:noWrap w:val="0"/>
                  <w:vAlign w:val="center"/>
                </w:tcPr>
                <w:p w14:paraId="01AAC597">
                  <w:pPr>
                    <w:widowControl w:val="0"/>
                    <w:bidi w:val="0"/>
                    <w:adjustRightInd/>
                    <w:snapToGrid/>
                    <w:spacing w:line="240" w:lineRule="auto"/>
                    <w:ind w:firstLine="0" w:firstLineChars="0"/>
                    <w:jc w:val="center"/>
                    <w:rPr>
                      <w:rFonts w:hint="default" w:ascii="Times New Roman" w:hAnsi="Times New Roman" w:eastAsia="宋体" w:cs="Times New Roman"/>
                      <w:b w:val="0"/>
                      <w:bCs w:val="0"/>
                      <w:color w:val="000000"/>
                      <w:kern w:val="2"/>
                      <w:sz w:val="21"/>
                      <w:szCs w:val="24"/>
                      <w:highlight w:val="none"/>
                      <w:lang w:val="en-US" w:eastAsia="zh-CN" w:bidi="ar-SA"/>
                    </w:rPr>
                  </w:pPr>
                  <w:r>
                    <w:rPr>
                      <w:rFonts w:hint="default" w:ascii="Times New Roman" w:hAnsi="Times New Roman" w:eastAsia="宋体" w:cs="Times New Roman"/>
                      <w:b w:val="0"/>
                      <w:bCs w:val="0"/>
                      <w:color w:val="000000"/>
                      <w:kern w:val="2"/>
                      <w:sz w:val="21"/>
                      <w:szCs w:val="24"/>
                      <w:highlight w:val="none"/>
                      <w:lang w:val="en-US" w:eastAsia="zh-CN" w:bidi="ar-SA"/>
                    </w:rPr>
                    <w:t>202</w:t>
                  </w:r>
                  <w:r>
                    <w:rPr>
                      <w:rFonts w:hint="default" w:ascii="Times New Roman" w:hAnsi="Times New Roman" w:cs="Times New Roman"/>
                      <w:b w:val="0"/>
                      <w:bCs w:val="0"/>
                      <w:color w:val="000000"/>
                      <w:kern w:val="2"/>
                      <w:sz w:val="21"/>
                      <w:szCs w:val="24"/>
                      <w:highlight w:val="none"/>
                      <w:lang w:val="en-US" w:eastAsia="zh-CN" w:bidi="ar-SA"/>
                    </w:rPr>
                    <w:t>5</w:t>
                  </w:r>
                  <w:r>
                    <w:rPr>
                      <w:rFonts w:hint="default" w:ascii="Times New Roman" w:hAnsi="Times New Roman" w:eastAsia="宋体" w:cs="Times New Roman"/>
                      <w:b w:val="0"/>
                      <w:bCs w:val="0"/>
                      <w:color w:val="000000"/>
                      <w:kern w:val="2"/>
                      <w:sz w:val="21"/>
                      <w:szCs w:val="24"/>
                      <w:highlight w:val="none"/>
                      <w:lang w:val="en-US" w:eastAsia="zh-CN" w:bidi="ar-SA"/>
                    </w:rPr>
                    <w:t>年11月</w:t>
                  </w:r>
                </w:p>
              </w:tc>
              <w:tc>
                <w:tcPr>
                  <w:tcW w:w="368" w:type="pct"/>
                  <w:noWrap w:val="0"/>
                  <w:vAlign w:val="center"/>
                </w:tcPr>
                <w:p w14:paraId="4FC8B7DB">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0.00</w:t>
                  </w:r>
                  <w:r>
                    <w:rPr>
                      <w:rFonts w:hint="default" w:ascii="Times New Roman" w:hAnsi="Times New Roman" w:cs="Times New Roman"/>
                      <w:color w:val="000000"/>
                      <w:kern w:val="2"/>
                      <w:sz w:val="21"/>
                      <w:szCs w:val="24"/>
                      <w:highlight w:val="none"/>
                      <w:lang w:val="en-US" w:eastAsia="zh-CN" w:bidi="ar-SA"/>
                    </w:rPr>
                    <w:t>4</w:t>
                  </w:r>
                </w:p>
              </w:tc>
              <w:tc>
                <w:tcPr>
                  <w:tcW w:w="368" w:type="pct"/>
                  <w:noWrap w:val="0"/>
                  <w:vAlign w:val="center"/>
                </w:tcPr>
                <w:p w14:paraId="25A38B27">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0.0</w:t>
                  </w:r>
                  <w:r>
                    <w:rPr>
                      <w:rFonts w:hint="default" w:ascii="Times New Roman" w:hAnsi="Times New Roman" w:cs="Times New Roman"/>
                      <w:color w:val="000000"/>
                      <w:kern w:val="2"/>
                      <w:sz w:val="21"/>
                      <w:szCs w:val="24"/>
                      <w:highlight w:val="none"/>
                      <w:lang w:val="en-US" w:eastAsia="zh-CN" w:bidi="ar-SA"/>
                    </w:rPr>
                    <w:t>10</w:t>
                  </w:r>
                </w:p>
              </w:tc>
              <w:tc>
                <w:tcPr>
                  <w:tcW w:w="368" w:type="pct"/>
                  <w:noWrap w:val="0"/>
                  <w:vAlign w:val="center"/>
                </w:tcPr>
                <w:p w14:paraId="445171D4">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0.0</w:t>
                  </w:r>
                  <w:r>
                    <w:rPr>
                      <w:rFonts w:hint="default" w:ascii="Times New Roman" w:hAnsi="Times New Roman" w:cs="Times New Roman"/>
                      <w:color w:val="000000"/>
                      <w:kern w:val="2"/>
                      <w:sz w:val="21"/>
                      <w:szCs w:val="24"/>
                      <w:highlight w:val="none"/>
                      <w:lang w:val="en-US" w:eastAsia="zh-CN" w:bidi="ar-SA"/>
                    </w:rPr>
                    <w:t>35</w:t>
                  </w:r>
                </w:p>
              </w:tc>
              <w:tc>
                <w:tcPr>
                  <w:tcW w:w="368" w:type="pct"/>
                  <w:noWrap w:val="0"/>
                  <w:vAlign w:val="center"/>
                </w:tcPr>
                <w:p w14:paraId="2DDD9520">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0.012</w:t>
                  </w:r>
                </w:p>
              </w:tc>
              <w:tc>
                <w:tcPr>
                  <w:tcW w:w="368" w:type="pct"/>
                  <w:noWrap w:val="0"/>
                  <w:vAlign w:val="center"/>
                </w:tcPr>
                <w:p w14:paraId="1F040451">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0.</w:t>
                  </w:r>
                  <w:r>
                    <w:rPr>
                      <w:rFonts w:hint="default" w:ascii="Times New Roman" w:hAnsi="Times New Roman" w:cs="Times New Roman"/>
                      <w:color w:val="000000"/>
                      <w:kern w:val="2"/>
                      <w:sz w:val="21"/>
                      <w:szCs w:val="24"/>
                      <w:highlight w:val="none"/>
                      <w:lang w:val="en-US" w:eastAsia="zh-CN" w:bidi="ar-SA"/>
                    </w:rPr>
                    <w:t>6</w:t>
                  </w:r>
                </w:p>
              </w:tc>
              <w:tc>
                <w:tcPr>
                  <w:tcW w:w="373" w:type="pct"/>
                  <w:noWrap w:val="0"/>
                  <w:vAlign w:val="center"/>
                </w:tcPr>
                <w:p w14:paraId="0C8067FF">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0.</w:t>
                  </w:r>
                  <w:r>
                    <w:rPr>
                      <w:rFonts w:hint="default" w:ascii="Times New Roman" w:hAnsi="Times New Roman" w:cs="Times New Roman"/>
                      <w:color w:val="000000"/>
                      <w:kern w:val="2"/>
                      <w:sz w:val="21"/>
                      <w:szCs w:val="24"/>
                      <w:highlight w:val="none"/>
                      <w:lang w:val="en-US" w:eastAsia="zh-CN" w:bidi="ar-SA"/>
                    </w:rPr>
                    <w:t>121</w:t>
                  </w:r>
                </w:p>
              </w:tc>
              <w:tc>
                <w:tcPr>
                  <w:tcW w:w="700" w:type="pct"/>
                  <w:noWrap w:val="0"/>
                  <w:vAlign w:val="center"/>
                </w:tcPr>
                <w:p w14:paraId="61B84DBB">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kern w:val="2"/>
                      <w:sz w:val="21"/>
                      <w:szCs w:val="24"/>
                      <w:highlight w:val="none"/>
                      <w:lang w:val="en-US" w:eastAsia="zh-CN" w:bidi="ar-SA"/>
                    </w:rPr>
                    <w:t>14</w:t>
                  </w:r>
                </w:p>
              </w:tc>
              <w:tc>
                <w:tcPr>
                  <w:tcW w:w="747" w:type="pct"/>
                  <w:noWrap w:val="0"/>
                  <w:vAlign w:val="center"/>
                </w:tcPr>
                <w:p w14:paraId="5F4D410E">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kern w:val="2"/>
                      <w:sz w:val="21"/>
                      <w:szCs w:val="24"/>
                      <w:highlight w:val="none"/>
                      <w:lang w:val="en-US" w:eastAsia="zh-CN" w:bidi="ar-SA"/>
                    </w:rPr>
                    <w:t>16</w:t>
                  </w:r>
                </w:p>
              </w:tc>
              <w:tc>
                <w:tcPr>
                  <w:tcW w:w="498" w:type="pct"/>
                  <w:noWrap w:val="0"/>
                  <w:vAlign w:val="center"/>
                </w:tcPr>
                <w:p w14:paraId="7AE30639">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0</w:t>
                  </w:r>
                </w:p>
              </w:tc>
            </w:tr>
            <w:tr w14:paraId="111B3830">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45" w:hRule="atLeast"/>
                <w:jc w:val="center"/>
              </w:trPr>
              <w:tc>
                <w:tcPr>
                  <w:tcW w:w="836" w:type="pct"/>
                  <w:noWrap w:val="0"/>
                  <w:vAlign w:val="center"/>
                </w:tcPr>
                <w:p w14:paraId="36E0C889">
                  <w:pPr>
                    <w:widowControl w:val="0"/>
                    <w:bidi w:val="0"/>
                    <w:adjustRightInd/>
                    <w:snapToGrid/>
                    <w:spacing w:line="240" w:lineRule="auto"/>
                    <w:ind w:firstLine="0" w:firstLineChars="0"/>
                    <w:jc w:val="center"/>
                    <w:rPr>
                      <w:rFonts w:hint="default" w:ascii="Times New Roman" w:hAnsi="Times New Roman" w:eastAsia="宋体" w:cs="Times New Roman"/>
                      <w:b w:val="0"/>
                      <w:bCs w:val="0"/>
                      <w:color w:val="000000"/>
                      <w:kern w:val="2"/>
                      <w:sz w:val="21"/>
                      <w:szCs w:val="24"/>
                      <w:highlight w:val="none"/>
                      <w:lang w:val="en-US" w:eastAsia="zh-CN" w:bidi="ar-SA"/>
                    </w:rPr>
                  </w:pPr>
                  <w:r>
                    <w:rPr>
                      <w:rFonts w:hint="default" w:ascii="Times New Roman" w:hAnsi="Times New Roman" w:eastAsia="宋体" w:cs="Times New Roman"/>
                      <w:b w:val="0"/>
                      <w:bCs w:val="0"/>
                      <w:color w:val="000000"/>
                      <w:kern w:val="2"/>
                      <w:sz w:val="21"/>
                      <w:szCs w:val="24"/>
                      <w:highlight w:val="none"/>
                      <w:lang w:val="en-US" w:eastAsia="zh-CN" w:bidi="ar-SA"/>
                    </w:rPr>
                    <w:t>202</w:t>
                  </w:r>
                  <w:r>
                    <w:rPr>
                      <w:rFonts w:hint="default" w:ascii="Times New Roman" w:hAnsi="Times New Roman" w:cs="Times New Roman"/>
                      <w:b w:val="0"/>
                      <w:bCs w:val="0"/>
                      <w:color w:val="000000"/>
                      <w:kern w:val="2"/>
                      <w:sz w:val="21"/>
                      <w:szCs w:val="24"/>
                      <w:highlight w:val="none"/>
                      <w:lang w:val="en-US" w:eastAsia="zh-CN" w:bidi="ar-SA"/>
                    </w:rPr>
                    <w:t>5</w:t>
                  </w:r>
                  <w:r>
                    <w:rPr>
                      <w:rFonts w:hint="default" w:ascii="Times New Roman" w:hAnsi="Times New Roman" w:eastAsia="宋体" w:cs="Times New Roman"/>
                      <w:b w:val="0"/>
                      <w:bCs w:val="0"/>
                      <w:color w:val="000000"/>
                      <w:kern w:val="2"/>
                      <w:sz w:val="21"/>
                      <w:szCs w:val="24"/>
                      <w:highlight w:val="none"/>
                      <w:lang w:val="en-US" w:eastAsia="zh-CN" w:bidi="ar-SA"/>
                    </w:rPr>
                    <w:t>年12月</w:t>
                  </w:r>
                </w:p>
              </w:tc>
              <w:tc>
                <w:tcPr>
                  <w:tcW w:w="368" w:type="pct"/>
                  <w:noWrap w:val="0"/>
                  <w:vAlign w:val="center"/>
                </w:tcPr>
                <w:p w14:paraId="1F650BAE">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0.00</w:t>
                  </w:r>
                  <w:r>
                    <w:rPr>
                      <w:rFonts w:hint="default" w:ascii="Times New Roman" w:hAnsi="Times New Roman" w:cs="Times New Roman"/>
                      <w:color w:val="000000"/>
                      <w:kern w:val="2"/>
                      <w:sz w:val="21"/>
                      <w:szCs w:val="24"/>
                      <w:highlight w:val="none"/>
                      <w:lang w:val="en-US" w:eastAsia="zh-CN" w:bidi="ar-SA"/>
                    </w:rPr>
                    <w:t>3</w:t>
                  </w:r>
                </w:p>
              </w:tc>
              <w:tc>
                <w:tcPr>
                  <w:tcW w:w="368" w:type="pct"/>
                  <w:noWrap w:val="0"/>
                  <w:vAlign w:val="center"/>
                </w:tcPr>
                <w:p w14:paraId="209416EB">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0.01</w:t>
                  </w:r>
                  <w:r>
                    <w:rPr>
                      <w:rFonts w:hint="default" w:ascii="Times New Roman" w:hAnsi="Times New Roman" w:cs="Times New Roman"/>
                      <w:color w:val="000000"/>
                      <w:kern w:val="2"/>
                      <w:sz w:val="21"/>
                      <w:szCs w:val="24"/>
                      <w:highlight w:val="none"/>
                      <w:lang w:val="en-US" w:eastAsia="zh-CN" w:bidi="ar-SA"/>
                    </w:rPr>
                    <w:t>5</w:t>
                  </w:r>
                </w:p>
              </w:tc>
              <w:tc>
                <w:tcPr>
                  <w:tcW w:w="368" w:type="pct"/>
                  <w:noWrap w:val="0"/>
                  <w:vAlign w:val="center"/>
                </w:tcPr>
                <w:p w14:paraId="5616F024">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0.036</w:t>
                  </w:r>
                </w:p>
              </w:tc>
              <w:tc>
                <w:tcPr>
                  <w:tcW w:w="368" w:type="pct"/>
                  <w:noWrap w:val="0"/>
                  <w:vAlign w:val="center"/>
                </w:tcPr>
                <w:p w14:paraId="6B60A740">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0.0</w:t>
                  </w:r>
                  <w:r>
                    <w:rPr>
                      <w:rFonts w:hint="default" w:ascii="Times New Roman" w:hAnsi="Times New Roman" w:cs="Times New Roman"/>
                      <w:color w:val="000000"/>
                      <w:kern w:val="2"/>
                      <w:sz w:val="21"/>
                      <w:szCs w:val="24"/>
                      <w:highlight w:val="none"/>
                      <w:lang w:val="en-US" w:eastAsia="zh-CN" w:bidi="ar-SA"/>
                    </w:rPr>
                    <w:t>20</w:t>
                  </w:r>
                </w:p>
              </w:tc>
              <w:tc>
                <w:tcPr>
                  <w:tcW w:w="368" w:type="pct"/>
                  <w:noWrap w:val="0"/>
                  <w:vAlign w:val="center"/>
                </w:tcPr>
                <w:p w14:paraId="75E9E404">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0.6</w:t>
                  </w:r>
                </w:p>
              </w:tc>
              <w:tc>
                <w:tcPr>
                  <w:tcW w:w="373" w:type="pct"/>
                  <w:noWrap w:val="0"/>
                  <w:vAlign w:val="center"/>
                </w:tcPr>
                <w:p w14:paraId="078EF8FD">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0.1</w:t>
                  </w:r>
                  <w:r>
                    <w:rPr>
                      <w:rFonts w:hint="default" w:ascii="Times New Roman" w:hAnsi="Times New Roman" w:cs="Times New Roman"/>
                      <w:color w:val="000000"/>
                      <w:kern w:val="2"/>
                      <w:sz w:val="21"/>
                      <w:szCs w:val="24"/>
                      <w:highlight w:val="none"/>
                      <w:lang w:val="en-US" w:eastAsia="zh-CN" w:bidi="ar-SA"/>
                    </w:rPr>
                    <w:t>1</w:t>
                  </w:r>
                  <w:r>
                    <w:rPr>
                      <w:rFonts w:hint="default" w:ascii="Times New Roman" w:hAnsi="Times New Roman" w:eastAsia="宋体" w:cs="Times New Roman"/>
                      <w:color w:val="000000"/>
                      <w:kern w:val="2"/>
                      <w:sz w:val="21"/>
                      <w:szCs w:val="24"/>
                      <w:highlight w:val="none"/>
                      <w:lang w:val="en-US" w:eastAsia="zh-CN" w:bidi="ar-SA"/>
                    </w:rPr>
                    <w:t>4</w:t>
                  </w:r>
                </w:p>
              </w:tc>
              <w:tc>
                <w:tcPr>
                  <w:tcW w:w="700" w:type="pct"/>
                  <w:noWrap w:val="0"/>
                  <w:vAlign w:val="center"/>
                </w:tcPr>
                <w:p w14:paraId="394CE98B">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kern w:val="2"/>
                      <w:sz w:val="21"/>
                      <w:szCs w:val="24"/>
                      <w:highlight w:val="none"/>
                      <w:lang w:val="en-US" w:eastAsia="zh-CN" w:bidi="ar-SA"/>
                    </w:rPr>
                    <w:t>19</w:t>
                  </w:r>
                </w:p>
              </w:tc>
              <w:tc>
                <w:tcPr>
                  <w:tcW w:w="747" w:type="pct"/>
                  <w:noWrap w:val="0"/>
                  <w:vAlign w:val="center"/>
                </w:tcPr>
                <w:p w14:paraId="5F58DAF5">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kern w:val="2"/>
                      <w:sz w:val="21"/>
                      <w:szCs w:val="24"/>
                      <w:highlight w:val="none"/>
                      <w:lang w:val="en-US" w:eastAsia="zh-CN" w:bidi="ar-SA"/>
                    </w:rPr>
                    <w:t>12</w:t>
                  </w:r>
                </w:p>
              </w:tc>
              <w:tc>
                <w:tcPr>
                  <w:tcW w:w="498" w:type="pct"/>
                  <w:noWrap w:val="0"/>
                  <w:vAlign w:val="center"/>
                </w:tcPr>
                <w:p w14:paraId="3A48C4DE">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0</w:t>
                  </w:r>
                </w:p>
              </w:tc>
            </w:tr>
            <w:tr w14:paraId="685AF155">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45" w:hRule="atLeast"/>
                <w:jc w:val="center"/>
              </w:trPr>
              <w:tc>
                <w:tcPr>
                  <w:tcW w:w="836" w:type="pct"/>
                  <w:noWrap w:val="0"/>
                  <w:vAlign w:val="center"/>
                </w:tcPr>
                <w:p w14:paraId="50308FA9">
                  <w:pPr>
                    <w:widowControl w:val="0"/>
                    <w:bidi w:val="0"/>
                    <w:adjustRightInd/>
                    <w:snapToGrid/>
                    <w:spacing w:line="240" w:lineRule="auto"/>
                    <w:ind w:firstLine="0" w:firstLineChars="0"/>
                    <w:jc w:val="center"/>
                    <w:rPr>
                      <w:rFonts w:hint="default" w:ascii="Times New Roman" w:hAnsi="Times New Roman" w:eastAsia="宋体" w:cs="Times New Roman"/>
                      <w:b w:val="0"/>
                      <w:bCs w:val="0"/>
                      <w:color w:val="000000"/>
                      <w:kern w:val="2"/>
                      <w:sz w:val="21"/>
                      <w:szCs w:val="24"/>
                      <w:highlight w:val="none"/>
                      <w:lang w:val="en-US" w:eastAsia="zh-CN" w:bidi="ar-SA"/>
                    </w:rPr>
                  </w:pPr>
                  <w:r>
                    <w:rPr>
                      <w:rFonts w:hint="default" w:ascii="Times New Roman" w:hAnsi="Times New Roman" w:eastAsia="宋体" w:cs="Times New Roman"/>
                      <w:b w:val="0"/>
                      <w:bCs w:val="0"/>
                      <w:color w:val="000000"/>
                      <w:kern w:val="2"/>
                      <w:sz w:val="21"/>
                      <w:szCs w:val="24"/>
                      <w:highlight w:val="none"/>
                      <w:lang w:val="en-US" w:eastAsia="zh-CN" w:bidi="ar-SA"/>
                    </w:rPr>
                    <w:t>标准值（</w:t>
                  </w:r>
                  <w:r>
                    <w:rPr>
                      <w:rFonts w:hint="eastAsia" w:cs="Times New Roman"/>
                      <w:b w:val="0"/>
                      <w:bCs w:val="0"/>
                      <w:color w:val="000000"/>
                      <w:kern w:val="2"/>
                      <w:sz w:val="21"/>
                      <w:szCs w:val="24"/>
                      <w:highlight w:val="none"/>
                      <w:lang w:val="en-US" w:eastAsia="zh-CN" w:bidi="ar-SA"/>
                    </w:rPr>
                    <w:t>m</w:t>
                  </w:r>
                  <w:r>
                    <w:rPr>
                      <w:rFonts w:hint="default" w:ascii="Times New Roman" w:hAnsi="Times New Roman" w:eastAsia="宋体" w:cs="Times New Roman"/>
                      <w:b w:val="0"/>
                      <w:bCs w:val="0"/>
                      <w:color w:val="000000"/>
                      <w:kern w:val="2"/>
                      <w:sz w:val="21"/>
                      <w:szCs w:val="24"/>
                      <w:highlight w:val="none"/>
                      <w:lang w:val="en-US" w:eastAsia="zh-CN" w:bidi="ar-SA"/>
                    </w:rPr>
                    <w:t>g/m</w:t>
                  </w:r>
                  <w:r>
                    <w:rPr>
                      <w:rFonts w:hint="default" w:ascii="Times New Roman" w:hAnsi="Times New Roman" w:eastAsia="宋体" w:cs="Times New Roman"/>
                      <w:b w:val="0"/>
                      <w:bCs w:val="0"/>
                      <w:color w:val="000000"/>
                      <w:kern w:val="2"/>
                      <w:sz w:val="21"/>
                      <w:szCs w:val="24"/>
                      <w:highlight w:val="none"/>
                      <w:vertAlign w:val="superscript"/>
                      <w:lang w:val="en-US" w:eastAsia="zh-CN" w:bidi="ar-SA"/>
                    </w:rPr>
                    <w:t>3</w:t>
                  </w:r>
                  <w:r>
                    <w:rPr>
                      <w:rFonts w:hint="default" w:ascii="Times New Roman" w:hAnsi="Times New Roman" w:eastAsia="宋体" w:cs="Times New Roman"/>
                      <w:b w:val="0"/>
                      <w:bCs w:val="0"/>
                      <w:color w:val="000000"/>
                      <w:kern w:val="2"/>
                      <w:sz w:val="21"/>
                      <w:szCs w:val="24"/>
                      <w:highlight w:val="none"/>
                      <w:lang w:val="en-US" w:eastAsia="zh-CN" w:bidi="ar-SA"/>
                    </w:rPr>
                    <w:t>）</w:t>
                  </w:r>
                </w:p>
              </w:tc>
              <w:tc>
                <w:tcPr>
                  <w:tcW w:w="368" w:type="pct"/>
                  <w:noWrap w:val="0"/>
                  <w:vAlign w:val="center"/>
                </w:tcPr>
                <w:p w14:paraId="51D5BD92">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eastAsia" w:cs="Times New Roman"/>
                      <w:color w:val="000000"/>
                      <w:kern w:val="2"/>
                      <w:sz w:val="21"/>
                      <w:szCs w:val="24"/>
                      <w:highlight w:val="none"/>
                      <w:lang w:val="en-US" w:eastAsia="zh-CN" w:bidi="ar-SA"/>
                    </w:rPr>
                    <w:t>0.150</w:t>
                  </w:r>
                </w:p>
              </w:tc>
              <w:tc>
                <w:tcPr>
                  <w:tcW w:w="368" w:type="pct"/>
                  <w:noWrap w:val="0"/>
                  <w:vAlign w:val="center"/>
                </w:tcPr>
                <w:p w14:paraId="111593DA">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eastAsia" w:cs="Times New Roman"/>
                      <w:color w:val="000000"/>
                      <w:kern w:val="2"/>
                      <w:sz w:val="21"/>
                      <w:szCs w:val="24"/>
                      <w:highlight w:val="none"/>
                      <w:lang w:val="en-US" w:eastAsia="zh-CN" w:bidi="ar-SA"/>
                    </w:rPr>
                    <w:t>0.080</w:t>
                  </w:r>
                </w:p>
              </w:tc>
              <w:tc>
                <w:tcPr>
                  <w:tcW w:w="368" w:type="pct"/>
                  <w:noWrap w:val="0"/>
                  <w:vAlign w:val="center"/>
                </w:tcPr>
                <w:p w14:paraId="5910B5AC">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eastAsia" w:cs="Times New Roman"/>
                      <w:color w:val="000000"/>
                      <w:kern w:val="2"/>
                      <w:sz w:val="21"/>
                      <w:szCs w:val="24"/>
                      <w:highlight w:val="none"/>
                      <w:lang w:val="en-US" w:eastAsia="zh-CN" w:bidi="ar-SA"/>
                    </w:rPr>
                    <w:t>0.120</w:t>
                  </w:r>
                </w:p>
              </w:tc>
              <w:tc>
                <w:tcPr>
                  <w:tcW w:w="368" w:type="pct"/>
                  <w:noWrap w:val="0"/>
                  <w:vAlign w:val="center"/>
                </w:tcPr>
                <w:p w14:paraId="0A06504B">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eastAsia" w:cs="Times New Roman"/>
                      <w:color w:val="000000"/>
                      <w:kern w:val="2"/>
                      <w:sz w:val="21"/>
                      <w:szCs w:val="24"/>
                      <w:highlight w:val="none"/>
                      <w:lang w:val="en-US" w:eastAsia="zh-CN" w:bidi="ar-SA"/>
                    </w:rPr>
                    <w:t>0.060</w:t>
                  </w:r>
                </w:p>
              </w:tc>
              <w:tc>
                <w:tcPr>
                  <w:tcW w:w="368" w:type="pct"/>
                  <w:noWrap w:val="0"/>
                  <w:vAlign w:val="center"/>
                </w:tcPr>
                <w:p w14:paraId="20CE40FC">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4</w:t>
                  </w:r>
                </w:p>
              </w:tc>
              <w:tc>
                <w:tcPr>
                  <w:tcW w:w="373" w:type="pct"/>
                  <w:noWrap w:val="0"/>
                  <w:vAlign w:val="center"/>
                </w:tcPr>
                <w:p w14:paraId="4F062D68">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eastAsia" w:cs="Times New Roman"/>
                      <w:color w:val="000000"/>
                      <w:kern w:val="2"/>
                      <w:sz w:val="21"/>
                      <w:szCs w:val="24"/>
                      <w:highlight w:val="none"/>
                      <w:lang w:val="en-US" w:eastAsia="zh-CN" w:bidi="ar-SA"/>
                    </w:rPr>
                    <w:t>0.160</w:t>
                  </w:r>
                </w:p>
              </w:tc>
              <w:tc>
                <w:tcPr>
                  <w:tcW w:w="1947" w:type="pct"/>
                  <w:gridSpan w:val="3"/>
                  <w:vMerge w:val="restart"/>
                  <w:noWrap w:val="0"/>
                  <w:vAlign w:val="center"/>
                </w:tcPr>
                <w:p w14:paraId="589A18BD">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202</w:t>
                  </w:r>
                  <w:r>
                    <w:rPr>
                      <w:rFonts w:hint="default" w:ascii="Times New Roman" w:hAnsi="Times New Roman" w:cs="Times New Roman"/>
                      <w:color w:val="000000"/>
                      <w:kern w:val="2"/>
                      <w:sz w:val="21"/>
                      <w:szCs w:val="24"/>
                      <w:highlight w:val="none"/>
                      <w:lang w:val="en-US" w:eastAsia="zh-CN" w:bidi="ar-SA"/>
                    </w:rPr>
                    <w:t>5</w:t>
                  </w:r>
                  <w:r>
                    <w:rPr>
                      <w:rFonts w:hint="default" w:ascii="Times New Roman" w:hAnsi="Times New Roman" w:eastAsia="宋体" w:cs="Times New Roman"/>
                      <w:color w:val="000000"/>
                      <w:kern w:val="2"/>
                      <w:sz w:val="21"/>
                      <w:szCs w:val="24"/>
                      <w:highlight w:val="none"/>
                      <w:lang w:val="en-US" w:eastAsia="zh-CN" w:bidi="ar-SA"/>
                    </w:rPr>
                    <w:t>年有效监测天数</w:t>
                  </w:r>
                  <w:r>
                    <w:rPr>
                      <w:rFonts w:hint="default" w:ascii="Times New Roman" w:hAnsi="Times New Roman" w:cs="Times New Roman"/>
                      <w:color w:val="000000"/>
                      <w:kern w:val="2"/>
                      <w:sz w:val="21"/>
                      <w:szCs w:val="24"/>
                      <w:highlight w:val="none"/>
                      <w:lang w:val="en-US" w:eastAsia="zh-CN" w:bidi="ar-SA"/>
                    </w:rPr>
                    <w:t>365</w:t>
                  </w:r>
                  <w:r>
                    <w:rPr>
                      <w:rFonts w:hint="default" w:ascii="Times New Roman" w:hAnsi="Times New Roman" w:eastAsia="宋体" w:cs="Times New Roman"/>
                      <w:color w:val="000000"/>
                      <w:kern w:val="2"/>
                      <w:sz w:val="21"/>
                      <w:szCs w:val="24"/>
                      <w:highlight w:val="none"/>
                      <w:lang w:val="en-US" w:eastAsia="zh-CN" w:bidi="ar-SA"/>
                    </w:rPr>
                    <w:t>天，其中</w:t>
                  </w:r>
                </w:p>
                <w:p w14:paraId="4F898B5B">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达到一级的</w:t>
                  </w:r>
                  <w:r>
                    <w:rPr>
                      <w:rFonts w:hint="default" w:ascii="Times New Roman" w:hAnsi="Times New Roman" w:cs="Times New Roman"/>
                      <w:color w:val="000000"/>
                      <w:kern w:val="2"/>
                      <w:sz w:val="21"/>
                      <w:szCs w:val="24"/>
                      <w:highlight w:val="none"/>
                      <w:lang w:val="en-US" w:eastAsia="zh-CN" w:bidi="ar-SA"/>
                    </w:rPr>
                    <w:t>229</w:t>
                  </w:r>
                  <w:r>
                    <w:rPr>
                      <w:rFonts w:hint="default" w:ascii="Times New Roman" w:hAnsi="Times New Roman" w:eastAsia="宋体" w:cs="Times New Roman"/>
                      <w:color w:val="000000"/>
                      <w:kern w:val="2"/>
                      <w:sz w:val="21"/>
                      <w:szCs w:val="24"/>
                      <w:highlight w:val="none"/>
                      <w:lang w:val="en-US" w:eastAsia="zh-CN" w:bidi="ar-SA"/>
                    </w:rPr>
                    <w:t>天，达到二级的</w:t>
                  </w:r>
                  <w:r>
                    <w:rPr>
                      <w:rFonts w:hint="default" w:ascii="Times New Roman" w:hAnsi="Times New Roman" w:cs="Times New Roman"/>
                      <w:color w:val="000000"/>
                      <w:kern w:val="2"/>
                      <w:sz w:val="21"/>
                      <w:szCs w:val="24"/>
                      <w:highlight w:val="none"/>
                      <w:lang w:val="en-US" w:eastAsia="zh-CN" w:bidi="ar-SA"/>
                    </w:rPr>
                    <w:t>135</w:t>
                  </w:r>
                  <w:r>
                    <w:rPr>
                      <w:rFonts w:hint="default" w:ascii="Times New Roman" w:hAnsi="Times New Roman" w:eastAsia="宋体" w:cs="Times New Roman"/>
                      <w:color w:val="000000"/>
                      <w:kern w:val="2"/>
                      <w:sz w:val="21"/>
                      <w:szCs w:val="24"/>
                      <w:highlight w:val="none"/>
                      <w:lang w:val="en-US" w:eastAsia="zh-CN" w:bidi="ar-SA"/>
                    </w:rPr>
                    <w:t>天，超标1天</w:t>
                  </w:r>
                </w:p>
              </w:tc>
            </w:tr>
            <w:tr w14:paraId="56D0BEE4">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77" w:hRule="atLeast"/>
                <w:jc w:val="center"/>
              </w:trPr>
              <w:tc>
                <w:tcPr>
                  <w:tcW w:w="836" w:type="pct"/>
                  <w:noWrap w:val="0"/>
                  <w:vAlign w:val="center"/>
                </w:tcPr>
                <w:p w14:paraId="19984D71">
                  <w:pPr>
                    <w:widowControl w:val="0"/>
                    <w:bidi w:val="0"/>
                    <w:adjustRightInd/>
                    <w:snapToGrid/>
                    <w:spacing w:line="240" w:lineRule="auto"/>
                    <w:ind w:firstLine="0" w:firstLineChars="0"/>
                    <w:jc w:val="center"/>
                    <w:rPr>
                      <w:rFonts w:hint="default" w:ascii="Times New Roman" w:hAnsi="Times New Roman" w:eastAsia="宋体" w:cs="Times New Roman"/>
                      <w:b w:val="0"/>
                      <w:bCs w:val="0"/>
                      <w:color w:val="000000"/>
                      <w:kern w:val="2"/>
                      <w:sz w:val="21"/>
                      <w:szCs w:val="24"/>
                      <w:highlight w:val="none"/>
                      <w:lang w:val="en-US" w:eastAsia="zh-CN" w:bidi="ar-SA"/>
                    </w:rPr>
                  </w:pPr>
                  <w:r>
                    <w:rPr>
                      <w:rFonts w:hint="default" w:ascii="Times New Roman" w:hAnsi="Times New Roman" w:eastAsia="宋体" w:cs="Times New Roman"/>
                      <w:b w:val="0"/>
                      <w:bCs w:val="0"/>
                      <w:color w:val="000000"/>
                      <w:kern w:val="2"/>
                      <w:sz w:val="21"/>
                      <w:szCs w:val="24"/>
                      <w:highlight w:val="none"/>
                      <w:lang w:val="en-US" w:eastAsia="zh-CN" w:bidi="ar-SA"/>
                    </w:rPr>
                    <w:t>达标情况</w:t>
                  </w:r>
                </w:p>
              </w:tc>
              <w:tc>
                <w:tcPr>
                  <w:tcW w:w="368" w:type="pct"/>
                  <w:noWrap w:val="0"/>
                  <w:vAlign w:val="center"/>
                </w:tcPr>
                <w:p w14:paraId="4CBB1725">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达标</w:t>
                  </w:r>
                </w:p>
              </w:tc>
              <w:tc>
                <w:tcPr>
                  <w:tcW w:w="368" w:type="pct"/>
                  <w:noWrap w:val="0"/>
                  <w:vAlign w:val="center"/>
                </w:tcPr>
                <w:p w14:paraId="2FB44663">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达标</w:t>
                  </w:r>
                </w:p>
              </w:tc>
              <w:tc>
                <w:tcPr>
                  <w:tcW w:w="368" w:type="pct"/>
                  <w:noWrap w:val="0"/>
                  <w:vAlign w:val="center"/>
                </w:tcPr>
                <w:p w14:paraId="50E6EE90">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达标</w:t>
                  </w:r>
                </w:p>
              </w:tc>
              <w:tc>
                <w:tcPr>
                  <w:tcW w:w="368" w:type="pct"/>
                  <w:noWrap w:val="0"/>
                  <w:vAlign w:val="center"/>
                </w:tcPr>
                <w:p w14:paraId="5C3A17CB">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达标</w:t>
                  </w:r>
                </w:p>
              </w:tc>
              <w:tc>
                <w:tcPr>
                  <w:tcW w:w="368" w:type="pct"/>
                  <w:noWrap w:val="0"/>
                  <w:vAlign w:val="center"/>
                </w:tcPr>
                <w:p w14:paraId="7AD78E49">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达标</w:t>
                  </w:r>
                </w:p>
              </w:tc>
              <w:tc>
                <w:tcPr>
                  <w:tcW w:w="373" w:type="pct"/>
                  <w:noWrap w:val="0"/>
                  <w:vAlign w:val="center"/>
                </w:tcPr>
                <w:p w14:paraId="6FB1B2BF">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eastAsia="宋体" w:cs="Times New Roman"/>
                      <w:color w:val="000000"/>
                      <w:kern w:val="2"/>
                      <w:sz w:val="21"/>
                      <w:szCs w:val="24"/>
                      <w:highlight w:val="none"/>
                      <w:lang w:val="en-US" w:eastAsia="zh-CN" w:bidi="ar-SA"/>
                    </w:rPr>
                    <w:t>达标</w:t>
                  </w:r>
                </w:p>
              </w:tc>
              <w:tc>
                <w:tcPr>
                  <w:tcW w:w="1947" w:type="pct"/>
                  <w:gridSpan w:val="3"/>
                  <w:vMerge w:val="continue"/>
                  <w:noWrap w:val="0"/>
                  <w:vAlign w:val="center"/>
                </w:tcPr>
                <w:p w14:paraId="01127D2A">
                  <w:pPr>
                    <w:widowControl w:val="0"/>
                    <w:bidi w:val="0"/>
                    <w:adjustRightInd/>
                    <w:snapToGrid/>
                    <w:spacing w:line="240" w:lineRule="auto"/>
                    <w:ind w:firstLine="0" w:firstLineChars="0"/>
                    <w:jc w:val="center"/>
                    <w:rPr>
                      <w:rFonts w:hint="default" w:ascii="Times New Roman" w:hAnsi="Times New Roman" w:eastAsia="宋体" w:cs="Times New Roman"/>
                      <w:color w:val="000000"/>
                      <w:kern w:val="2"/>
                      <w:sz w:val="21"/>
                      <w:szCs w:val="24"/>
                      <w:highlight w:val="none"/>
                      <w:lang w:val="en-US" w:eastAsia="zh-CN" w:bidi="ar-SA"/>
                    </w:rPr>
                  </w:pPr>
                </w:p>
              </w:tc>
            </w:tr>
            <w:tr w14:paraId="3F58B516">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55" w:hRule="atLeast"/>
                <w:jc w:val="center"/>
              </w:trPr>
              <w:tc>
                <w:tcPr>
                  <w:tcW w:w="5000" w:type="pct"/>
                  <w:gridSpan w:val="10"/>
                  <w:noWrap w:val="0"/>
                  <w:vAlign w:val="center"/>
                </w:tcPr>
                <w:p w14:paraId="177A29E8">
                  <w:pPr>
                    <w:widowControl w:val="0"/>
                    <w:bidi w:val="0"/>
                    <w:adjustRightInd/>
                    <w:snapToGrid/>
                    <w:spacing w:line="240" w:lineRule="auto"/>
                    <w:ind w:firstLine="0" w:firstLineChars="0"/>
                    <w:jc w:val="both"/>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kern w:val="2"/>
                      <w:sz w:val="21"/>
                      <w:szCs w:val="24"/>
                      <w:highlight w:val="none"/>
                      <w:lang w:val="en-US" w:eastAsia="zh-CN" w:bidi="ar-SA"/>
                    </w:rPr>
                    <w:t>备注：</w:t>
                  </w:r>
                  <w:r>
                    <w:rPr>
                      <w:rFonts w:hint="default" w:ascii="Times New Roman" w:hAnsi="Times New Roman" w:eastAsia="宋体" w:cs="Times New Roman"/>
                      <w:color w:val="000000"/>
                      <w:kern w:val="2"/>
                      <w:sz w:val="21"/>
                      <w:szCs w:val="24"/>
                      <w:highlight w:val="none"/>
                      <w:lang w:val="en-US" w:eastAsia="zh-CN" w:bidi="ar-SA"/>
                    </w:rPr>
                    <w:t>*CO为日均值第95百分位数，O</w:t>
                  </w:r>
                  <w:r>
                    <w:rPr>
                      <w:rFonts w:hint="default" w:ascii="Times New Roman" w:hAnsi="Times New Roman" w:eastAsia="宋体" w:cs="Times New Roman"/>
                      <w:color w:val="000000"/>
                      <w:kern w:val="2"/>
                      <w:sz w:val="21"/>
                      <w:szCs w:val="24"/>
                      <w:highlight w:val="none"/>
                      <w:vertAlign w:val="subscript"/>
                      <w:lang w:val="en-US" w:eastAsia="zh-CN" w:bidi="ar-SA"/>
                    </w:rPr>
                    <w:t>3</w:t>
                  </w:r>
                  <w:r>
                    <w:rPr>
                      <w:rFonts w:hint="default" w:ascii="Times New Roman" w:hAnsi="Times New Roman" w:eastAsia="宋体" w:cs="Times New Roman"/>
                      <w:color w:val="000000"/>
                      <w:kern w:val="2"/>
                      <w:sz w:val="21"/>
                      <w:szCs w:val="24"/>
                      <w:highlight w:val="none"/>
                      <w:lang w:val="en-US" w:eastAsia="zh-CN" w:bidi="ar-SA"/>
                    </w:rPr>
                    <w:t>为日最大8小时值第90百分位数</w:t>
                  </w:r>
                </w:p>
              </w:tc>
            </w:tr>
          </w:tbl>
          <w:p w14:paraId="649E1E6D">
            <w:pPr>
              <w:bidi w:val="0"/>
              <w:rPr>
                <w:rFonts w:hint="default"/>
                <w:lang w:val="en-US" w:eastAsia="zh-CN"/>
              </w:rPr>
            </w:pPr>
          </w:p>
          <w:p w14:paraId="3A203EC8">
            <w:pPr>
              <w:pStyle w:val="4"/>
              <w:bidi w:val="0"/>
              <w:rPr>
                <w:rFonts w:hint="default"/>
                <w:lang w:val="en-US" w:eastAsia="zh-CN"/>
              </w:rPr>
            </w:pPr>
            <w:r>
              <w:rPr>
                <w:rFonts w:hint="default"/>
                <w:lang w:val="en-US" w:eastAsia="zh-CN"/>
              </w:rPr>
              <w:t>环境空气现状监测</w:t>
            </w:r>
          </w:p>
          <w:p w14:paraId="6D2FE721">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lang w:val="en-US" w:eastAsia="zh-CN"/>
              </w:rPr>
            </w:pPr>
            <w:r>
              <w:rPr>
                <w:rFonts w:hint="default" w:ascii="Times New Roman" w:hAnsi="Times New Roman" w:cs="Times New Roman"/>
                <w:color w:val="000000"/>
                <w:highlight w:val="none"/>
                <w:lang w:eastAsia="zh-CN"/>
              </w:rPr>
              <w:t>为了解工程周边大气环境质量现状，评价单位于2024年</w:t>
            </w:r>
            <w:r>
              <w:rPr>
                <w:rFonts w:hint="default" w:ascii="Times New Roman" w:hAnsi="Times New Roman" w:cs="Times New Roman"/>
                <w:color w:val="000000"/>
                <w:highlight w:val="none"/>
                <w:lang w:val="en-US" w:eastAsia="zh-CN"/>
              </w:rPr>
              <w:t>12</w:t>
            </w:r>
            <w:r>
              <w:rPr>
                <w:rFonts w:hint="default" w:ascii="Times New Roman" w:hAnsi="Times New Roman" w:cs="Times New Roman"/>
                <w:color w:val="000000"/>
                <w:highlight w:val="none"/>
                <w:lang w:eastAsia="zh-CN"/>
              </w:rPr>
              <w:t>月</w:t>
            </w:r>
            <w:r>
              <w:rPr>
                <w:rFonts w:hint="default" w:ascii="Times New Roman" w:hAnsi="Times New Roman" w:cs="Times New Roman"/>
                <w:color w:val="000000"/>
                <w:highlight w:val="none"/>
                <w:lang w:val="en-US" w:eastAsia="zh-CN"/>
              </w:rPr>
              <w:t>1</w:t>
            </w:r>
            <w:r>
              <w:rPr>
                <w:rFonts w:hint="default" w:ascii="Times New Roman" w:hAnsi="Times New Roman" w:cs="Times New Roman"/>
                <w:color w:val="000000"/>
                <w:highlight w:val="none"/>
                <w:lang w:eastAsia="zh-CN"/>
              </w:rPr>
              <w:t>6日~</w:t>
            </w:r>
            <w:r>
              <w:rPr>
                <w:rFonts w:hint="default" w:ascii="Times New Roman" w:hAnsi="Times New Roman" w:cs="Times New Roman"/>
                <w:color w:val="000000"/>
                <w:highlight w:val="none"/>
                <w:lang w:val="en-US" w:eastAsia="zh-CN"/>
              </w:rPr>
              <w:t>22</w:t>
            </w:r>
            <w:r>
              <w:rPr>
                <w:rFonts w:hint="default" w:ascii="Times New Roman" w:hAnsi="Times New Roman" w:cs="Times New Roman"/>
                <w:color w:val="000000"/>
                <w:highlight w:val="none"/>
                <w:lang w:eastAsia="zh-CN"/>
              </w:rPr>
              <w:t>日对工程周边</w:t>
            </w:r>
            <w:r>
              <w:rPr>
                <w:rFonts w:hint="default" w:ascii="Times New Roman" w:hAnsi="Times New Roman" w:cs="Times New Roman"/>
                <w:color w:val="000000"/>
                <w:highlight w:val="none"/>
                <w:lang w:val="en-US" w:eastAsia="zh-CN"/>
              </w:rPr>
              <w:t>沃口</w:t>
            </w:r>
            <w:r>
              <w:rPr>
                <w:rFonts w:hint="default" w:ascii="Times New Roman" w:hAnsi="Times New Roman" w:cs="Times New Roman"/>
                <w:color w:val="000000"/>
                <w:highlight w:val="none"/>
                <w:lang w:eastAsia="zh-CN"/>
              </w:rPr>
              <w:t>村的大气环境进行监测，监测点位见</w:t>
            </w:r>
            <w:r>
              <w:rPr>
                <w:rFonts w:hint="default" w:ascii="Times New Roman" w:hAnsi="Times New Roman" w:cs="Times New Roman"/>
                <w:color w:val="000000"/>
                <w:highlight w:val="none"/>
                <w:lang w:eastAsia="zh-CN"/>
              </w:rPr>
              <w:fldChar w:fldCharType="begin"/>
            </w:r>
            <w:r>
              <w:rPr>
                <w:rFonts w:hint="default" w:ascii="Times New Roman" w:hAnsi="Times New Roman" w:cs="Times New Roman"/>
                <w:color w:val="000000"/>
                <w:highlight w:val="none"/>
                <w:lang w:eastAsia="zh-CN"/>
              </w:rPr>
              <w:instrText xml:space="preserve"> REF _Ref10893 \h </w:instrText>
            </w:r>
            <w:r>
              <w:rPr>
                <w:rFonts w:hint="default" w:ascii="Times New Roman" w:hAnsi="Times New Roman" w:cs="Times New Roman"/>
                <w:color w:val="000000"/>
                <w:highlight w:val="none"/>
                <w:lang w:eastAsia="zh-CN"/>
              </w:rPr>
              <w:fldChar w:fldCharType="separate"/>
            </w:r>
            <w:r>
              <w:rPr>
                <w:rFonts w:hint="default" w:ascii="Times New Roman" w:hAnsi="Times New Roman" w:cs="Times New Roman"/>
                <w:color w:val="000000"/>
                <w:highlight w:val="none"/>
              </w:rPr>
              <w:t>图</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3.10</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1</w:t>
            </w:r>
            <w:r>
              <w:rPr>
                <w:rFonts w:hint="default" w:ascii="Times New Roman" w:hAnsi="Times New Roman" w:cs="Times New Roman"/>
                <w:color w:val="000000"/>
                <w:highlight w:val="none"/>
                <w:lang w:eastAsia="zh-CN"/>
              </w:rPr>
              <w:fldChar w:fldCharType="end"/>
            </w:r>
            <w:r>
              <w:rPr>
                <w:rFonts w:hint="default" w:ascii="Times New Roman" w:hAnsi="Times New Roman" w:cs="Times New Roman"/>
                <w:color w:val="000000"/>
                <w:highlight w:val="none"/>
                <w:lang w:eastAsia="zh-CN"/>
              </w:rPr>
              <w:t>，监测报告见附件</w:t>
            </w:r>
            <w:r>
              <w:rPr>
                <w:rFonts w:hint="default" w:ascii="Times New Roman" w:hAnsi="Times New Roman" w:cs="Times New Roman"/>
                <w:color w:val="000000"/>
                <w:highlight w:val="none"/>
                <w:lang w:val="en-US" w:eastAsia="zh-CN"/>
              </w:rPr>
              <w:t>23</w:t>
            </w:r>
            <w:r>
              <w:rPr>
                <w:rFonts w:hint="default" w:ascii="Times New Roman" w:hAnsi="Times New Roman" w:cs="Times New Roman"/>
                <w:color w:val="000000"/>
                <w:highlight w:val="none"/>
                <w:lang w:eastAsia="zh-CN"/>
              </w:rPr>
              <w:t>。</w:t>
            </w:r>
          </w:p>
          <w:p w14:paraId="74BF1645">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1</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监测点位、监测项目、监测频次</w:t>
            </w:r>
          </w:p>
          <w:p w14:paraId="5BB1A145">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监测点位：1个（沃口村）；</w:t>
            </w:r>
          </w:p>
          <w:p w14:paraId="5013CDA4">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监测项目：TSP、氨、硫化氢、臭气浓度；</w:t>
            </w:r>
          </w:p>
          <w:p w14:paraId="508755BE">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lang w:val="en-US" w:eastAsia="zh-CN"/>
              </w:rPr>
            </w:pPr>
            <w:r>
              <w:rPr>
                <w:rFonts w:hint="default" w:ascii="Times New Roman" w:hAnsi="Times New Roman" w:cs="Times New Roman"/>
                <w:color w:val="000000"/>
                <w:highlight w:val="none"/>
                <w:lang w:val="en-US" w:eastAsia="zh-CN"/>
              </w:rPr>
              <w:t>监测频次：连续监测7天。</w:t>
            </w:r>
          </w:p>
          <w:p w14:paraId="70C7B340">
            <w:pPr>
              <w:pStyle w:val="30"/>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3.10</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表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2</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val="en-US" w:eastAsia="zh-CN"/>
              </w:rPr>
              <w:t xml:space="preserve"> 大气环境质量监测内容</w:t>
            </w:r>
          </w:p>
          <w:tbl>
            <w:tblPr>
              <w:tblStyle w:val="2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84"/>
              <w:gridCol w:w="1078"/>
              <w:gridCol w:w="1116"/>
              <w:gridCol w:w="3903"/>
              <w:gridCol w:w="1120"/>
            </w:tblGrid>
            <w:tr w14:paraId="2B96E5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5" w:type="pct"/>
                  <w:tcBorders>
                    <w:tl2br w:val="nil"/>
                    <w:tr2bl w:val="nil"/>
                  </w:tcBorders>
                  <w:noWrap w:val="0"/>
                  <w:vAlign w:val="center"/>
                </w:tcPr>
                <w:p w14:paraId="390B145B">
                  <w:pPr>
                    <w:pStyle w:val="31"/>
                    <w:bidi w:val="0"/>
                    <w:jc w:val="center"/>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rPr>
                    <w:t>监测点编号</w:t>
                  </w:r>
                </w:p>
              </w:tc>
              <w:tc>
                <w:tcPr>
                  <w:tcW w:w="634" w:type="pct"/>
                  <w:tcBorders>
                    <w:tl2br w:val="nil"/>
                    <w:tr2bl w:val="nil"/>
                  </w:tcBorders>
                  <w:noWrap w:val="0"/>
                  <w:vAlign w:val="center"/>
                </w:tcPr>
                <w:p w14:paraId="54C473FE">
                  <w:pPr>
                    <w:pStyle w:val="31"/>
                    <w:bidi w:val="0"/>
                    <w:jc w:val="center"/>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rPr>
                    <w:t>点位位置</w:t>
                  </w:r>
                </w:p>
              </w:tc>
              <w:tc>
                <w:tcPr>
                  <w:tcW w:w="656" w:type="pct"/>
                  <w:tcBorders>
                    <w:tl2br w:val="nil"/>
                    <w:tr2bl w:val="nil"/>
                  </w:tcBorders>
                  <w:noWrap w:val="0"/>
                  <w:vAlign w:val="center"/>
                </w:tcPr>
                <w:p w14:paraId="769B2752">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监测项目</w:t>
                  </w:r>
                </w:p>
              </w:tc>
              <w:tc>
                <w:tcPr>
                  <w:tcW w:w="2295" w:type="pct"/>
                  <w:tcBorders>
                    <w:tl2br w:val="nil"/>
                    <w:tr2bl w:val="nil"/>
                  </w:tcBorders>
                  <w:noWrap w:val="0"/>
                  <w:vAlign w:val="center"/>
                </w:tcPr>
                <w:p w14:paraId="1738D72F">
                  <w:pPr>
                    <w:pStyle w:val="31"/>
                    <w:bidi w:val="0"/>
                    <w:jc w:val="center"/>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rPr>
                    <w:t>标准</w:t>
                  </w:r>
                </w:p>
              </w:tc>
              <w:tc>
                <w:tcPr>
                  <w:tcW w:w="658" w:type="pct"/>
                  <w:tcBorders>
                    <w:tl2br w:val="nil"/>
                    <w:tr2bl w:val="nil"/>
                  </w:tcBorders>
                  <w:noWrap w:val="0"/>
                  <w:vAlign w:val="center"/>
                </w:tcPr>
                <w:p w14:paraId="599779EF">
                  <w:pPr>
                    <w:pStyle w:val="31"/>
                    <w:bidi w:val="0"/>
                    <w:jc w:val="center"/>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rPr>
                    <w:t>监测频次</w:t>
                  </w:r>
                </w:p>
              </w:tc>
            </w:tr>
            <w:tr w14:paraId="22E75B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5" w:type="pct"/>
                  <w:vMerge w:val="restart"/>
                  <w:tcBorders>
                    <w:tl2br w:val="nil"/>
                    <w:tr2bl w:val="nil"/>
                  </w:tcBorders>
                  <w:noWrap w:val="0"/>
                  <w:vAlign w:val="center"/>
                </w:tcPr>
                <w:p w14:paraId="652D91E8">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G1</w:t>
                  </w:r>
                </w:p>
              </w:tc>
              <w:tc>
                <w:tcPr>
                  <w:tcW w:w="634" w:type="pct"/>
                  <w:vMerge w:val="restart"/>
                  <w:tcBorders>
                    <w:tl2br w:val="nil"/>
                    <w:tr2bl w:val="nil"/>
                  </w:tcBorders>
                  <w:noWrap w:val="0"/>
                  <w:vAlign w:val="center"/>
                </w:tcPr>
                <w:p w14:paraId="6CE35BEA">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沃口村</w:t>
                  </w:r>
                </w:p>
              </w:tc>
              <w:tc>
                <w:tcPr>
                  <w:tcW w:w="656" w:type="pct"/>
                  <w:tcBorders>
                    <w:tl2br w:val="nil"/>
                    <w:tr2bl w:val="nil"/>
                  </w:tcBorders>
                  <w:noWrap w:val="0"/>
                  <w:vAlign w:val="center"/>
                </w:tcPr>
                <w:p w14:paraId="79EB80EA">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TSP</w:t>
                  </w:r>
                </w:p>
              </w:tc>
              <w:tc>
                <w:tcPr>
                  <w:tcW w:w="2295" w:type="pct"/>
                  <w:tcBorders>
                    <w:tl2br w:val="nil"/>
                    <w:tr2bl w:val="nil"/>
                  </w:tcBorders>
                  <w:noWrap w:val="0"/>
                  <w:vAlign w:val="center"/>
                </w:tcPr>
                <w:p w14:paraId="1AFDE90E">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《环境空气质量标准》（GB 3095-2026）表1中的二级标准（TSP(日均值)</w:t>
                  </w:r>
                  <w:r>
                    <w:rPr>
                      <w:rFonts w:hint="default" w:ascii="Times New Roman" w:hAnsi="Times New Roman" w:cs="Times New Roman"/>
                      <w:color w:val="000000"/>
                      <w:highlight w:val="none"/>
                    </w:rPr>
                    <w:t>≤</w:t>
                  </w:r>
                  <w:r>
                    <w:rPr>
                      <w:rFonts w:hint="default" w:ascii="Times New Roman" w:hAnsi="Times New Roman" w:cs="Times New Roman"/>
                      <w:color w:val="000000"/>
                      <w:highlight w:val="none"/>
                      <w:lang w:val="en-US" w:eastAsia="zh-CN"/>
                    </w:rPr>
                    <w:t>300μg/m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w:t>
                  </w:r>
                </w:p>
              </w:tc>
              <w:tc>
                <w:tcPr>
                  <w:tcW w:w="658" w:type="pct"/>
                  <w:vMerge w:val="restart"/>
                  <w:tcBorders>
                    <w:tl2br w:val="nil"/>
                    <w:tr2bl w:val="nil"/>
                  </w:tcBorders>
                  <w:noWrap w:val="0"/>
                  <w:vAlign w:val="center"/>
                </w:tcPr>
                <w:p w14:paraId="748E79F1">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连续监测</w:t>
                  </w:r>
                </w:p>
                <w:p w14:paraId="1EF2FA73">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7天</w:t>
                  </w:r>
                </w:p>
              </w:tc>
            </w:tr>
            <w:tr w14:paraId="65091D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5" w:type="pct"/>
                  <w:vMerge w:val="continue"/>
                  <w:tcBorders>
                    <w:tl2br w:val="nil"/>
                    <w:tr2bl w:val="nil"/>
                  </w:tcBorders>
                  <w:noWrap w:val="0"/>
                  <w:vAlign w:val="center"/>
                </w:tcPr>
                <w:p w14:paraId="123DC0F3">
                  <w:pPr>
                    <w:pStyle w:val="31"/>
                    <w:bidi w:val="0"/>
                    <w:jc w:val="center"/>
                    <w:rPr>
                      <w:rFonts w:hint="default" w:ascii="Times New Roman" w:hAnsi="Times New Roman" w:cs="Times New Roman"/>
                      <w:color w:val="000000"/>
                      <w:highlight w:val="none"/>
                      <w:lang w:val="en-US" w:eastAsia="zh-CN"/>
                    </w:rPr>
                  </w:pPr>
                </w:p>
              </w:tc>
              <w:tc>
                <w:tcPr>
                  <w:tcW w:w="634" w:type="pct"/>
                  <w:vMerge w:val="continue"/>
                  <w:tcBorders>
                    <w:tl2br w:val="nil"/>
                    <w:tr2bl w:val="nil"/>
                  </w:tcBorders>
                  <w:noWrap w:val="0"/>
                  <w:vAlign w:val="center"/>
                </w:tcPr>
                <w:p w14:paraId="48338F03">
                  <w:pPr>
                    <w:pStyle w:val="31"/>
                    <w:bidi w:val="0"/>
                    <w:jc w:val="center"/>
                    <w:rPr>
                      <w:rFonts w:hint="default" w:ascii="Times New Roman" w:hAnsi="Times New Roman" w:cs="Times New Roman"/>
                      <w:color w:val="000000"/>
                      <w:highlight w:val="none"/>
                      <w:lang w:val="en-US" w:eastAsia="zh-CN"/>
                    </w:rPr>
                  </w:pPr>
                </w:p>
              </w:tc>
              <w:tc>
                <w:tcPr>
                  <w:tcW w:w="656" w:type="pct"/>
                  <w:tcBorders>
                    <w:tl2br w:val="nil"/>
                    <w:tr2bl w:val="nil"/>
                  </w:tcBorders>
                  <w:noWrap w:val="0"/>
                  <w:vAlign w:val="center"/>
                </w:tcPr>
                <w:p w14:paraId="55CDD880">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氨</w:t>
                  </w:r>
                </w:p>
              </w:tc>
              <w:tc>
                <w:tcPr>
                  <w:tcW w:w="2295" w:type="pct"/>
                  <w:vMerge w:val="restart"/>
                  <w:tcBorders>
                    <w:tl2br w:val="nil"/>
                    <w:tr2bl w:val="nil"/>
                  </w:tcBorders>
                  <w:noWrap w:val="0"/>
                  <w:vAlign w:val="center"/>
                </w:tcPr>
                <w:p w14:paraId="23BE4A2C">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《环境影响评价技术导则 大气环境》（HJ2.2-2018）附录D中其他污染物控制质量浓度参考限值</w:t>
                  </w:r>
                </w:p>
              </w:tc>
              <w:tc>
                <w:tcPr>
                  <w:tcW w:w="658" w:type="pct"/>
                  <w:vMerge w:val="continue"/>
                  <w:tcBorders>
                    <w:tl2br w:val="nil"/>
                    <w:tr2bl w:val="nil"/>
                  </w:tcBorders>
                  <w:noWrap w:val="0"/>
                  <w:vAlign w:val="center"/>
                </w:tcPr>
                <w:p w14:paraId="1DF386A8">
                  <w:pPr>
                    <w:pStyle w:val="31"/>
                    <w:bidi w:val="0"/>
                    <w:jc w:val="center"/>
                    <w:rPr>
                      <w:rFonts w:hint="default" w:ascii="Times New Roman" w:hAnsi="Times New Roman" w:cs="Times New Roman"/>
                      <w:color w:val="000000"/>
                      <w:highlight w:val="none"/>
                      <w:lang w:val="en-US" w:eastAsia="zh-CN"/>
                    </w:rPr>
                  </w:pPr>
                </w:p>
              </w:tc>
            </w:tr>
            <w:tr w14:paraId="211955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5" w:type="pct"/>
                  <w:vMerge w:val="continue"/>
                  <w:tcBorders>
                    <w:tl2br w:val="nil"/>
                    <w:tr2bl w:val="nil"/>
                  </w:tcBorders>
                  <w:noWrap w:val="0"/>
                  <w:vAlign w:val="center"/>
                </w:tcPr>
                <w:p w14:paraId="6C5439B2">
                  <w:pPr>
                    <w:pStyle w:val="31"/>
                    <w:bidi w:val="0"/>
                    <w:jc w:val="center"/>
                    <w:rPr>
                      <w:rFonts w:hint="default" w:ascii="Times New Roman" w:hAnsi="Times New Roman" w:cs="Times New Roman"/>
                      <w:color w:val="000000"/>
                      <w:highlight w:val="none"/>
                      <w:lang w:val="en-US" w:eastAsia="zh-CN"/>
                    </w:rPr>
                  </w:pPr>
                </w:p>
              </w:tc>
              <w:tc>
                <w:tcPr>
                  <w:tcW w:w="634" w:type="pct"/>
                  <w:vMerge w:val="continue"/>
                  <w:tcBorders>
                    <w:tl2br w:val="nil"/>
                    <w:tr2bl w:val="nil"/>
                  </w:tcBorders>
                  <w:noWrap w:val="0"/>
                  <w:vAlign w:val="center"/>
                </w:tcPr>
                <w:p w14:paraId="3E19A51E">
                  <w:pPr>
                    <w:pStyle w:val="31"/>
                    <w:bidi w:val="0"/>
                    <w:jc w:val="center"/>
                    <w:rPr>
                      <w:rFonts w:hint="default" w:ascii="Times New Roman" w:hAnsi="Times New Roman" w:cs="Times New Roman"/>
                      <w:color w:val="000000"/>
                      <w:highlight w:val="none"/>
                      <w:lang w:val="en-US" w:eastAsia="zh-CN"/>
                    </w:rPr>
                  </w:pPr>
                </w:p>
              </w:tc>
              <w:tc>
                <w:tcPr>
                  <w:tcW w:w="656" w:type="pct"/>
                  <w:tcBorders>
                    <w:tl2br w:val="nil"/>
                    <w:tr2bl w:val="nil"/>
                  </w:tcBorders>
                  <w:noWrap w:val="0"/>
                  <w:vAlign w:val="center"/>
                </w:tcPr>
                <w:p w14:paraId="280BB892">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硫化氢</w:t>
                  </w:r>
                </w:p>
              </w:tc>
              <w:tc>
                <w:tcPr>
                  <w:tcW w:w="2295" w:type="pct"/>
                  <w:vMerge w:val="continue"/>
                  <w:tcBorders>
                    <w:tl2br w:val="nil"/>
                    <w:tr2bl w:val="nil"/>
                  </w:tcBorders>
                  <w:noWrap w:val="0"/>
                  <w:vAlign w:val="center"/>
                </w:tcPr>
                <w:p w14:paraId="0B8C5FC6">
                  <w:pPr>
                    <w:pStyle w:val="31"/>
                    <w:bidi w:val="0"/>
                    <w:jc w:val="center"/>
                    <w:rPr>
                      <w:rFonts w:hint="default" w:ascii="Times New Roman" w:hAnsi="Times New Roman" w:cs="Times New Roman"/>
                      <w:color w:val="000000"/>
                      <w:highlight w:val="none"/>
                      <w:lang w:val="en-US" w:eastAsia="zh-CN"/>
                    </w:rPr>
                  </w:pPr>
                </w:p>
              </w:tc>
              <w:tc>
                <w:tcPr>
                  <w:tcW w:w="658" w:type="pct"/>
                  <w:vMerge w:val="continue"/>
                  <w:tcBorders>
                    <w:tl2br w:val="nil"/>
                    <w:tr2bl w:val="nil"/>
                  </w:tcBorders>
                  <w:noWrap w:val="0"/>
                  <w:vAlign w:val="center"/>
                </w:tcPr>
                <w:p w14:paraId="3A03E565">
                  <w:pPr>
                    <w:pStyle w:val="31"/>
                    <w:bidi w:val="0"/>
                    <w:jc w:val="center"/>
                    <w:rPr>
                      <w:rFonts w:hint="default" w:ascii="Times New Roman" w:hAnsi="Times New Roman" w:cs="Times New Roman"/>
                      <w:color w:val="000000"/>
                      <w:highlight w:val="none"/>
                      <w:lang w:val="en-US" w:eastAsia="zh-CN"/>
                    </w:rPr>
                  </w:pPr>
                </w:p>
              </w:tc>
            </w:tr>
            <w:tr w14:paraId="5A2D73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5" w:type="pct"/>
                  <w:vMerge w:val="continue"/>
                  <w:tcBorders>
                    <w:tl2br w:val="nil"/>
                    <w:tr2bl w:val="nil"/>
                  </w:tcBorders>
                  <w:noWrap w:val="0"/>
                  <w:vAlign w:val="center"/>
                </w:tcPr>
                <w:p w14:paraId="7347B214">
                  <w:pPr>
                    <w:pStyle w:val="31"/>
                    <w:bidi w:val="0"/>
                    <w:jc w:val="center"/>
                    <w:rPr>
                      <w:rFonts w:hint="default" w:ascii="Times New Roman" w:hAnsi="Times New Roman" w:cs="Times New Roman"/>
                      <w:color w:val="000000"/>
                      <w:highlight w:val="none"/>
                      <w:lang w:val="en-US" w:eastAsia="zh-CN"/>
                    </w:rPr>
                  </w:pPr>
                </w:p>
              </w:tc>
              <w:tc>
                <w:tcPr>
                  <w:tcW w:w="634" w:type="pct"/>
                  <w:vMerge w:val="continue"/>
                  <w:tcBorders>
                    <w:tl2br w:val="nil"/>
                    <w:tr2bl w:val="nil"/>
                  </w:tcBorders>
                  <w:noWrap w:val="0"/>
                  <w:vAlign w:val="center"/>
                </w:tcPr>
                <w:p w14:paraId="43D79827">
                  <w:pPr>
                    <w:pStyle w:val="31"/>
                    <w:bidi w:val="0"/>
                    <w:jc w:val="center"/>
                    <w:rPr>
                      <w:rFonts w:hint="default" w:ascii="Times New Roman" w:hAnsi="Times New Roman" w:cs="Times New Roman"/>
                      <w:color w:val="000000"/>
                      <w:highlight w:val="none"/>
                      <w:lang w:val="en-US" w:eastAsia="zh-CN"/>
                    </w:rPr>
                  </w:pPr>
                </w:p>
              </w:tc>
              <w:tc>
                <w:tcPr>
                  <w:tcW w:w="656" w:type="pct"/>
                  <w:tcBorders>
                    <w:tl2br w:val="nil"/>
                    <w:tr2bl w:val="nil"/>
                  </w:tcBorders>
                  <w:noWrap w:val="0"/>
                  <w:vAlign w:val="center"/>
                </w:tcPr>
                <w:p w14:paraId="375CF1E5">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臭气浓度</w:t>
                  </w:r>
                </w:p>
              </w:tc>
              <w:tc>
                <w:tcPr>
                  <w:tcW w:w="2295" w:type="pct"/>
                  <w:tcBorders>
                    <w:tl2br w:val="nil"/>
                    <w:tr2bl w:val="nil"/>
                  </w:tcBorders>
                  <w:noWrap w:val="0"/>
                  <w:vAlign w:val="center"/>
                </w:tcPr>
                <w:p w14:paraId="7D9121A8">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参考《恶臭污染物排放标准》（GB14554-93）中的二级新建标准</w:t>
                  </w:r>
                </w:p>
              </w:tc>
              <w:tc>
                <w:tcPr>
                  <w:tcW w:w="658" w:type="pct"/>
                  <w:vMerge w:val="continue"/>
                  <w:tcBorders>
                    <w:tl2br w:val="nil"/>
                    <w:tr2bl w:val="nil"/>
                  </w:tcBorders>
                  <w:noWrap w:val="0"/>
                  <w:vAlign w:val="center"/>
                </w:tcPr>
                <w:p w14:paraId="57DEA42D">
                  <w:pPr>
                    <w:pStyle w:val="31"/>
                    <w:bidi w:val="0"/>
                    <w:jc w:val="center"/>
                    <w:rPr>
                      <w:rFonts w:hint="default" w:ascii="Times New Roman" w:hAnsi="Times New Roman" w:cs="Times New Roman"/>
                      <w:color w:val="000000"/>
                      <w:highlight w:val="none"/>
                      <w:lang w:val="en-US" w:eastAsia="zh-CN"/>
                    </w:rPr>
                  </w:pPr>
                </w:p>
              </w:tc>
            </w:tr>
          </w:tbl>
          <w:p w14:paraId="278049C6">
            <w:pPr>
              <w:pStyle w:val="31"/>
              <w:bidi w:val="0"/>
              <w:rPr>
                <w:rFonts w:hint="default"/>
                <w:lang w:val="en-US" w:eastAsia="zh-CN"/>
              </w:rPr>
            </w:pPr>
          </w:p>
          <w:p w14:paraId="74CAC6C2">
            <w:pPr>
              <w:pStyle w:val="31"/>
              <w:bidi w:val="0"/>
              <w:rPr>
                <w:rFonts w:hint="default"/>
                <w:lang w:val="en-US" w:eastAsia="zh-CN"/>
              </w:rPr>
            </w:pPr>
            <w:r>
              <w:rPr>
                <w:rFonts w:hint="eastAsia"/>
                <w:lang w:val="en-US" w:eastAsia="zh-CN"/>
              </w:rPr>
              <w:t>（涉密删除）</w:t>
            </w:r>
          </w:p>
          <w:p w14:paraId="6F643788">
            <w:pPr>
              <w:pStyle w:val="30"/>
              <w:bidi w:val="0"/>
              <w:rPr>
                <w:rFonts w:hint="default" w:ascii="Times New Roman" w:hAnsi="Times New Roman" w:cs="Times New Roman"/>
                <w:color w:val="000000"/>
                <w:highlight w:val="none"/>
                <w:lang w:val="en-US" w:eastAsia="zh-CN"/>
              </w:rPr>
            </w:pPr>
            <w:bookmarkStart w:id="194" w:name="_Ref10893"/>
            <w:r>
              <w:rPr>
                <w:rFonts w:hint="default" w:ascii="Times New Roman" w:hAnsi="Times New Roman" w:cs="Times New Roman"/>
                <w:color w:val="000000"/>
                <w:highlight w:val="none"/>
              </w:rPr>
              <w:t>图</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3.10</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图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1</w:t>
            </w:r>
            <w:r>
              <w:rPr>
                <w:rFonts w:hint="default" w:ascii="Times New Roman" w:hAnsi="Times New Roman" w:cs="Times New Roman"/>
                <w:color w:val="000000"/>
                <w:highlight w:val="none"/>
              </w:rPr>
              <w:fldChar w:fldCharType="end"/>
            </w:r>
            <w:bookmarkEnd w:id="194"/>
            <w:r>
              <w:rPr>
                <w:rFonts w:hint="default" w:ascii="Times New Roman" w:hAnsi="Times New Roman" w:cs="Times New Roman"/>
                <w:color w:val="000000"/>
                <w:highlight w:val="none"/>
                <w:lang w:val="en-US" w:eastAsia="zh-CN"/>
              </w:rPr>
              <w:t xml:space="preserve"> 周边环境质量监测点位图</w:t>
            </w:r>
          </w:p>
          <w:p w14:paraId="2930CEA6">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2</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分析方法</w:t>
            </w:r>
          </w:p>
          <w:p w14:paraId="1EB34E48">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lang w:val="en-US" w:eastAsia="zh-CN"/>
              </w:rPr>
            </w:pPr>
            <w:r>
              <w:rPr>
                <w:rFonts w:hint="default" w:ascii="Times New Roman" w:hAnsi="Times New Roman" w:cs="Times New Roman"/>
                <w:color w:val="000000"/>
                <w:highlight w:val="none"/>
                <w:lang w:val="en-US" w:eastAsia="zh-CN"/>
              </w:rPr>
              <w:t>大气环境质量分析方法及检出限见</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REF _Ref3536 \h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3.10</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3</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val="en-US" w:eastAsia="zh-CN"/>
              </w:rPr>
              <w:t>。</w:t>
            </w:r>
          </w:p>
          <w:p w14:paraId="4DC0C759">
            <w:pPr>
              <w:pStyle w:val="30"/>
              <w:bidi w:val="0"/>
              <w:rPr>
                <w:rFonts w:hint="default" w:ascii="Times New Roman" w:hAnsi="Times New Roman" w:cs="Times New Roman"/>
                <w:color w:val="000000"/>
                <w:highlight w:val="none"/>
                <w:lang w:val="en-US" w:eastAsia="zh-CN"/>
              </w:rPr>
            </w:pPr>
            <w:bookmarkStart w:id="195" w:name="_Ref3536"/>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3.10</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表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w:t>
            </w:r>
            <w:r>
              <w:rPr>
                <w:rFonts w:hint="default" w:ascii="Times New Roman" w:hAnsi="Times New Roman" w:cs="Times New Roman"/>
                <w:color w:val="000000"/>
                <w:highlight w:val="none"/>
              </w:rPr>
              <w:fldChar w:fldCharType="end"/>
            </w:r>
            <w:bookmarkEnd w:id="195"/>
            <w:r>
              <w:rPr>
                <w:rFonts w:hint="default" w:ascii="Times New Roman" w:hAnsi="Times New Roman" w:cs="Times New Roman"/>
                <w:color w:val="000000"/>
                <w:highlight w:val="none"/>
                <w:lang w:val="en-US" w:eastAsia="zh-CN"/>
              </w:rPr>
              <w:t xml:space="preserve"> 大气环境质量分析方法及检出限</w:t>
            </w:r>
          </w:p>
          <w:tbl>
            <w:tblPr>
              <w:tblStyle w:val="2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03"/>
              <w:gridCol w:w="980"/>
              <w:gridCol w:w="3632"/>
              <w:gridCol w:w="2415"/>
              <w:gridCol w:w="874"/>
            </w:tblGrid>
            <w:tr w14:paraId="50A45F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54" w:type="pct"/>
                  <w:tcBorders>
                    <w:top w:val="single" w:color="auto" w:sz="4" w:space="0"/>
                    <w:left w:val="single" w:color="auto" w:sz="4" w:space="0"/>
                    <w:bottom w:val="single" w:color="auto" w:sz="4" w:space="0"/>
                    <w:right w:val="single" w:color="auto" w:sz="4" w:space="0"/>
                  </w:tcBorders>
                  <w:noWrap w:val="0"/>
                  <w:vAlign w:val="center"/>
                </w:tcPr>
                <w:p w14:paraId="14924D4F">
                  <w:pPr>
                    <w:pStyle w:val="31"/>
                    <w:bidi w:val="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序号</w:t>
                  </w:r>
                </w:p>
              </w:tc>
              <w:tc>
                <w:tcPr>
                  <w:tcW w:w="576" w:type="pct"/>
                  <w:tcBorders>
                    <w:top w:val="single" w:color="auto" w:sz="4" w:space="0"/>
                    <w:left w:val="single" w:color="auto" w:sz="4" w:space="0"/>
                    <w:bottom w:val="single" w:color="auto" w:sz="4" w:space="0"/>
                    <w:right w:val="single" w:color="auto" w:sz="4" w:space="0"/>
                  </w:tcBorders>
                  <w:noWrap w:val="0"/>
                  <w:vAlign w:val="center"/>
                </w:tcPr>
                <w:p w14:paraId="45DFA59A">
                  <w:pPr>
                    <w:pStyle w:val="31"/>
                    <w:bidi w:val="0"/>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rPr>
                    <w:t>项目</w:t>
                  </w:r>
                </w:p>
              </w:tc>
              <w:tc>
                <w:tcPr>
                  <w:tcW w:w="2135" w:type="pct"/>
                  <w:tcBorders>
                    <w:top w:val="single" w:color="auto" w:sz="4" w:space="0"/>
                    <w:left w:val="single" w:color="auto" w:sz="4" w:space="0"/>
                    <w:bottom w:val="single" w:color="auto" w:sz="4" w:space="0"/>
                    <w:right w:val="single" w:color="auto" w:sz="4" w:space="0"/>
                  </w:tcBorders>
                  <w:noWrap w:val="0"/>
                  <w:vAlign w:val="center"/>
                </w:tcPr>
                <w:p w14:paraId="53F4E6E8">
                  <w:pPr>
                    <w:pStyle w:val="31"/>
                    <w:bidi w:val="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rPr>
                    <w:t>分析方法</w:t>
                  </w:r>
                </w:p>
              </w:tc>
              <w:tc>
                <w:tcPr>
                  <w:tcW w:w="1420" w:type="pct"/>
                  <w:tcBorders>
                    <w:top w:val="single" w:color="auto" w:sz="4" w:space="0"/>
                    <w:left w:val="single" w:color="auto" w:sz="4" w:space="0"/>
                    <w:bottom w:val="single" w:color="auto" w:sz="4" w:space="0"/>
                    <w:right w:val="single" w:color="auto" w:sz="4" w:space="0"/>
                  </w:tcBorders>
                  <w:noWrap w:val="0"/>
                  <w:vAlign w:val="center"/>
                </w:tcPr>
                <w:p w14:paraId="7DE92559">
                  <w:pPr>
                    <w:pStyle w:val="31"/>
                    <w:bidi w:val="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rPr>
                    <w:t>方法依据</w:t>
                  </w:r>
                </w:p>
              </w:tc>
              <w:tc>
                <w:tcPr>
                  <w:tcW w:w="513" w:type="pct"/>
                  <w:tcBorders>
                    <w:top w:val="single" w:color="auto" w:sz="4" w:space="0"/>
                    <w:left w:val="single" w:color="auto" w:sz="4" w:space="0"/>
                    <w:bottom w:val="single" w:color="auto" w:sz="4" w:space="0"/>
                    <w:right w:val="single" w:color="auto" w:sz="4" w:space="0"/>
                  </w:tcBorders>
                  <w:noWrap w:val="0"/>
                  <w:vAlign w:val="center"/>
                </w:tcPr>
                <w:p w14:paraId="098C9367">
                  <w:pPr>
                    <w:pStyle w:val="31"/>
                    <w:bidi w:val="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rPr>
                    <w:t>检出限</w:t>
                  </w:r>
                </w:p>
              </w:tc>
            </w:tr>
            <w:tr w14:paraId="2709C3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54" w:type="pct"/>
                  <w:tcBorders>
                    <w:top w:val="single" w:color="auto" w:sz="4" w:space="0"/>
                    <w:left w:val="single" w:color="auto" w:sz="4" w:space="0"/>
                    <w:bottom w:val="single" w:color="auto" w:sz="4" w:space="0"/>
                    <w:right w:val="single" w:color="auto" w:sz="4" w:space="0"/>
                  </w:tcBorders>
                  <w:noWrap w:val="0"/>
                  <w:vAlign w:val="center"/>
                </w:tcPr>
                <w:p w14:paraId="1E1343C8">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w:t>
                  </w:r>
                </w:p>
              </w:tc>
              <w:tc>
                <w:tcPr>
                  <w:tcW w:w="576" w:type="pct"/>
                  <w:tcBorders>
                    <w:top w:val="single" w:color="auto" w:sz="4" w:space="0"/>
                    <w:left w:val="single" w:color="auto" w:sz="4" w:space="0"/>
                    <w:bottom w:val="single" w:color="auto" w:sz="4" w:space="0"/>
                    <w:right w:val="single" w:color="auto" w:sz="4" w:space="0"/>
                  </w:tcBorders>
                  <w:noWrap w:val="0"/>
                  <w:vAlign w:val="center"/>
                </w:tcPr>
                <w:p w14:paraId="14F5042E">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TSP</w:t>
                  </w:r>
                </w:p>
              </w:tc>
              <w:tc>
                <w:tcPr>
                  <w:tcW w:w="2135" w:type="pct"/>
                  <w:tcBorders>
                    <w:top w:val="single" w:color="auto" w:sz="4" w:space="0"/>
                    <w:left w:val="single" w:color="auto" w:sz="4" w:space="0"/>
                    <w:bottom w:val="single" w:color="auto" w:sz="4" w:space="0"/>
                    <w:right w:val="single" w:color="auto" w:sz="4" w:space="0"/>
                  </w:tcBorders>
                  <w:noWrap w:val="0"/>
                  <w:vAlign w:val="center"/>
                </w:tcPr>
                <w:p w14:paraId="5261F09A">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rPr>
                    <w:t>环境空气 总悬浮颗粒物的测定 重量法</w:t>
                  </w:r>
                </w:p>
              </w:tc>
              <w:tc>
                <w:tcPr>
                  <w:tcW w:w="1420" w:type="pct"/>
                  <w:tcBorders>
                    <w:top w:val="single" w:color="auto" w:sz="4" w:space="0"/>
                    <w:left w:val="single" w:color="auto" w:sz="4" w:space="0"/>
                    <w:bottom w:val="single" w:color="auto" w:sz="4" w:space="0"/>
                    <w:right w:val="single" w:color="auto" w:sz="4" w:space="0"/>
                  </w:tcBorders>
                  <w:noWrap w:val="0"/>
                  <w:vAlign w:val="center"/>
                </w:tcPr>
                <w:p w14:paraId="07FAAA3C">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rPr>
                    <w:t>HJ 1263-2022</w:t>
                  </w:r>
                </w:p>
              </w:tc>
              <w:tc>
                <w:tcPr>
                  <w:tcW w:w="513" w:type="pct"/>
                  <w:tcBorders>
                    <w:top w:val="single" w:color="auto" w:sz="4" w:space="0"/>
                    <w:left w:val="single" w:color="auto" w:sz="4" w:space="0"/>
                    <w:bottom w:val="single" w:color="auto" w:sz="4" w:space="0"/>
                    <w:right w:val="single" w:color="auto" w:sz="4" w:space="0"/>
                  </w:tcBorders>
                  <w:noWrap w:val="0"/>
                  <w:vAlign w:val="center"/>
                </w:tcPr>
                <w:p w14:paraId="10747DF2">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rPr>
                    <w:t>7μg/m</w:t>
                  </w:r>
                  <w:r>
                    <w:rPr>
                      <w:rFonts w:hint="default" w:ascii="Times New Roman" w:hAnsi="Times New Roman" w:cs="Times New Roman"/>
                      <w:color w:val="000000"/>
                      <w:highlight w:val="none"/>
                      <w:vertAlign w:val="superscript"/>
                    </w:rPr>
                    <w:t>3</w:t>
                  </w:r>
                </w:p>
              </w:tc>
            </w:tr>
            <w:tr w14:paraId="4D364D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54" w:type="pct"/>
                  <w:tcBorders>
                    <w:top w:val="single" w:color="auto" w:sz="4" w:space="0"/>
                    <w:left w:val="single" w:color="auto" w:sz="4" w:space="0"/>
                    <w:bottom w:val="single" w:color="auto" w:sz="4" w:space="0"/>
                    <w:right w:val="single" w:color="auto" w:sz="4" w:space="0"/>
                  </w:tcBorders>
                  <w:noWrap w:val="0"/>
                  <w:vAlign w:val="center"/>
                </w:tcPr>
                <w:p w14:paraId="65F28EBC">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w:t>
                  </w:r>
                </w:p>
              </w:tc>
              <w:tc>
                <w:tcPr>
                  <w:tcW w:w="576" w:type="pct"/>
                  <w:tcBorders>
                    <w:top w:val="single" w:color="auto" w:sz="4" w:space="0"/>
                    <w:left w:val="single" w:color="auto" w:sz="4" w:space="0"/>
                    <w:bottom w:val="single" w:color="auto" w:sz="4" w:space="0"/>
                    <w:right w:val="single" w:color="auto" w:sz="4" w:space="0"/>
                  </w:tcBorders>
                  <w:noWrap w:val="0"/>
                  <w:vAlign w:val="center"/>
                </w:tcPr>
                <w:p w14:paraId="1C398C43">
                  <w:pPr>
                    <w:pStyle w:val="31"/>
                    <w:bidi w:val="0"/>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highlight w:val="none"/>
                      <w:lang w:val="en-US" w:eastAsia="zh-CN"/>
                    </w:rPr>
                    <w:t>氨</w:t>
                  </w:r>
                </w:p>
              </w:tc>
              <w:tc>
                <w:tcPr>
                  <w:tcW w:w="2135" w:type="pct"/>
                  <w:tcBorders>
                    <w:top w:val="single" w:color="auto" w:sz="4" w:space="0"/>
                    <w:left w:val="single" w:color="auto" w:sz="4" w:space="0"/>
                    <w:bottom w:val="single" w:color="auto" w:sz="4" w:space="0"/>
                    <w:right w:val="single" w:color="auto" w:sz="4" w:space="0"/>
                  </w:tcBorders>
                  <w:noWrap w:val="0"/>
                  <w:vAlign w:val="center"/>
                </w:tcPr>
                <w:p w14:paraId="3CDD7716">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环境空气和废气 氨的测定 纳氏试剂分光光度法</w:t>
                  </w:r>
                </w:p>
              </w:tc>
              <w:tc>
                <w:tcPr>
                  <w:tcW w:w="1420" w:type="pct"/>
                  <w:tcBorders>
                    <w:top w:val="single" w:color="auto" w:sz="4" w:space="0"/>
                    <w:left w:val="single" w:color="auto" w:sz="4" w:space="0"/>
                    <w:bottom w:val="single" w:color="auto" w:sz="4" w:space="0"/>
                    <w:right w:val="single" w:color="auto" w:sz="4" w:space="0"/>
                  </w:tcBorders>
                  <w:noWrap w:val="0"/>
                  <w:vAlign w:val="center"/>
                </w:tcPr>
                <w:p w14:paraId="2F8C9DCA">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HJ 533-2009</w:t>
                  </w:r>
                </w:p>
              </w:tc>
              <w:tc>
                <w:tcPr>
                  <w:tcW w:w="513" w:type="pct"/>
                  <w:tcBorders>
                    <w:top w:val="single" w:color="auto" w:sz="4" w:space="0"/>
                    <w:left w:val="single" w:color="auto" w:sz="4" w:space="0"/>
                    <w:bottom w:val="single" w:color="auto" w:sz="4" w:space="0"/>
                    <w:right w:val="single" w:color="auto" w:sz="4" w:space="0"/>
                  </w:tcBorders>
                  <w:noWrap w:val="0"/>
                  <w:vAlign w:val="center"/>
                </w:tcPr>
                <w:p w14:paraId="4E978260">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0.01</w:t>
                  </w:r>
                </w:p>
                <w:p w14:paraId="5F1516F8">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mg/m</w:t>
                  </w:r>
                  <w:r>
                    <w:rPr>
                      <w:rFonts w:hint="default" w:ascii="Times New Roman" w:hAnsi="Times New Roman" w:cs="Times New Roman"/>
                      <w:color w:val="000000"/>
                      <w:highlight w:val="none"/>
                      <w:vertAlign w:val="superscript"/>
                      <w:lang w:val="en-US" w:eastAsia="zh-CN"/>
                    </w:rPr>
                    <w:t>3</w:t>
                  </w:r>
                </w:p>
              </w:tc>
            </w:tr>
            <w:tr w14:paraId="457990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54" w:type="pct"/>
                  <w:tcBorders>
                    <w:top w:val="single" w:color="auto" w:sz="4" w:space="0"/>
                    <w:left w:val="single" w:color="auto" w:sz="4" w:space="0"/>
                    <w:bottom w:val="single" w:color="auto" w:sz="4" w:space="0"/>
                    <w:right w:val="single" w:color="auto" w:sz="4" w:space="0"/>
                  </w:tcBorders>
                  <w:noWrap w:val="0"/>
                  <w:vAlign w:val="center"/>
                </w:tcPr>
                <w:p w14:paraId="7697949E">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3</w:t>
                  </w:r>
                </w:p>
              </w:tc>
              <w:tc>
                <w:tcPr>
                  <w:tcW w:w="576" w:type="pct"/>
                  <w:tcBorders>
                    <w:top w:val="single" w:color="auto" w:sz="4" w:space="0"/>
                    <w:left w:val="single" w:color="auto" w:sz="4" w:space="0"/>
                    <w:bottom w:val="single" w:color="auto" w:sz="4" w:space="0"/>
                    <w:right w:val="single" w:color="auto" w:sz="4" w:space="0"/>
                  </w:tcBorders>
                  <w:noWrap w:val="0"/>
                  <w:vAlign w:val="center"/>
                </w:tcPr>
                <w:p w14:paraId="788F2DB8">
                  <w:pPr>
                    <w:pStyle w:val="31"/>
                    <w:bidi w:val="0"/>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highlight w:val="none"/>
                      <w:lang w:val="en-US" w:eastAsia="zh-CN"/>
                    </w:rPr>
                    <w:t>硫化氢</w:t>
                  </w:r>
                </w:p>
              </w:tc>
              <w:tc>
                <w:tcPr>
                  <w:tcW w:w="2135" w:type="pct"/>
                  <w:tcBorders>
                    <w:top w:val="single" w:color="auto" w:sz="4" w:space="0"/>
                    <w:left w:val="single" w:color="auto" w:sz="4" w:space="0"/>
                    <w:bottom w:val="single" w:color="auto" w:sz="4" w:space="0"/>
                    <w:right w:val="single" w:color="auto" w:sz="4" w:space="0"/>
                  </w:tcBorders>
                  <w:noWrap w:val="0"/>
                  <w:vAlign w:val="center"/>
                </w:tcPr>
                <w:p w14:paraId="0D85C45B">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亚甲基蓝分光光度法（B）</w:t>
                  </w:r>
                </w:p>
              </w:tc>
              <w:tc>
                <w:tcPr>
                  <w:tcW w:w="1420" w:type="pct"/>
                  <w:tcBorders>
                    <w:top w:val="single" w:color="auto" w:sz="4" w:space="0"/>
                    <w:left w:val="single" w:color="auto" w:sz="4" w:space="0"/>
                    <w:bottom w:val="single" w:color="auto" w:sz="4" w:space="0"/>
                    <w:right w:val="single" w:color="auto" w:sz="4" w:space="0"/>
                  </w:tcBorders>
                  <w:noWrap w:val="0"/>
                  <w:vAlign w:val="center"/>
                </w:tcPr>
                <w:p w14:paraId="0DB1733D">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《空气和废气监测分析方法》（第四版增补版）第三篇第一章第十一条（二）</w:t>
                  </w:r>
                </w:p>
              </w:tc>
              <w:tc>
                <w:tcPr>
                  <w:tcW w:w="513" w:type="pct"/>
                  <w:tcBorders>
                    <w:top w:val="single" w:color="auto" w:sz="4" w:space="0"/>
                    <w:left w:val="single" w:color="auto" w:sz="4" w:space="0"/>
                    <w:bottom w:val="single" w:color="auto" w:sz="4" w:space="0"/>
                    <w:right w:val="single" w:color="auto" w:sz="4" w:space="0"/>
                  </w:tcBorders>
                  <w:noWrap w:val="0"/>
                  <w:vAlign w:val="center"/>
                </w:tcPr>
                <w:p w14:paraId="0A9A730B">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0.001 mg/m</w:t>
                  </w:r>
                  <w:r>
                    <w:rPr>
                      <w:rFonts w:hint="default" w:ascii="Times New Roman" w:hAnsi="Times New Roman" w:cs="Times New Roman"/>
                      <w:color w:val="000000"/>
                      <w:highlight w:val="none"/>
                      <w:vertAlign w:val="superscript"/>
                      <w:lang w:val="en-US" w:eastAsia="zh-CN"/>
                    </w:rPr>
                    <w:t>3</w:t>
                  </w:r>
                </w:p>
              </w:tc>
            </w:tr>
            <w:tr w14:paraId="3A30CB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54" w:type="pct"/>
                  <w:tcBorders>
                    <w:top w:val="single" w:color="auto" w:sz="4" w:space="0"/>
                    <w:left w:val="single" w:color="auto" w:sz="4" w:space="0"/>
                    <w:bottom w:val="single" w:color="auto" w:sz="4" w:space="0"/>
                    <w:right w:val="single" w:color="auto" w:sz="4" w:space="0"/>
                  </w:tcBorders>
                  <w:noWrap w:val="0"/>
                  <w:vAlign w:val="center"/>
                </w:tcPr>
                <w:p w14:paraId="29020558">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4</w:t>
                  </w:r>
                </w:p>
              </w:tc>
              <w:tc>
                <w:tcPr>
                  <w:tcW w:w="576" w:type="pct"/>
                  <w:tcBorders>
                    <w:top w:val="single" w:color="auto" w:sz="4" w:space="0"/>
                    <w:left w:val="single" w:color="auto" w:sz="4" w:space="0"/>
                    <w:bottom w:val="single" w:color="auto" w:sz="4" w:space="0"/>
                    <w:right w:val="single" w:color="auto" w:sz="4" w:space="0"/>
                  </w:tcBorders>
                  <w:noWrap w:val="0"/>
                  <w:vAlign w:val="center"/>
                </w:tcPr>
                <w:p w14:paraId="3BEEB823">
                  <w:pPr>
                    <w:pStyle w:val="31"/>
                    <w:bidi w:val="0"/>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highlight w:val="none"/>
                      <w:lang w:val="en-US" w:eastAsia="zh-CN"/>
                    </w:rPr>
                    <w:t>臭气浓度</w:t>
                  </w:r>
                </w:p>
              </w:tc>
              <w:tc>
                <w:tcPr>
                  <w:tcW w:w="2135" w:type="pct"/>
                  <w:tcBorders>
                    <w:top w:val="single" w:color="auto" w:sz="4" w:space="0"/>
                    <w:left w:val="single" w:color="auto" w:sz="4" w:space="0"/>
                    <w:bottom w:val="single" w:color="auto" w:sz="4" w:space="0"/>
                    <w:right w:val="single" w:color="auto" w:sz="4" w:space="0"/>
                  </w:tcBorders>
                  <w:noWrap w:val="0"/>
                  <w:vAlign w:val="center"/>
                </w:tcPr>
                <w:p w14:paraId="6B1C5816">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环境空气和废气 臭气的测定 三点比较式臭袋法</w:t>
                  </w:r>
                </w:p>
              </w:tc>
              <w:tc>
                <w:tcPr>
                  <w:tcW w:w="1420" w:type="pct"/>
                  <w:tcBorders>
                    <w:top w:val="single" w:color="auto" w:sz="4" w:space="0"/>
                    <w:left w:val="single" w:color="auto" w:sz="4" w:space="0"/>
                    <w:bottom w:val="single" w:color="auto" w:sz="4" w:space="0"/>
                    <w:right w:val="single" w:color="auto" w:sz="4" w:space="0"/>
                  </w:tcBorders>
                  <w:noWrap w:val="0"/>
                  <w:vAlign w:val="center"/>
                </w:tcPr>
                <w:p w14:paraId="354877AF">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HJ 1262-2022</w:t>
                  </w:r>
                </w:p>
              </w:tc>
              <w:tc>
                <w:tcPr>
                  <w:tcW w:w="513" w:type="pct"/>
                  <w:tcBorders>
                    <w:top w:val="single" w:color="auto" w:sz="4" w:space="0"/>
                    <w:left w:val="single" w:color="auto" w:sz="4" w:space="0"/>
                    <w:bottom w:val="single" w:color="auto" w:sz="4" w:space="0"/>
                    <w:right w:val="single" w:color="auto" w:sz="4" w:space="0"/>
                  </w:tcBorders>
                  <w:noWrap w:val="0"/>
                  <w:vAlign w:val="center"/>
                </w:tcPr>
                <w:p w14:paraId="39629917">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w:t>
                  </w:r>
                </w:p>
              </w:tc>
            </w:tr>
          </w:tbl>
          <w:p w14:paraId="6B5BC5EB">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lang w:val="en-US" w:eastAsia="zh-CN"/>
              </w:rPr>
            </w:pPr>
            <w:r>
              <w:rPr>
                <w:rFonts w:hint="default" w:ascii="Times New Roman" w:hAnsi="Times New Roman" w:cs="Times New Roman"/>
                <w:color w:val="000000"/>
                <w:kern w:val="0"/>
                <w:szCs w:val="21"/>
                <w:highlight w:val="none"/>
                <w:lang w:eastAsia="zh-CN"/>
              </w:rPr>
              <w:t>（</w:t>
            </w:r>
            <w:r>
              <w:rPr>
                <w:rFonts w:hint="default" w:ascii="Times New Roman" w:hAnsi="Times New Roman" w:cs="Times New Roman"/>
                <w:color w:val="000000"/>
                <w:kern w:val="0"/>
                <w:szCs w:val="21"/>
                <w:highlight w:val="none"/>
                <w:lang w:val="en-US" w:eastAsia="zh-CN"/>
              </w:rPr>
              <w:t>3</w:t>
            </w:r>
            <w:r>
              <w:rPr>
                <w:rFonts w:hint="default" w:ascii="Times New Roman" w:hAnsi="Times New Roman" w:cs="Times New Roman"/>
                <w:color w:val="000000"/>
                <w:kern w:val="0"/>
                <w:szCs w:val="21"/>
                <w:highlight w:val="none"/>
                <w:lang w:eastAsia="zh-CN"/>
              </w:rPr>
              <w:t>）</w:t>
            </w:r>
            <w:r>
              <w:rPr>
                <w:rFonts w:hint="default" w:ascii="Times New Roman" w:hAnsi="Times New Roman" w:cs="Times New Roman"/>
                <w:color w:val="000000"/>
                <w:kern w:val="0"/>
                <w:szCs w:val="21"/>
                <w:highlight w:val="none"/>
                <w:lang w:val="en-US" w:eastAsia="zh-CN"/>
              </w:rPr>
              <w:t>监测结果及评价</w:t>
            </w:r>
          </w:p>
          <w:p w14:paraId="07DA61C4">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lang w:val="en-US" w:eastAsia="zh-CN"/>
              </w:rPr>
            </w:pPr>
            <w:r>
              <w:rPr>
                <w:rFonts w:hint="default" w:ascii="Times New Roman" w:hAnsi="Times New Roman" w:cs="Times New Roman"/>
                <w:color w:val="000000"/>
                <w:highlight w:val="none"/>
                <w:lang w:val="en-US" w:eastAsia="zh-CN"/>
              </w:rPr>
              <w:t>大气环境质量监测结果见</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REF _Ref9270 \h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3.10</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4</w:t>
            </w:r>
            <w:r>
              <w:rPr>
                <w:rFonts w:hint="default" w:ascii="Times New Roman" w:hAnsi="Times New Roman" w:cs="Times New Roman"/>
                <w:color w:val="000000"/>
                <w:highlight w:val="none"/>
                <w:lang w:val="en-US" w:eastAsia="zh-CN"/>
              </w:rPr>
              <w:fldChar w:fldCharType="end"/>
            </w:r>
            <w:r>
              <w:rPr>
                <w:rFonts w:hint="eastAsia" w:cs="Times New Roman"/>
                <w:color w:val="000000"/>
                <w:highlight w:val="none"/>
                <w:lang w:val="en-US" w:eastAsia="zh-CN"/>
              </w:rPr>
              <w:t>、</w:t>
            </w:r>
            <w:r>
              <w:rPr>
                <w:rFonts w:hint="eastAsia" w:cs="Times New Roman"/>
                <w:color w:val="000000"/>
                <w:highlight w:val="none"/>
                <w:lang w:val="en-US" w:eastAsia="zh-CN"/>
              </w:rPr>
              <w:fldChar w:fldCharType="begin"/>
            </w:r>
            <w:r>
              <w:rPr>
                <w:rFonts w:hint="eastAsia" w:cs="Times New Roman"/>
                <w:color w:val="000000"/>
                <w:highlight w:val="none"/>
                <w:lang w:val="en-US" w:eastAsia="zh-CN"/>
              </w:rPr>
              <w:instrText xml:space="preserve"> REF _Ref1326 \h </w:instrText>
            </w:r>
            <w:r>
              <w:rPr>
                <w:rFonts w:hint="eastAsia" w:cs="Times New Roman"/>
                <w:color w:val="000000"/>
                <w:highlight w:val="none"/>
                <w:lang w:val="en-US" w:eastAsia="zh-CN"/>
              </w:rPr>
              <w:fldChar w:fldCharType="separate"/>
            </w:r>
            <w:r>
              <w:rPr>
                <w:rFonts w:hint="default" w:ascii="Times New Roman" w:hAnsi="Times New Roman" w:cs="Times New Roman"/>
                <w:color w:val="000000"/>
                <w:highlight w:val="none"/>
                <w:lang w:val="en-US" w:eastAsia="zh-CN"/>
              </w:rPr>
              <w:t>表</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STYLEREF 2 \s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lang w:val="en-US" w:eastAsia="zh-CN"/>
              </w:rPr>
              <w:t>3.10</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val="en-US" w:eastAsia="zh-CN"/>
              </w:rPr>
              <w:t>-5</w:t>
            </w:r>
            <w:r>
              <w:rPr>
                <w:rFonts w:hint="eastAsia" w:cs="Times New Roman"/>
                <w:color w:val="000000"/>
                <w:highlight w:val="none"/>
                <w:lang w:val="en-US" w:eastAsia="zh-CN"/>
              </w:rPr>
              <w:fldChar w:fldCharType="end"/>
            </w:r>
            <w:r>
              <w:rPr>
                <w:rFonts w:hint="default" w:ascii="Times New Roman" w:hAnsi="Times New Roman" w:cs="Times New Roman"/>
                <w:color w:val="000000"/>
                <w:highlight w:val="none"/>
                <w:lang w:val="en-US" w:eastAsia="zh-CN"/>
              </w:rPr>
              <w:t>。</w:t>
            </w:r>
          </w:p>
          <w:p w14:paraId="4EEF7577">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lang w:val="en-US" w:eastAsia="zh-CN"/>
              </w:rPr>
            </w:pPr>
          </w:p>
          <w:p w14:paraId="38D6908A">
            <w:pPr>
              <w:pStyle w:val="30"/>
              <w:bidi w:val="0"/>
              <w:rPr>
                <w:rFonts w:hint="default" w:ascii="Times New Roman" w:hAnsi="Times New Roman" w:cs="Times New Roman"/>
                <w:color w:val="000000"/>
                <w:highlight w:val="none"/>
                <w:lang w:val="en-US" w:eastAsia="zh-CN"/>
              </w:rPr>
            </w:pPr>
            <w:bookmarkStart w:id="196" w:name="_Ref9270"/>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3.10</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表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w:t>
            </w:r>
            <w:r>
              <w:rPr>
                <w:rFonts w:hint="default" w:ascii="Times New Roman" w:hAnsi="Times New Roman" w:cs="Times New Roman"/>
                <w:color w:val="000000"/>
                <w:highlight w:val="none"/>
              </w:rPr>
              <w:fldChar w:fldCharType="end"/>
            </w:r>
            <w:bookmarkEnd w:id="196"/>
            <w:r>
              <w:rPr>
                <w:rFonts w:hint="default" w:ascii="Times New Roman" w:hAnsi="Times New Roman" w:cs="Times New Roman"/>
                <w:color w:val="000000"/>
                <w:highlight w:val="none"/>
                <w:lang w:val="en-US" w:eastAsia="zh-CN"/>
              </w:rPr>
              <w:t xml:space="preserve"> 大气环境质量监测及评价结果（TSP）</w:t>
            </w:r>
          </w:p>
          <w:p w14:paraId="714501ED">
            <w:pPr>
              <w:pStyle w:val="31"/>
              <w:bidi w:val="0"/>
              <w:rPr>
                <w:rFonts w:hint="default"/>
                <w:lang w:val="en-US" w:eastAsia="zh-CN"/>
              </w:rPr>
            </w:pPr>
            <w:bookmarkStart w:id="197" w:name="_Ref1326"/>
            <w:r>
              <w:rPr>
                <w:rFonts w:hint="eastAsia"/>
                <w:lang w:val="en-US" w:eastAsia="zh-CN"/>
              </w:rPr>
              <w:t>（涉密删除）</w:t>
            </w:r>
          </w:p>
          <w:p w14:paraId="6EC0BB4E">
            <w:pPr>
              <w:pStyle w:val="30"/>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表</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STYLEREF 2 \s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lang w:val="en-US" w:eastAsia="zh-CN"/>
              </w:rPr>
              <w:t>3.10</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val="en-US" w:eastAsia="zh-CN"/>
              </w:rPr>
              <w:t>-</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SEQ 表 \* ARABIC \s 2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lang w:val="en-US" w:eastAsia="zh-CN"/>
              </w:rPr>
              <w:t>5</w:t>
            </w:r>
            <w:r>
              <w:rPr>
                <w:rFonts w:hint="default" w:ascii="Times New Roman" w:hAnsi="Times New Roman" w:cs="Times New Roman"/>
                <w:color w:val="000000"/>
                <w:highlight w:val="none"/>
                <w:lang w:val="en-US" w:eastAsia="zh-CN"/>
              </w:rPr>
              <w:fldChar w:fldCharType="end"/>
            </w:r>
            <w:bookmarkEnd w:id="197"/>
            <w:r>
              <w:rPr>
                <w:rFonts w:hint="default" w:ascii="Times New Roman" w:hAnsi="Times New Roman" w:cs="Times New Roman"/>
                <w:color w:val="000000"/>
                <w:highlight w:val="none"/>
                <w:lang w:val="en-US" w:eastAsia="zh-CN"/>
              </w:rPr>
              <w:t xml:space="preserve"> 大气环境质量监测及评价结果（氨、硫化氢、臭气浓度）</w:t>
            </w:r>
          </w:p>
          <w:p w14:paraId="47A0444E">
            <w:pPr>
              <w:pStyle w:val="31"/>
              <w:bidi w:val="0"/>
              <w:rPr>
                <w:rFonts w:hint="default"/>
                <w:lang w:val="en-US" w:eastAsia="zh-CN"/>
              </w:rPr>
            </w:pPr>
            <w:r>
              <w:rPr>
                <w:rFonts w:hint="eastAsia"/>
                <w:lang w:val="en-US" w:eastAsia="zh-CN"/>
              </w:rPr>
              <w:t>（涉密删除）</w:t>
            </w:r>
          </w:p>
          <w:p w14:paraId="0E0B7BDC">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lang w:val="en-US" w:eastAsia="zh-CN"/>
              </w:rPr>
            </w:pPr>
            <w:r>
              <w:rPr>
                <w:rFonts w:hint="default" w:ascii="Times New Roman" w:hAnsi="Times New Roman" w:cs="Times New Roman"/>
                <w:color w:val="000000"/>
                <w:highlight w:val="none"/>
                <w:lang w:val="en-US" w:eastAsia="zh-CN"/>
              </w:rPr>
              <w:t>根据监测结果可知，沃口村点位TSP监测结果符合《环境空气质量标准》（GB 3095-2026）表1中的二级标准（TSP(日均值)</w:t>
            </w:r>
            <w:r>
              <w:rPr>
                <w:rFonts w:hint="default" w:ascii="Times New Roman" w:hAnsi="Times New Roman" w:cs="Times New Roman"/>
                <w:color w:val="000000"/>
                <w:highlight w:val="none"/>
              </w:rPr>
              <w:t>≤</w:t>
            </w:r>
            <w:r>
              <w:rPr>
                <w:rFonts w:hint="default" w:ascii="Times New Roman" w:hAnsi="Times New Roman" w:cs="Times New Roman"/>
                <w:color w:val="000000"/>
                <w:highlight w:val="none"/>
                <w:lang w:val="en-US" w:eastAsia="zh-CN"/>
              </w:rPr>
              <w:t>300μg/m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），氨、硫化氢（小时值）符合《环境影响评价技术导则 大气环境》（HJ2.2-2018）附录D中其他污染物控制质量浓度参考限值。项目所在区域环境空气质量现状较好。</w:t>
            </w:r>
          </w:p>
          <w:p w14:paraId="3683AC97">
            <w:pPr>
              <w:pStyle w:val="3"/>
              <w:bidi w:val="0"/>
              <w:rPr>
                <w:rFonts w:hint="default"/>
                <w:lang w:val="en-US" w:eastAsia="zh-CN"/>
              </w:rPr>
            </w:pPr>
            <w:bookmarkStart w:id="198" w:name="_Toc4924"/>
            <w:r>
              <w:rPr>
                <w:rFonts w:hint="default"/>
                <w:lang w:val="en-US" w:eastAsia="zh-CN"/>
              </w:rPr>
              <w:t>声环境质量调查与评价</w:t>
            </w:r>
            <w:bookmarkEnd w:id="198"/>
          </w:p>
          <w:p w14:paraId="310EEE2A">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lang w:val="en-US" w:eastAsia="zh-CN"/>
              </w:rPr>
            </w:pPr>
            <w:r>
              <w:rPr>
                <w:rFonts w:hint="default" w:ascii="Times New Roman" w:hAnsi="Times New Roman" w:cs="Times New Roman"/>
                <w:color w:val="000000"/>
                <w:highlight w:val="none"/>
                <w:lang w:val="en-US" w:eastAsia="zh-CN"/>
              </w:rPr>
              <w:t>为了解工程周边声环境质量现状，评价单位于2024年12月20日~21日、2026年1月7日~8日对工程周边声环境质量进行监测，监测点位见</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REF _Ref10893 \h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rPr>
              <w:t>图</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3.10</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1</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val="en-US" w:eastAsia="zh-CN"/>
              </w:rPr>
              <w:t>，监测报告见附件</w:t>
            </w:r>
            <w:r>
              <w:rPr>
                <w:rFonts w:hint="eastAsia" w:cs="Times New Roman"/>
                <w:color w:val="000000"/>
                <w:highlight w:val="none"/>
                <w:lang w:val="en-US" w:eastAsia="zh-CN"/>
              </w:rPr>
              <w:t>23</w:t>
            </w:r>
            <w:r>
              <w:rPr>
                <w:rFonts w:hint="default" w:ascii="Times New Roman" w:hAnsi="Times New Roman" w:cs="Times New Roman"/>
                <w:color w:val="000000"/>
                <w:highlight w:val="none"/>
                <w:lang w:val="en-US" w:eastAsia="zh-CN"/>
              </w:rPr>
              <w:t>。</w:t>
            </w:r>
          </w:p>
          <w:p w14:paraId="0107DD74">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1</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监测点位、监测项目、监测频次</w:t>
            </w:r>
          </w:p>
          <w:p w14:paraId="64ADA9E8">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监测点位：10个；</w:t>
            </w:r>
          </w:p>
          <w:p w14:paraId="4C11D585">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监测项目：等效A声级LAeq；</w:t>
            </w:r>
          </w:p>
          <w:p w14:paraId="49424C60">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lang w:val="en-US" w:eastAsia="zh-CN"/>
              </w:rPr>
            </w:pPr>
            <w:r>
              <w:rPr>
                <w:rFonts w:hint="default" w:ascii="Times New Roman" w:hAnsi="Times New Roman" w:cs="Times New Roman"/>
                <w:color w:val="000000"/>
                <w:highlight w:val="none"/>
                <w:lang w:val="en-US" w:eastAsia="zh-CN"/>
              </w:rPr>
              <w:t>监测频次：连续监测2天，每天昼夜各监测一次。</w:t>
            </w:r>
          </w:p>
          <w:p w14:paraId="4F49E3CA">
            <w:pPr>
              <w:pStyle w:val="30"/>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3.11</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表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1</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val="en-US" w:eastAsia="zh-CN"/>
              </w:rPr>
              <w:t xml:space="preserve"> 声环境质量监测内容</w:t>
            </w:r>
          </w:p>
          <w:tbl>
            <w:tblPr>
              <w:tblStyle w:val="21"/>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45"/>
              <w:gridCol w:w="1944"/>
              <w:gridCol w:w="1556"/>
              <w:gridCol w:w="1480"/>
              <w:gridCol w:w="1820"/>
              <w:gridCol w:w="752"/>
            </w:tblGrid>
            <w:tr w14:paraId="3A86C5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556" w:type="pct"/>
                  <w:tcBorders>
                    <w:tl2br w:val="nil"/>
                    <w:tr2bl w:val="nil"/>
                  </w:tcBorders>
                  <w:noWrap w:val="0"/>
                  <w:vAlign w:val="center"/>
                </w:tcPr>
                <w:p w14:paraId="417D540A">
                  <w:pPr>
                    <w:pStyle w:val="31"/>
                    <w:bidi w:val="0"/>
                    <w:jc w:val="center"/>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rPr>
                    <w:t>监测点编号</w:t>
                  </w:r>
                </w:p>
              </w:tc>
              <w:tc>
                <w:tcPr>
                  <w:tcW w:w="1144" w:type="pct"/>
                  <w:tcBorders>
                    <w:tl2br w:val="nil"/>
                    <w:tr2bl w:val="nil"/>
                  </w:tcBorders>
                  <w:noWrap w:val="0"/>
                  <w:vAlign w:val="center"/>
                </w:tcPr>
                <w:p w14:paraId="238A987A">
                  <w:pPr>
                    <w:pStyle w:val="31"/>
                    <w:bidi w:val="0"/>
                    <w:jc w:val="center"/>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rPr>
                    <w:t>点位位置</w:t>
                  </w:r>
                </w:p>
              </w:tc>
              <w:tc>
                <w:tcPr>
                  <w:tcW w:w="915" w:type="pct"/>
                  <w:tcBorders>
                    <w:tl2br w:val="nil"/>
                    <w:tr2bl w:val="nil"/>
                  </w:tcBorders>
                  <w:noWrap w:val="0"/>
                  <w:vAlign w:val="center"/>
                </w:tcPr>
                <w:p w14:paraId="042EC350">
                  <w:pPr>
                    <w:pStyle w:val="31"/>
                    <w:bidi w:val="0"/>
                    <w:jc w:val="center"/>
                    <w:rPr>
                      <w:rFonts w:hint="default" w:ascii="Times New Roman" w:hAnsi="Times New Roman" w:eastAsia="宋体" w:cs="Times New Roman"/>
                      <w:b/>
                      <w:bCs/>
                      <w:color w:val="000000"/>
                      <w:highlight w:val="none"/>
                      <w:lang w:val="en-US" w:eastAsia="zh-CN"/>
                    </w:rPr>
                  </w:pPr>
                  <w:r>
                    <w:rPr>
                      <w:rFonts w:hint="default" w:ascii="Times New Roman" w:hAnsi="Times New Roman" w:cs="Times New Roman"/>
                      <w:b/>
                      <w:bCs/>
                      <w:color w:val="000000"/>
                      <w:highlight w:val="none"/>
                      <w:lang w:val="en-US" w:eastAsia="zh-CN"/>
                    </w:rPr>
                    <w:t>监测时间</w:t>
                  </w:r>
                </w:p>
              </w:tc>
              <w:tc>
                <w:tcPr>
                  <w:tcW w:w="871" w:type="pct"/>
                  <w:tcBorders>
                    <w:tl2br w:val="nil"/>
                    <w:tr2bl w:val="nil"/>
                  </w:tcBorders>
                  <w:noWrap w:val="0"/>
                  <w:vAlign w:val="center"/>
                </w:tcPr>
                <w:p w14:paraId="25FB5712">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监测项目</w:t>
                  </w:r>
                </w:p>
              </w:tc>
              <w:tc>
                <w:tcPr>
                  <w:tcW w:w="1070" w:type="pct"/>
                  <w:tcBorders>
                    <w:tl2br w:val="nil"/>
                    <w:tr2bl w:val="nil"/>
                  </w:tcBorders>
                  <w:noWrap w:val="0"/>
                  <w:vAlign w:val="center"/>
                </w:tcPr>
                <w:p w14:paraId="0703F630">
                  <w:pPr>
                    <w:pStyle w:val="31"/>
                    <w:bidi w:val="0"/>
                    <w:jc w:val="center"/>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rPr>
                    <w:t>标准</w:t>
                  </w:r>
                </w:p>
              </w:tc>
              <w:tc>
                <w:tcPr>
                  <w:tcW w:w="442" w:type="pct"/>
                  <w:tcBorders>
                    <w:tl2br w:val="nil"/>
                    <w:tr2bl w:val="nil"/>
                  </w:tcBorders>
                  <w:noWrap w:val="0"/>
                  <w:vAlign w:val="center"/>
                </w:tcPr>
                <w:p w14:paraId="1A367524">
                  <w:pPr>
                    <w:pStyle w:val="31"/>
                    <w:bidi w:val="0"/>
                    <w:jc w:val="center"/>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rPr>
                    <w:t>监测频次</w:t>
                  </w:r>
                </w:p>
              </w:tc>
            </w:tr>
            <w:tr w14:paraId="1FA8D8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6" w:type="pct"/>
                  <w:tcBorders>
                    <w:tl2br w:val="nil"/>
                    <w:tr2bl w:val="nil"/>
                  </w:tcBorders>
                  <w:noWrap w:val="0"/>
                  <w:vAlign w:val="center"/>
                </w:tcPr>
                <w:p w14:paraId="46689A75">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N1</w:t>
                  </w:r>
                </w:p>
              </w:tc>
              <w:tc>
                <w:tcPr>
                  <w:tcW w:w="1144" w:type="pct"/>
                  <w:tcBorders>
                    <w:tl2br w:val="nil"/>
                    <w:tr2bl w:val="nil"/>
                  </w:tcBorders>
                  <w:noWrap w:val="0"/>
                  <w:vAlign w:val="center"/>
                </w:tcPr>
                <w:p w14:paraId="6CA605B1">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建设项目边界外1m</w:t>
                  </w:r>
                </w:p>
              </w:tc>
              <w:tc>
                <w:tcPr>
                  <w:tcW w:w="915" w:type="pct"/>
                  <w:vMerge w:val="restart"/>
                  <w:tcBorders>
                    <w:tl2br w:val="nil"/>
                    <w:tr2bl w:val="nil"/>
                  </w:tcBorders>
                  <w:noWrap w:val="0"/>
                  <w:vAlign w:val="center"/>
                </w:tcPr>
                <w:p w14:paraId="2A74292F">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2024年12月20日~21日</w:t>
                  </w:r>
                </w:p>
              </w:tc>
              <w:tc>
                <w:tcPr>
                  <w:tcW w:w="871" w:type="pct"/>
                  <w:vMerge w:val="restart"/>
                  <w:tcBorders>
                    <w:tl2br w:val="nil"/>
                    <w:tr2bl w:val="nil"/>
                  </w:tcBorders>
                  <w:noWrap w:val="0"/>
                  <w:vAlign w:val="center"/>
                </w:tcPr>
                <w:p w14:paraId="54633335">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等效A声级LAeq</w:t>
                  </w:r>
                </w:p>
              </w:tc>
              <w:tc>
                <w:tcPr>
                  <w:tcW w:w="1070" w:type="pct"/>
                  <w:vMerge w:val="restart"/>
                  <w:tcBorders>
                    <w:tl2br w:val="nil"/>
                    <w:tr2bl w:val="nil"/>
                  </w:tcBorders>
                  <w:noWrap w:val="0"/>
                  <w:vAlign w:val="center"/>
                </w:tcPr>
                <w:p w14:paraId="6D80C67C">
                  <w:pPr>
                    <w:pStyle w:val="31"/>
                    <w:bidi w:val="0"/>
                    <w:jc w:val="center"/>
                    <w:rPr>
                      <w:rFonts w:hint="default" w:ascii="Times New Roman" w:hAnsi="Times New Roman" w:eastAsia="宋体" w:cs="Times New Roman"/>
                      <w:color w:val="000000"/>
                      <w:highlight w:val="none"/>
                      <w:lang w:val="en-US" w:eastAsia="zh-CN"/>
                    </w:rPr>
                  </w:pPr>
                  <w:r>
                    <w:rPr>
                      <w:rFonts w:hint="default" w:ascii="Times New Roman" w:hAnsi="Times New Roman" w:eastAsia="宋体" w:cs="Times New Roman"/>
                      <w:color w:val="000000"/>
                      <w:sz w:val="21"/>
                      <w:szCs w:val="21"/>
                      <w:highlight w:val="none"/>
                      <w:lang w:val="en-US" w:eastAsia="zh-CN"/>
                    </w:rPr>
                    <w:t>《声环境质量标准》（GB3096-2008）</w:t>
                  </w:r>
                  <w:r>
                    <w:rPr>
                      <w:rFonts w:hint="default" w:ascii="Times New Roman" w:hAnsi="Times New Roman" w:cs="Times New Roman"/>
                      <w:color w:val="000000"/>
                      <w:highlight w:val="none"/>
                      <w:lang w:val="en-US" w:eastAsia="zh-CN"/>
                    </w:rPr>
                    <w:t>2类标准</w:t>
                  </w:r>
                </w:p>
              </w:tc>
              <w:tc>
                <w:tcPr>
                  <w:tcW w:w="442" w:type="pct"/>
                  <w:vMerge w:val="restart"/>
                  <w:tcBorders>
                    <w:tl2br w:val="nil"/>
                    <w:tr2bl w:val="nil"/>
                  </w:tcBorders>
                  <w:noWrap w:val="0"/>
                  <w:vAlign w:val="center"/>
                </w:tcPr>
                <w:p w14:paraId="43444643">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连续监测2天，每天昼夜各监测一次</w:t>
                  </w:r>
                </w:p>
              </w:tc>
            </w:tr>
            <w:tr w14:paraId="56484C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6" w:type="pct"/>
                  <w:tcBorders>
                    <w:tl2br w:val="nil"/>
                    <w:tr2bl w:val="nil"/>
                  </w:tcBorders>
                  <w:noWrap w:val="0"/>
                  <w:vAlign w:val="center"/>
                </w:tcPr>
                <w:p w14:paraId="6E7D9067">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N2</w:t>
                  </w:r>
                </w:p>
              </w:tc>
              <w:tc>
                <w:tcPr>
                  <w:tcW w:w="1144" w:type="pct"/>
                  <w:tcBorders>
                    <w:tl2br w:val="nil"/>
                    <w:tr2bl w:val="nil"/>
                  </w:tcBorders>
                  <w:noWrap w:val="0"/>
                  <w:vAlign w:val="center"/>
                </w:tcPr>
                <w:p w14:paraId="6A233ED1">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建设项目边界外1m</w:t>
                  </w:r>
                </w:p>
              </w:tc>
              <w:tc>
                <w:tcPr>
                  <w:tcW w:w="915" w:type="pct"/>
                  <w:vMerge w:val="continue"/>
                  <w:tcBorders>
                    <w:tl2br w:val="nil"/>
                    <w:tr2bl w:val="nil"/>
                  </w:tcBorders>
                  <w:noWrap w:val="0"/>
                  <w:vAlign w:val="center"/>
                </w:tcPr>
                <w:p w14:paraId="76AB30AF">
                  <w:pPr>
                    <w:pStyle w:val="31"/>
                    <w:bidi w:val="0"/>
                    <w:rPr>
                      <w:rFonts w:hint="default" w:ascii="Times New Roman" w:hAnsi="Times New Roman" w:cs="Times New Roman"/>
                      <w:color w:val="000000"/>
                      <w:highlight w:val="none"/>
                      <w:lang w:val="en-US" w:eastAsia="zh-CN"/>
                    </w:rPr>
                  </w:pPr>
                </w:p>
              </w:tc>
              <w:tc>
                <w:tcPr>
                  <w:tcW w:w="871" w:type="pct"/>
                  <w:vMerge w:val="continue"/>
                  <w:tcBorders>
                    <w:tl2br w:val="nil"/>
                    <w:tr2bl w:val="nil"/>
                  </w:tcBorders>
                  <w:noWrap w:val="0"/>
                  <w:vAlign w:val="center"/>
                </w:tcPr>
                <w:p w14:paraId="0398EE8A">
                  <w:pPr>
                    <w:pStyle w:val="31"/>
                    <w:bidi w:val="0"/>
                    <w:jc w:val="center"/>
                    <w:rPr>
                      <w:rFonts w:hint="default" w:ascii="Times New Roman" w:hAnsi="Times New Roman" w:cs="Times New Roman"/>
                      <w:color w:val="000000"/>
                      <w:highlight w:val="none"/>
                      <w:lang w:val="en-US" w:eastAsia="zh-CN"/>
                    </w:rPr>
                  </w:pPr>
                </w:p>
              </w:tc>
              <w:tc>
                <w:tcPr>
                  <w:tcW w:w="1070" w:type="pct"/>
                  <w:vMerge w:val="continue"/>
                  <w:tcBorders>
                    <w:tl2br w:val="nil"/>
                    <w:tr2bl w:val="nil"/>
                  </w:tcBorders>
                  <w:noWrap w:val="0"/>
                  <w:vAlign w:val="center"/>
                </w:tcPr>
                <w:p w14:paraId="60C087CD">
                  <w:pPr>
                    <w:pStyle w:val="31"/>
                    <w:bidi w:val="0"/>
                    <w:jc w:val="center"/>
                    <w:rPr>
                      <w:rFonts w:hint="default" w:ascii="Times New Roman" w:hAnsi="Times New Roman" w:cs="Times New Roman"/>
                      <w:color w:val="000000"/>
                      <w:highlight w:val="none"/>
                      <w:lang w:val="en-US" w:eastAsia="zh-CN"/>
                    </w:rPr>
                  </w:pPr>
                </w:p>
              </w:tc>
              <w:tc>
                <w:tcPr>
                  <w:tcW w:w="442" w:type="pct"/>
                  <w:vMerge w:val="continue"/>
                  <w:tcBorders>
                    <w:tl2br w:val="nil"/>
                    <w:tr2bl w:val="nil"/>
                  </w:tcBorders>
                  <w:noWrap w:val="0"/>
                  <w:vAlign w:val="center"/>
                </w:tcPr>
                <w:p w14:paraId="4EE0EEED">
                  <w:pPr>
                    <w:pStyle w:val="31"/>
                    <w:bidi w:val="0"/>
                    <w:jc w:val="center"/>
                    <w:rPr>
                      <w:rFonts w:hint="default" w:ascii="Times New Roman" w:hAnsi="Times New Roman" w:cs="Times New Roman"/>
                      <w:color w:val="000000"/>
                      <w:highlight w:val="none"/>
                      <w:lang w:val="en-US" w:eastAsia="zh-CN"/>
                    </w:rPr>
                  </w:pPr>
                </w:p>
              </w:tc>
            </w:tr>
            <w:tr w14:paraId="083286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6" w:type="pct"/>
                  <w:tcBorders>
                    <w:tl2br w:val="nil"/>
                    <w:tr2bl w:val="nil"/>
                  </w:tcBorders>
                  <w:noWrap w:val="0"/>
                  <w:vAlign w:val="center"/>
                </w:tcPr>
                <w:p w14:paraId="2A1E7611">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N3</w:t>
                  </w:r>
                </w:p>
              </w:tc>
              <w:tc>
                <w:tcPr>
                  <w:tcW w:w="1144" w:type="pct"/>
                  <w:tcBorders>
                    <w:tl2br w:val="nil"/>
                    <w:tr2bl w:val="nil"/>
                  </w:tcBorders>
                  <w:noWrap w:val="0"/>
                  <w:vAlign w:val="center"/>
                </w:tcPr>
                <w:p w14:paraId="09198E20">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建设项目边界外1m</w:t>
                  </w:r>
                </w:p>
              </w:tc>
              <w:tc>
                <w:tcPr>
                  <w:tcW w:w="915" w:type="pct"/>
                  <w:vMerge w:val="continue"/>
                  <w:tcBorders>
                    <w:tl2br w:val="nil"/>
                    <w:tr2bl w:val="nil"/>
                  </w:tcBorders>
                  <w:noWrap w:val="0"/>
                  <w:vAlign w:val="center"/>
                </w:tcPr>
                <w:p w14:paraId="2F489A02">
                  <w:pPr>
                    <w:pStyle w:val="31"/>
                    <w:bidi w:val="0"/>
                    <w:ind w:firstLine="0" w:firstLineChars="0"/>
                    <w:rPr>
                      <w:rFonts w:hint="default" w:ascii="Times New Roman" w:hAnsi="Times New Roman" w:cs="Times New Roman"/>
                      <w:color w:val="000000"/>
                      <w:highlight w:val="none"/>
                      <w:lang w:val="en-US" w:eastAsia="zh-CN"/>
                    </w:rPr>
                  </w:pPr>
                </w:p>
              </w:tc>
              <w:tc>
                <w:tcPr>
                  <w:tcW w:w="871" w:type="pct"/>
                  <w:vMerge w:val="continue"/>
                  <w:tcBorders>
                    <w:tl2br w:val="nil"/>
                    <w:tr2bl w:val="nil"/>
                  </w:tcBorders>
                  <w:noWrap w:val="0"/>
                  <w:vAlign w:val="center"/>
                </w:tcPr>
                <w:p w14:paraId="560BC265">
                  <w:pPr>
                    <w:pStyle w:val="31"/>
                    <w:bidi w:val="0"/>
                    <w:jc w:val="center"/>
                    <w:rPr>
                      <w:rFonts w:hint="default" w:ascii="Times New Roman" w:hAnsi="Times New Roman" w:cs="Times New Roman"/>
                      <w:color w:val="000000"/>
                      <w:highlight w:val="none"/>
                      <w:lang w:val="en-US" w:eastAsia="zh-CN"/>
                    </w:rPr>
                  </w:pPr>
                </w:p>
              </w:tc>
              <w:tc>
                <w:tcPr>
                  <w:tcW w:w="1070" w:type="pct"/>
                  <w:vMerge w:val="continue"/>
                  <w:tcBorders>
                    <w:tl2br w:val="nil"/>
                    <w:tr2bl w:val="nil"/>
                  </w:tcBorders>
                  <w:noWrap w:val="0"/>
                  <w:vAlign w:val="center"/>
                </w:tcPr>
                <w:p w14:paraId="21830C2D">
                  <w:pPr>
                    <w:pStyle w:val="31"/>
                    <w:bidi w:val="0"/>
                    <w:jc w:val="center"/>
                    <w:rPr>
                      <w:rFonts w:hint="default" w:ascii="Times New Roman" w:hAnsi="Times New Roman" w:cs="Times New Roman"/>
                      <w:color w:val="000000"/>
                      <w:highlight w:val="none"/>
                      <w:lang w:val="en-US" w:eastAsia="zh-CN"/>
                    </w:rPr>
                  </w:pPr>
                </w:p>
              </w:tc>
              <w:tc>
                <w:tcPr>
                  <w:tcW w:w="442" w:type="pct"/>
                  <w:vMerge w:val="continue"/>
                  <w:tcBorders>
                    <w:tl2br w:val="nil"/>
                    <w:tr2bl w:val="nil"/>
                  </w:tcBorders>
                  <w:noWrap w:val="0"/>
                  <w:vAlign w:val="center"/>
                </w:tcPr>
                <w:p w14:paraId="04D88A4F">
                  <w:pPr>
                    <w:pStyle w:val="31"/>
                    <w:bidi w:val="0"/>
                    <w:jc w:val="center"/>
                    <w:rPr>
                      <w:rFonts w:hint="default" w:ascii="Times New Roman" w:hAnsi="Times New Roman" w:cs="Times New Roman"/>
                      <w:color w:val="000000"/>
                      <w:highlight w:val="none"/>
                      <w:lang w:val="en-US" w:eastAsia="zh-CN"/>
                    </w:rPr>
                  </w:pPr>
                </w:p>
              </w:tc>
            </w:tr>
            <w:tr w14:paraId="610C8C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6" w:type="pct"/>
                  <w:tcBorders>
                    <w:tl2br w:val="nil"/>
                    <w:tr2bl w:val="nil"/>
                  </w:tcBorders>
                  <w:noWrap w:val="0"/>
                  <w:vAlign w:val="center"/>
                </w:tcPr>
                <w:p w14:paraId="4E38FCB8">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N3</w:t>
                  </w:r>
                </w:p>
              </w:tc>
              <w:tc>
                <w:tcPr>
                  <w:tcW w:w="1144" w:type="pct"/>
                  <w:tcBorders>
                    <w:tl2br w:val="nil"/>
                    <w:tr2bl w:val="nil"/>
                  </w:tcBorders>
                  <w:noWrap w:val="0"/>
                  <w:vAlign w:val="center"/>
                </w:tcPr>
                <w:p w14:paraId="6728AB6F">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建设项目边界外1m</w:t>
                  </w:r>
                </w:p>
              </w:tc>
              <w:tc>
                <w:tcPr>
                  <w:tcW w:w="915" w:type="pct"/>
                  <w:vMerge w:val="continue"/>
                  <w:tcBorders>
                    <w:tl2br w:val="nil"/>
                    <w:tr2bl w:val="nil"/>
                  </w:tcBorders>
                  <w:noWrap w:val="0"/>
                  <w:vAlign w:val="center"/>
                </w:tcPr>
                <w:p w14:paraId="329CB9B4">
                  <w:pPr>
                    <w:pStyle w:val="31"/>
                    <w:bidi w:val="0"/>
                    <w:ind w:firstLine="0" w:firstLineChars="0"/>
                    <w:rPr>
                      <w:rFonts w:hint="default" w:ascii="Times New Roman" w:hAnsi="Times New Roman" w:cs="Times New Roman"/>
                      <w:color w:val="000000"/>
                      <w:highlight w:val="none"/>
                      <w:lang w:val="en-US" w:eastAsia="zh-CN"/>
                    </w:rPr>
                  </w:pPr>
                </w:p>
              </w:tc>
              <w:tc>
                <w:tcPr>
                  <w:tcW w:w="871" w:type="pct"/>
                  <w:vMerge w:val="continue"/>
                  <w:tcBorders>
                    <w:tl2br w:val="nil"/>
                    <w:tr2bl w:val="nil"/>
                  </w:tcBorders>
                  <w:noWrap w:val="0"/>
                  <w:vAlign w:val="center"/>
                </w:tcPr>
                <w:p w14:paraId="323B7721">
                  <w:pPr>
                    <w:pStyle w:val="31"/>
                    <w:bidi w:val="0"/>
                    <w:jc w:val="center"/>
                    <w:rPr>
                      <w:rFonts w:hint="default" w:ascii="Times New Roman" w:hAnsi="Times New Roman" w:cs="Times New Roman"/>
                      <w:color w:val="000000"/>
                      <w:highlight w:val="none"/>
                      <w:lang w:val="en-US" w:eastAsia="zh-CN"/>
                    </w:rPr>
                  </w:pPr>
                </w:p>
              </w:tc>
              <w:tc>
                <w:tcPr>
                  <w:tcW w:w="1070" w:type="pct"/>
                  <w:vMerge w:val="continue"/>
                  <w:tcBorders>
                    <w:tl2br w:val="nil"/>
                    <w:tr2bl w:val="nil"/>
                  </w:tcBorders>
                  <w:noWrap w:val="0"/>
                  <w:vAlign w:val="center"/>
                </w:tcPr>
                <w:p w14:paraId="767C4172">
                  <w:pPr>
                    <w:pStyle w:val="31"/>
                    <w:bidi w:val="0"/>
                    <w:jc w:val="center"/>
                    <w:rPr>
                      <w:rFonts w:hint="default" w:ascii="Times New Roman" w:hAnsi="Times New Roman" w:cs="Times New Roman"/>
                      <w:color w:val="000000"/>
                      <w:highlight w:val="none"/>
                      <w:lang w:val="en-US" w:eastAsia="zh-CN"/>
                    </w:rPr>
                  </w:pPr>
                </w:p>
              </w:tc>
              <w:tc>
                <w:tcPr>
                  <w:tcW w:w="442" w:type="pct"/>
                  <w:vMerge w:val="continue"/>
                  <w:tcBorders>
                    <w:tl2br w:val="nil"/>
                    <w:tr2bl w:val="nil"/>
                  </w:tcBorders>
                  <w:noWrap w:val="0"/>
                  <w:vAlign w:val="center"/>
                </w:tcPr>
                <w:p w14:paraId="0E3572B5">
                  <w:pPr>
                    <w:pStyle w:val="31"/>
                    <w:bidi w:val="0"/>
                    <w:jc w:val="center"/>
                    <w:rPr>
                      <w:rFonts w:hint="default" w:ascii="Times New Roman" w:hAnsi="Times New Roman" w:cs="Times New Roman"/>
                      <w:color w:val="000000"/>
                      <w:highlight w:val="none"/>
                      <w:lang w:val="en-US" w:eastAsia="zh-CN"/>
                    </w:rPr>
                  </w:pPr>
                </w:p>
              </w:tc>
            </w:tr>
            <w:tr w14:paraId="00B39B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6" w:type="pct"/>
                  <w:tcBorders>
                    <w:tl2br w:val="nil"/>
                    <w:tr2bl w:val="nil"/>
                  </w:tcBorders>
                  <w:noWrap w:val="0"/>
                  <w:vAlign w:val="center"/>
                </w:tcPr>
                <w:p w14:paraId="1F1432E7">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N4</w:t>
                  </w:r>
                </w:p>
              </w:tc>
              <w:tc>
                <w:tcPr>
                  <w:tcW w:w="1144" w:type="pct"/>
                  <w:tcBorders>
                    <w:tl2br w:val="nil"/>
                    <w:tr2bl w:val="nil"/>
                  </w:tcBorders>
                  <w:noWrap w:val="0"/>
                  <w:vAlign w:val="center"/>
                </w:tcPr>
                <w:p w14:paraId="3954E64E">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建设项目边界外1m</w:t>
                  </w:r>
                </w:p>
              </w:tc>
              <w:tc>
                <w:tcPr>
                  <w:tcW w:w="915" w:type="pct"/>
                  <w:vMerge w:val="continue"/>
                  <w:tcBorders>
                    <w:tl2br w:val="nil"/>
                    <w:tr2bl w:val="nil"/>
                  </w:tcBorders>
                  <w:noWrap w:val="0"/>
                  <w:vAlign w:val="center"/>
                </w:tcPr>
                <w:p w14:paraId="1008C326">
                  <w:pPr>
                    <w:pStyle w:val="31"/>
                    <w:bidi w:val="0"/>
                    <w:ind w:firstLine="0" w:firstLineChars="0"/>
                    <w:rPr>
                      <w:rFonts w:hint="default" w:ascii="Times New Roman" w:hAnsi="Times New Roman" w:cs="Times New Roman"/>
                      <w:color w:val="000000"/>
                      <w:highlight w:val="none"/>
                      <w:lang w:val="en-US" w:eastAsia="zh-CN"/>
                    </w:rPr>
                  </w:pPr>
                </w:p>
              </w:tc>
              <w:tc>
                <w:tcPr>
                  <w:tcW w:w="871" w:type="pct"/>
                  <w:vMerge w:val="continue"/>
                  <w:tcBorders>
                    <w:tl2br w:val="nil"/>
                    <w:tr2bl w:val="nil"/>
                  </w:tcBorders>
                  <w:noWrap w:val="0"/>
                  <w:vAlign w:val="center"/>
                </w:tcPr>
                <w:p w14:paraId="11BC2C92">
                  <w:pPr>
                    <w:pStyle w:val="31"/>
                    <w:bidi w:val="0"/>
                    <w:jc w:val="center"/>
                    <w:rPr>
                      <w:rFonts w:hint="default" w:ascii="Times New Roman" w:hAnsi="Times New Roman" w:cs="Times New Roman"/>
                      <w:color w:val="000000"/>
                      <w:highlight w:val="none"/>
                      <w:lang w:val="en-US" w:eastAsia="zh-CN"/>
                    </w:rPr>
                  </w:pPr>
                </w:p>
              </w:tc>
              <w:tc>
                <w:tcPr>
                  <w:tcW w:w="1070" w:type="pct"/>
                  <w:vMerge w:val="continue"/>
                  <w:tcBorders>
                    <w:tl2br w:val="nil"/>
                    <w:tr2bl w:val="nil"/>
                  </w:tcBorders>
                  <w:noWrap w:val="0"/>
                  <w:vAlign w:val="center"/>
                </w:tcPr>
                <w:p w14:paraId="6D8242A7">
                  <w:pPr>
                    <w:pStyle w:val="31"/>
                    <w:bidi w:val="0"/>
                    <w:jc w:val="center"/>
                    <w:rPr>
                      <w:rFonts w:hint="default" w:ascii="Times New Roman" w:hAnsi="Times New Roman" w:cs="Times New Roman"/>
                      <w:color w:val="000000"/>
                      <w:highlight w:val="none"/>
                      <w:lang w:val="en-US" w:eastAsia="zh-CN"/>
                    </w:rPr>
                  </w:pPr>
                </w:p>
              </w:tc>
              <w:tc>
                <w:tcPr>
                  <w:tcW w:w="442" w:type="pct"/>
                  <w:vMerge w:val="continue"/>
                  <w:tcBorders>
                    <w:tl2br w:val="nil"/>
                    <w:tr2bl w:val="nil"/>
                  </w:tcBorders>
                  <w:noWrap w:val="0"/>
                  <w:vAlign w:val="center"/>
                </w:tcPr>
                <w:p w14:paraId="33CF4CBE">
                  <w:pPr>
                    <w:pStyle w:val="31"/>
                    <w:bidi w:val="0"/>
                    <w:jc w:val="center"/>
                    <w:rPr>
                      <w:rFonts w:hint="default" w:ascii="Times New Roman" w:hAnsi="Times New Roman" w:cs="Times New Roman"/>
                      <w:color w:val="000000"/>
                      <w:highlight w:val="none"/>
                      <w:lang w:val="en-US" w:eastAsia="zh-CN"/>
                    </w:rPr>
                  </w:pPr>
                </w:p>
              </w:tc>
            </w:tr>
            <w:tr w14:paraId="6BDE6E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6" w:type="pct"/>
                  <w:tcBorders>
                    <w:tl2br w:val="nil"/>
                    <w:tr2bl w:val="nil"/>
                  </w:tcBorders>
                  <w:noWrap w:val="0"/>
                  <w:vAlign w:val="center"/>
                </w:tcPr>
                <w:p w14:paraId="5F62F948">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N5</w:t>
                  </w:r>
                </w:p>
              </w:tc>
              <w:tc>
                <w:tcPr>
                  <w:tcW w:w="1144" w:type="pct"/>
                  <w:tcBorders>
                    <w:tl2br w:val="nil"/>
                    <w:tr2bl w:val="nil"/>
                  </w:tcBorders>
                  <w:noWrap w:val="0"/>
                  <w:vAlign w:val="center"/>
                </w:tcPr>
                <w:p w14:paraId="4B6900FF">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建设项目边界外1m</w:t>
                  </w:r>
                </w:p>
              </w:tc>
              <w:tc>
                <w:tcPr>
                  <w:tcW w:w="915" w:type="pct"/>
                  <w:vMerge w:val="continue"/>
                  <w:tcBorders>
                    <w:tl2br w:val="nil"/>
                    <w:tr2bl w:val="nil"/>
                  </w:tcBorders>
                  <w:noWrap w:val="0"/>
                  <w:vAlign w:val="center"/>
                </w:tcPr>
                <w:p w14:paraId="7F95E4A9">
                  <w:pPr>
                    <w:pStyle w:val="31"/>
                    <w:bidi w:val="0"/>
                    <w:ind w:firstLine="0" w:firstLineChars="0"/>
                    <w:rPr>
                      <w:rFonts w:hint="default" w:ascii="Times New Roman" w:hAnsi="Times New Roman" w:cs="Times New Roman"/>
                      <w:color w:val="000000"/>
                      <w:highlight w:val="none"/>
                      <w:lang w:val="en-US" w:eastAsia="zh-CN"/>
                    </w:rPr>
                  </w:pPr>
                </w:p>
              </w:tc>
              <w:tc>
                <w:tcPr>
                  <w:tcW w:w="871" w:type="pct"/>
                  <w:vMerge w:val="continue"/>
                  <w:tcBorders>
                    <w:tl2br w:val="nil"/>
                    <w:tr2bl w:val="nil"/>
                  </w:tcBorders>
                  <w:noWrap w:val="0"/>
                  <w:vAlign w:val="center"/>
                </w:tcPr>
                <w:p w14:paraId="517349B7">
                  <w:pPr>
                    <w:pStyle w:val="31"/>
                    <w:bidi w:val="0"/>
                    <w:jc w:val="center"/>
                    <w:rPr>
                      <w:rFonts w:hint="default" w:ascii="Times New Roman" w:hAnsi="Times New Roman" w:cs="Times New Roman"/>
                      <w:color w:val="000000"/>
                      <w:highlight w:val="none"/>
                      <w:lang w:val="en-US" w:eastAsia="zh-CN"/>
                    </w:rPr>
                  </w:pPr>
                </w:p>
              </w:tc>
              <w:tc>
                <w:tcPr>
                  <w:tcW w:w="1070" w:type="pct"/>
                  <w:vMerge w:val="continue"/>
                  <w:tcBorders>
                    <w:tl2br w:val="nil"/>
                    <w:tr2bl w:val="nil"/>
                  </w:tcBorders>
                  <w:noWrap w:val="0"/>
                  <w:vAlign w:val="center"/>
                </w:tcPr>
                <w:p w14:paraId="3C6DD3BE">
                  <w:pPr>
                    <w:pStyle w:val="31"/>
                    <w:bidi w:val="0"/>
                    <w:jc w:val="center"/>
                    <w:rPr>
                      <w:rFonts w:hint="default" w:ascii="Times New Roman" w:hAnsi="Times New Roman" w:cs="Times New Roman"/>
                      <w:color w:val="000000"/>
                      <w:highlight w:val="none"/>
                      <w:lang w:val="en-US" w:eastAsia="zh-CN"/>
                    </w:rPr>
                  </w:pPr>
                </w:p>
              </w:tc>
              <w:tc>
                <w:tcPr>
                  <w:tcW w:w="442" w:type="pct"/>
                  <w:vMerge w:val="continue"/>
                  <w:tcBorders>
                    <w:tl2br w:val="nil"/>
                    <w:tr2bl w:val="nil"/>
                  </w:tcBorders>
                  <w:noWrap w:val="0"/>
                  <w:vAlign w:val="center"/>
                </w:tcPr>
                <w:p w14:paraId="64CEA8C7">
                  <w:pPr>
                    <w:pStyle w:val="31"/>
                    <w:bidi w:val="0"/>
                    <w:jc w:val="center"/>
                    <w:rPr>
                      <w:rFonts w:hint="default" w:ascii="Times New Roman" w:hAnsi="Times New Roman" w:cs="Times New Roman"/>
                      <w:color w:val="000000"/>
                      <w:highlight w:val="none"/>
                      <w:lang w:val="en-US" w:eastAsia="zh-CN"/>
                    </w:rPr>
                  </w:pPr>
                </w:p>
              </w:tc>
            </w:tr>
            <w:tr w14:paraId="4E6E38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6" w:type="pct"/>
                  <w:tcBorders>
                    <w:tl2br w:val="nil"/>
                    <w:tr2bl w:val="nil"/>
                  </w:tcBorders>
                  <w:noWrap w:val="0"/>
                  <w:vAlign w:val="center"/>
                </w:tcPr>
                <w:p w14:paraId="76E4F02A">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N6</w:t>
                  </w:r>
                </w:p>
              </w:tc>
              <w:tc>
                <w:tcPr>
                  <w:tcW w:w="1144" w:type="pct"/>
                  <w:tcBorders>
                    <w:tl2br w:val="nil"/>
                    <w:tr2bl w:val="nil"/>
                  </w:tcBorders>
                  <w:noWrap w:val="0"/>
                  <w:vAlign w:val="center"/>
                </w:tcPr>
                <w:p w14:paraId="01976DAF">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建设项目边界外1m</w:t>
                  </w:r>
                </w:p>
              </w:tc>
              <w:tc>
                <w:tcPr>
                  <w:tcW w:w="915" w:type="pct"/>
                  <w:vMerge w:val="continue"/>
                  <w:tcBorders>
                    <w:tl2br w:val="nil"/>
                    <w:tr2bl w:val="nil"/>
                  </w:tcBorders>
                  <w:noWrap w:val="0"/>
                  <w:vAlign w:val="center"/>
                </w:tcPr>
                <w:p w14:paraId="6ECCBA0F">
                  <w:pPr>
                    <w:pStyle w:val="31"/>
                    <w:bidi w:val="0"/>
                    <w:ind w:firstLine="0" w:firstLineChars="0"/>
                    <w:rPr>
                      <w:rFonts w:hint="default" w:ascii="Times New Roman" w:hAnsi="Times New Roman" w:cs="Times New Roman"/>
                      <w:color w:val="000000"/>
                      <w:highlight w:val="none"/>
                      <w:lang w:val="en-US" w:eastAsia="zh-CN"/>
                    </w:rPr>
                  </w:pPr>
                </w:p>
              </w:tc>
              <w:tc>
                <w:tcPr>
                  <w:tcW w:w="871" w:type="pct"/>
                  <w:vMerge w:val="continue"/>
                  <w:tcBorders>
                    <w:tl2br w:val="nil"/>
                    <w:tr2bl w:val="nil"/>
                  </w:tcBorders>
                  <w:noWrap w:val="0"/>
                  <w:vAlign w:val="center"/>
                </w:tcPr>
                <w:p w14:paraId="29683CE2">
                  <w:pPr>
                    <w:pStyle w:val="31"/>
                    <w:bidi w:val="0"/>
                    <w:jc w:val="center"/>
                    <w:rPr>
                      <w:rFonts w:hint="default" w:ascii="Times New Roman" w:hAnsi="Times New Roman" w:cs="Times New Roman"/>
                      <w:color w:val="000000"/>
                      <w:highlight w:val="none"/>
                      <w:lang w:val="en-US" w:eastAsia="zh-CN"/>
                    </w:rPr>
                  </w:pPr>
                </w:p>
              </w:tc>
              <w:tc>
                <w:tcPr>
                  <w:tcW w:w="1070" w:type="pct"/>
                  <w:vMerge w:val="continue"/>
                  <w:tcBorders>
                    <w:tl2br w:val="nil"/>
                    <w:tr2bl w:val="nil"/>
                  </w:tcBorders>
                  <w:noWrap w:val="0"/>
                  <w:vAlign w:val="center"/>
                </w:tcPr>
                <w:p w14:paraId="2A5AD049">
                  <w:pPr>
                    <w:pStyle w:val="31"/>
                    <w:bidi w:val="0"/>
                    <w:jc w:val="center"/>
                    <w:rPr>
                      <w:rFonts w:hint="default" w:ascii="Times New Roman" w:hAnsi="Times New Roman" w:cs="Times New Roman"/>
                      <w:color w:val="000000"/>
                      <w:highlight w:val="none"/>
                      <w:lang w:val="en-US" w:eastAsia="zh-CN"/>
                    </w:rPr>
                  </w:pPr>
                </w:p>
              </w:tc>
              <w:tc>
                <w:tcPr>
                  <w:tcW w:w="442" w:type="pct"/>
                  <w:vMerge w:val="continue"/>
                  <w:tcBorders>
                    <w:tl2br w:val="nil"/>
                    <w:tr2bl w:val="nil"/>
                  </w:tcBorders>
                  <w:noWrap w:val="0"/>
                  <w:vAlign w:val="center"/>
                </w:tcPr>
                <w:p w14:paraId="517970E9">
                  <w:pPr>
                    <w:pStyle w:val="31"/>
                    <w:bidi w:val="0"/>
                    <w:jc w:val="center"/>
                    <w:rPr>
                      <w:rFonts w:hint="default" w:ascii="Times New Roman" w:hAnsi="Times New Roman" w:cs="Times New Roman"/>
                      <w:color w:val="000000"/>
                      <w:highlight w:val="none"/>
                      <w:lang w:val="en-US" w:eastAsia="zh-CN"/>
                    </w:rPr>
                  </w:pPr>
                </w:p>
              </w:tc>
            </w:tr>
            <w:tr w14:paraId="1BADCB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6" w:type="pct"/>
                  <w:tcBorders>
                    <w:tl2br w:val="nil"/>
                    <w:tr2bl w:val="nil"/>
                  </w:tcBorders>
                  <w:noWrap w:val="0"/>
                  <w:vAlign w:val="center"/>
                </w:tcPr>
                <w:p w14:paraId="04006A3F">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N7</w:t>
                  </w:r>
                </w:p>
              </w:tc>
              <w:tc>
                <w:tcPr>
                  <w:tcW w:w="1144" w:type="pct"/>
                  <w:tcBorders>
                    <w:tl2br w:val="nil"/>
                    <w:tr2bl w:val="nil"/>
                  </w:tcBorders>
                  <w:noWrap w:val="0"/>
                  <w:vAlign w:val="center"/>
                </w:tcPr>
                <w:p w14:paraId="2FF8F078">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建设项目边界外1m</w:t>
                  </w:r>
                </w:p>
              </w:tc>
              <w:tc>
                <w:tcPr>
                  <w:tcW w:w="915" w:type="pct"/>
                  <w:vMerge w:val="continue"/>
                  <w:tcBorders>
                    <w:tl2br w:val="nil"/>
                    <w:tr2bl w:val="nil"/>
                  </w:tcBorders>
                  <w:noWrap w:val="0"/>
                  <w:vAlign w:val="center"/>
                </w:tcPr>
                <w:p w14:paraId="2E42F403">
                  <w:pPr>
                    <w:pStyle w:val="31"/>
                    <w:bidi w:val="0"/>
                    <w:ind w:firstLine="0" w:firstLineChars="0"/>
                    <w:rPr>
                      <w:rFonts w:hint="default" w:ascii="Times New Roman" w:hAnsi="Times New Roman" w:cs="Times New Roman"/>
                      <w:color w:val="000000"/>
                      <w:highlight w:val="none"/>
                      <w:lang w:val="en-US" w:eastAsia="zh-CN"/>
                    </w:rPr>
                  </w:pPr>
                </w:p>
              </w:tc>
              <w:tc>
                <w:tcPr>
                  <w:tcW w:w="871" w:type="pct"/>
                  <w:vMerge w:val="continue"/>
                  <w:tcBorders>
                    <w:tl2br w:val="nil"/>
                    <w:tr2bl w:val="nil"/>
                  </w:tcBorders>
                  <w:noWrap w:val="0"/>
                  <w:vAlign w:val="center"/>
                </w:tcPr>
                <w:p w14:paraId="06544CF1">
                  <w:pPr>
                    <w:pStyle w:val="31"/>
                    <w:bidi w:val="0"/>
                    <w:jc w:val="center"/>
                    <w:rPr>
                      <w:rFonts w:hint="default" w:ascii="Times New Roman" w:hAnsi="Times New Roman" w:cs="Times New Roman"/>
                      <w:color w:val="000000"/>
                      <w:highlight w:val="none"/>
                      <w:lang w:val="en-US" w:eastAsia="zh-CN"/>
                    </w:rPr>
                  </w:pPr>
                </w:p>
              </w:tc>
              <w:tc>
                <w:tcPr>
                  <w:tcW w:w="1070" w:type="pct"/>
                  <w:vMerge w:val="continue"/>
                  <w:tcBorders>
                    <w:tl2br w:val="nil"/>
                    <w:tr2bl w:val="nil"/>
                  </w:tcBorders>
                  <w:noWrap w:val="0"/>
                  <w:vAlign w:val="center"/>
                </w:tcPr>
                <w:p w14:paraId="0BE4A419">
                  <w:pPr>
                    <w:pStyle w:val="31"/>
                    <w:bidi w:val="0"/>
                    <w:jc w:val="center"/>
                    <w:rPr>
                      <w:rFonts w:hint="default" w:ascii="Times New Roman" w:hAnsi="Times New Roman" w:cs="Times New Roman"/>
                      <w:color w:val="000000"/>
                      <w:highlight w:val="none"/>
                      <w:lang w:val="en-US" w:eastAsia="zh-CN"/>
                    </w:rPr>
                  </w:pPr>
                </w:p>
              </w:tc>
              <w:tc>
                <w:tcPr>
                  <w:tcW w:w="442" w:type="pct"/>
                  <w:vMerge w:val="continue"/>
                  <w:tcBorders>
                    <w:tl2br w:val="nil"/>
                    <w:tr2bl w:val="nil"/>
                  </w:tcBorders>
                  <w:noWrap w:val="0"/>
                  <w:vAlign w:val="center"/>
                </w:tcPr>
                <w:p w14:paraId="5D349878">
                  <w:pPr>
                    <w:pStyle w:val="31"/>
                    <w:bidi w:val="0"/>
                    <w:jc w:val="center"/>
                    <w:rPr>
                      <w:rFonts w:hint="default" w:ascii="Times New Roman" w:hAnsi="Times New Roman" w:cs="Times New Roman"/>
                      <w:color w:val="000000"/>
                      <w:highlight w:val="none"/>
                      <w:lang w:val="en-US" w:eastAsia="zh-CN"/>
                    </w:rPr>
                  </w:pPr>
                </w:p>
              </w:tc>
            </w:tr>
            <w:tr w14:paraId="44F47D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6" w:type="pct"/>
                  <w:tcBorders>
                    <w:tl2br w:val="nil"/>
                    <w:tr2bl w:val="nil"/>
                  </w:tcBorders>
                  <w:noWrap w:val="0"/>
                  <w:vAlign w:val="center"/>
                </w:tcPr>
                <w:p w14:paraId="36842675">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N8</w:t>
                  </w:r>
                </w:p>
              </w:tc>
              <w:tc>
                <w:tcPr>
                  <w:tcW w:w="1144" w:type="pct"/>
                  <w:tcBorders>
                    <w:tl2br w:val="nil"/>
                    <w:tr2bl w:val="nil"/>
                  </w:tcBorders>
                  <w:noWrap w:val="0"/>
                  <w:vAlign w:val="center"/>
                </w:tcPr>
                <w:p w14:paraId="47ED4221">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建设项目边界外1m</w:t>
                  </w:r>
                </w:p>
              </w:tc>
              <w:tc>
                <w:tcPr>
                  <w:tcW w:w="915" w:type="pct"/>
                  <w:vMerge w:val="continue"/>
                  <w:tcBorders>
                    <w:tl2br w:val="nil"/>
                    <w:tr2bl w:val="nil"/>
                  </w:tcBorders>
                  <w:noWrap w:val="0"/>
                  <w:vAlign w:val="center"/>
                </w:tcPr>
                <w:p w14:paraId="107BDF88">
                  <w:pPr>
                    <w:pStyle w:val="31"/>
                    <w:bidi w:val="0"/>
                    <w:ind w:firstLine="0" w:firstLineChars="0"/>
                    <w:rPr>
                      <w:rFonts w:hint="default" w:ascii="Times New Roman" w:hAnsi="Times New Roman" w:cs="Times New Roman"/>
                      <w:color w:val="000000"/>
                      <w:highlight w:val="none"/>
                      <w:lang w:val="en-US" w:eastAsia="zh-CN"/>
                    </w:rPr>
                  </w:pPr>
                </w:p>
              </w:tc>
              <w:tc>
                <w:tcPr>
                  <w:tcW w:w="871" w:type="pct"/>
                  <w:vMerge w:val="continue"/>
                  <w:tcBorders>
                    <w:tl2br w:val="nil"/>
                    <w:tr2bl w:val="nil"/>
                  </w:tcBorders>
                  <w:noWrap w:val="0"/>
                  <w:vAlign w:val="center"/>
                </w:tcPr>
                <w:p w14:paraId="3FF16575">
                  <w:pPr>
                    <w:pStyle w:val="31"/>
                    <w:bidi w:val="0"/>
                    <w:jc w:val="center"/>
                    <w:rPr>
                      <w:rFonts w:hint="default" w:ascii="Times New Roman" w:hAnsi="Times New Roman" w:cs="Times New Roman"/>
                      <w:color w:val="000000"/>
                      <w:highlight w:val="none"/>
                      <w:lang w:val="en-US" w:eastAsia="zh-CN"/>
                    </w:rPr>
                  </w:pPr>
                </w:p>
              </w:tc>
              <w:tc>
                <w:tcPr>
                  <w:tcW w:w="1070" w:type="pct"/>
                  <w:vMerge w:val="continue"/>
                  <w:tcBorders>
                    <w:tl2br w:val="nil"/>
                    <w:tr2bl w:val="nil"/>
                  </w:tcBorders>
                  <w:noWrap w:val="0"/>
                  <w:vAlign w:val="center"/>
                </w:tcPr>
                <w:p w14:paraId="70EB8420">
                  <w:pPr>
                    <w:pStyle w:val="31"/>
                    <w:bidi w:val="0"/>
                    <w:jc w:val="center"/>
                    <w:rPr>
                      <w:rFonts w:hint="default" w:ascii="Times New Roman" w:hAnsi="Times New Roman" w:cs="Times New Roman"/>
                      <w:color w:val="000000"/>
                      <w:highlight w:val="none"/>
                      <w:lang w:val="en-US" w:eastAsia="zh-CN"/>
                    </w:rPr>
                  </w:pPr>
                </w:p>
              </w:tc>
              <w:tc>
                <w:tcPr>
                  <w:tcW w:w="442" w:type="pct"/>
                  <w:vMerge w:val="continue"/>
                  <w:tcBorders>
                    <w:tl2br w:val="nil"/>
                    <w:tr2bl w:val="nil"/>
                  </w:tcBorders>
                  <w:noWrap w:val="0"/>
                  <w:vAlign w:val="center"/>
                </w:tcPr>
                <w:p w14:paraId="03576608">
                  <w:pPr>
                    <w:pStyle w:val="31"/>
                    <w:bidi w:val="0"/>
                    <w:jc w:val="center"/>
                    <w:rPr>
                      <w:rFonts w:hint="default" w:ascii="Times New Roman" w:hAnsi="Times New Roman" w:cs="Times New Roman"/>
                      <w:color w:val="000000"/>
                      <w:highlight w:val="none"/>
                      <w:lang w:val="en-US" w:eastAsia="zh-CN"/>
                    </w:rPr>
                  </w:pPr>
                </w:p>
              </w:tc>
            </w:tr>
            <w:tr w14:paraId="7158C0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6" w:type="pct"/>
                  <w:tcBorders>
                    <w:tl2br w:val="nil"/>
                    <w:tr2bl w:val="nil"/>
                  </w:tcBorders>
                  <w:noWrap w:val="0"/>
                  <w:vAlign w:val="center"/>
                </w:tcPr>
                <w:p w14:paraId="323CA033">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N9</w:t>
                  </w:r>
                </w:p>
              </w:tc>
              <w:tc>
                <w:tcPr>
                  <w:tcW w:w="1144" w:type="pct"/>
                  <w:tcBorders>
                    <w:tl2br w:val="nil"/>
                    <w:tr2bl w:val="nil"/>
                  </w:tcBorders>
                  <w:noWrap w:val="0"/>
                  <w:vAlign w:val="center"/>
                </w:tcPr>
                <w:p w14:paraId="3A75204D">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Z1沃口小学</w:t>
                  </w:r>
                </w:p>
              </w:tc>
              <w:tc>
                <w:tcPr>
                  <w:tcW w:w="915" w:type="pct"/>
                  <w:vMerge w:val="continue"/>
                  <w:tcBorders>
                    <w:tl2br w:val="nil"/>
                    <w:tr2bl w:val="nil"/>
                  </w:tcBorders>
                  <w:noWrap w:val="0"/>
                  <w:vAlign w:val="center"/>
                </w:tcPr>
                <w:p w14:paraId="1C0494C4">
                  <w:pPr>
                    <w:pStyle w:val="31"/>
                    <w:bidi w:val="0"/>
                    <w:ind w:firstLine="0" w:firstLineChars="0"/>
                    <w:rPr>
                      <w:rFonts w:hint="default" w:ascii="Times New Roman" w:hAnsi="Times New Roman" w:cs="Times New Roman"/>
                      <w:color w:val="000000"/>
                      <w:highlight w:val="none"/>
                      <w:lang w:val="en-US" w:eastAsia="zh-CN"/>
                    </w:rPr>
                  </w:pPr>
                </w:p>
              </w:tc>
              <w:tc>
                <w:tcPr>
                  <w:tcW w:w="871" w:type="pct"/>
                  <w:vMerge w:val="continue"/>
                  <w:tcBorders>
                    <w:tl2br w:val="nil"/>
                    <w:tr2bl w:val="nil"/>
                  </w:tcBorders>
                  <w:noWrap w:val="0"/>
                  <w:vAlign w:val="center"/>
                </w:tcPr>
                <w:p w14:paraId="6AE0AA28">
                  <w:pPr>
                    <w:pStyle w:val="31"/>
                    <w:bidi w:val="0"/>
                    <w:jc w:val="center"/>
                    <w:rPr>
                      <w:rFonts w:hint="default" w:ascii="Times New Roman" w:hAnsi="Times New Roman" w:cs="Times New Roman"/>
                      <w:color w:val="000000"/>
                      <w:highlight w:val="none"/>
                      <w:lang w:val="en-US" w:eastAsia="zh-CN"/>
                    </w:rPr>
                  </w:pPr>
                </w:p>
              </w:tc>
              <w:tc>
                <w:tcPr>
                  <w:tcW w:w="1070" w:type="pct"/>
                  <w:vMerge w:val="continue"/>
                  <w:tcBorders>
                    <w:tl2br w:val="nil"/>
                    <w:tr2bl w:val="nil"/>
                  </w:tcBorders>
                  <w:noWrap w:val="0"/>
                  <w:vAlign w:val="center"/>
                </w:tcPr>
                <w:p w14:paraId="185975E3">
                  <w:pPr>
                    <w:pStyle w:val="31"/>
                    <w:bidi w:val="0"/>
                    <w:jc w:val="center"/>
                    <w:rPr>
                      <w:rFonts w:hint="default" w:ascii="Times New Roman" w:hAnsi="Times New Roman" w:cs="Times New Roman"/>
                      <w:color w:val="000000"/>
                      <w:highlight w:val="none"/>
                      <w:lang w:val="en-US" w:eastAsia="zh-CN"/>
                    </w:rPr>
                  </w:pPr>
                </w:p>
              </w:tc>
              <w:tc>
                <w:tcPr>
                  <w:tcW w:w="442" w:type="pct"/>
                  <w:vMerge w:val="continue"/>
                  <w:tcBorders>
                    <w:tl2br w:val="nil"/>
                    <w:tr2bl w:val="nil"/>
                  </w:tcBorders>
                  <w:noWrap w:val="0"/>
                  <w:vAlign w:val="center"/>
                </w:tcPr>
                <w:p w14:paraId="24FD4FAE">
                  <w:pPr>
                    <w:pStyle w:val="31"/>
                    <w:bidi w:val="0"/>
                    <w:jc w:val="center"/>
                    <w:rPr>
                      <w:rFonts w:hint="default" w:ascii="Times New Roman" w:hAnsi="Times New Roman" w:cs="Times New Roman"/>
                      <w:color w:val="000000"/>
                      <w:highlight w:val="none"/>
                      <w:lang w:val="en-US" w:eastAsia="zh-CN"/>
                    </w:rPr>
                  </w:pPr>
                </w:p>
              </w:tc>
            </w:tr>
            <w:tr w14:paraId="652DD9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6" w:type="pct"/>
                  <w:tcBorders>
                    <w:tl2br w:val="nil"/>
                    <w:tr2bl w:val="nil"/>
                  </w:tcBorders>
                  <w:noWrap w:val="0"/>
                  <w:vAlign w:val="center"/>
                </w:tcPr>
                <w:p w14:paraId="35F34F63">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N10</w:t>
                  </w:r>
                </w:p>
              </w:tc>
              <w:tc>
                <w:tcPr>
                  <w:tcW w:w="1144" w:type="pct"/>
                  <w:tcBorders>
                    <w:tl2br w:val="nil"/>
                    <w:tr2bl w:val="nil"/>
                  </w:tcBorders>
                  <w:noWrap w:val="0"/>
                  <w:vAlign w:val="center"/>
                </w:tcPr>
                <w:p w14:paraId="43AF6DD8">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Z2沃口村</w:t>
                  </w:r>
                </w:p>
              </w:tc>
              <w:tc>
                <w:tcPr>
                  <w:tcW w:w="915" w:type="pct"/>
                  <w:vMerge w:val="continue"/>
                  <w:tcBorders>
                    <w:tl2br w:val="nil"/>
                    <w:tr2bl w:val="nil"/>
                  </w:tcBorders>
                  <w:noWrap w:val="0"/>
                  <w:vAlign w:val="center"/>
                </w:tcPr>
                <w:p w14:paraId="3B8D8B4D">
                  <w:pPr>
                    <w:pStyle w:val="31"/>
                    <w:bidi w:val="0"/>
                    <w:ind w:firstLine="0" w:firstLineChars="0"/>
                    <w:rPr>
                      <w:rFonts w:hint="default" w:ascii="Times New Roman" w:hAnsi="Times New Roman" w:cs="Times New Roman"/>
                      <w:color w:val="000000"/>
                      <w:highlight w:val="none"/>
                      <w:lang w:val="en-US" w:eastAsia="zh-CN"/>
                    </w:rPr>
                  </w:pPr>
                </w:p>
              </w:tc>
              <w:tc>
                <w:tcPr>
                  <w:tcW w:w="871" w:type="pct"/>
                  <w:vMerge w:val="continue"/>
                  <w:tcBorders>
                    <w:tl2br w:val="nil"/>
                    <w:tr2bl w:val="nil"/>
                  </w:tcBorders>
                  <w:noWrap w:val="0"/>
                  <w:vAlign w:val="center"/>
                </w:tcPr>
                <w:p w14:paraId="07D2C576">
                  <w:pPr>
                    <w:pStyle w:val="31"/>
                    <w:bidi w:val="0"/>
                    <w:jc w:val="center"/>
                    <w:rPr>
                      <w:rFonts w:hint="default" w:ascii="Times New Roman" w:hAnsi="Times New Roman" w:cs="Times New Roman"/>
                      <w:color w:val="000000"/>
                      <w:highlight w:val="none"/>
                      <w:lang w:val="en-US" w:eastAsia="zh-CN"/>
                    </w:rPr>
                  </w:pPr>
                </w:p>
              </w:tc>
              <w:tc>
                <w:tcPr>
                  <w:tcW w:w="1070" w:type="pct"/>
                  <w:vMerge w:val="continue"/>
                  <w:tcBorders>
                    <w:tl2br w:val="nil"/>
                    <w:tr2bl w:val="nil"/>
                  </w:tcBorders>
                  <w:noWrap w:val="0"/>
                  <w:vAlign w:val="center"/>
                </w:tcPr>
                <w:p w14:paraId="196AFA9A">
                  <w:pPr>
                    <w:pStyle w:val="31"/>
                    <w:bidi w:val="0"/>
                    <w:jc w:val="center"/>
                    <w:rPr>
                      <w:rFonts w:hint="default" w:ascii="Times New Roman" w:hAnsi="Times New Roman" w:cs="Times New Roman"/>
                      <w:color w:val="000000"/>
                      <w:highlight w:val="none"/>
                      <w:lang w:val="en-US" w:eastAsia="zh-CN"/>
                    </w:rPr>
                  </w:pPr>
                </w:p>
              </w:tc>
              <w:tc>
                <w:tcPr>
                  <w:tcW w:w="442" w:type="pct"/>
                  <w:vMerge w:val="continue"/>
                  <w:tcBorders>
                    <w:tl2br w:val="nil"/>
                    <w:tr2bl w:val="nil"/>
                  </w:tcBorders>
                  <w:noWrap w:val="0"/>
                  <w:vAlign w:val="center"/>
                </w:tcPr>
                <w:p w14:paraId="4E7C441D">
                  <w:pPr>
                    <w:pStyle w:val="31"/>
                    <w:bidi w:val="0"/>
                    <w:jc w:val="center"/>
                    <w:rPr>
                      <w:rFonts w:hint="default" w:ascii="Times New Roman" w:hAnsi="Times New Roman" w:cs="Times New Roman"/>
                      <w:color w:val="000000"/>
                      <w:highlight w:val="none"/>
                      <w:lang w:val="en-US" w:eastAsia="zh-CN"/>
                    </w:rPr>
                  </w:pPr>
                </w:p>
              </w:tc>
            </w:tr>
            <w:tr w14:paraId="296E6F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6" w:type="pct"/>
                  <w:tcBorders>
                    <w:tl2br w:val="nil"/>
                    <w:tr2bl w:val="nil"/>
                  </w:tcBorders>
                  <w:noWrap w:val="0"/>
                  <w:vAlign w:val="center"/>
                </w:tcPr>
                <w:p w14:paraId="5F08AD4C">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w:t>
                  </w:r>
                </w:p>
              </w:tc>
              <w:tc>
                <w:tcPr>
                  <w:tcW w:w="1144" w:type="pct"/>
                  <w:tcBorders>
                    <w:tl2br w:val="nil"/>
                    <w:tr2bl w:val="nil"/>
                  </w:tcBorders>
                  <w:noWrap w:val="0"/>
                  <w:vAlign w:val="center"/>
                </w:tcPr>
                <w:p w14:paraId="34199541">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项目南侧边界外1m</w:t>
                  </w:r>
                </w:p>
              </w:tc>
              <w:tc>
                <w:tcPr>
                  <w:tcW w:w="915" w:type="pct"/>
                  <w:vMerge w:val="restart"/>
                  <w:tcBorders>
                    <w:tl2br w:val="nil"/>
                    <w:tr2bl w:val="nil"/>
                  </w:tcBorders>
                  <w:noWrap w:val="0"/>
                  <w:vAlign w:val="center"/>
                </w:tcPr>
                <w:p w14:paraId="0F329177">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2026年1月7日~8日</w:t>
                  </w:r>
                </w:p>
              </w:tc>
              <w:tc>
                <w:tcPr>
                  <w:tcW w:w="871" w:type="pct"/>
                  <w:vMerge w:val="continue"/>
                  <w:tcBorders>
                    <w:tl2br w:val="nil"/>
                    <w:tr2bl w:val="nil"/>
                  </w:tcBorders>
                  <w:noWrap w:val="0"/>
                  <w:vAlign w:val="center"/>
                </w:tcPr>
                <w:p w14:paraId="66248DFA">
                  <w:pPr>
                    <w:pStyle w:val="31"/>
                    <w:bidi w:val="0"/>
                    <w:jc w:val="center"/>
                    <w:rPr>
                      <w:rFonts w:hint="default" w:ascii="Times New Roman" w:hAnsi="Times New Roman" w:cs="Times New Roman"/>
                      <w:color w:val="000000"/>
                      <w:highlight w:val="none"/>
                      <w:lang w:val="en-US" w:eastAsia="zh-CN"/>
                    </w:rPr>
                  </w:pPr>
                </w:p>
              </w:tc>
              <w:tc>
                <w:tcPr>
                  <w:tcW w:w="1070" w:type="pct"/>
                  <w:vMerge w:val="continue"/>
                  <w:tcBorders>
                    <w:tl2br w:val="nil"/>
                    <w:tr2bl w:val="nil"/>
                  </w:tcBorders>
                  <w:noWrap w:val="0"/>
                  <w:vAlign w:val="center"/>
                </w:tcPr>
                <w:p w14:paraId="1D9B1FA1">
                  <w:pPr>
                    <w:pStyle w:val="31"/>
                    <w:bidi w:val="0"/>
                    <w:jc w:val="center"/>
                    <w:rPr>
                      <w:rFonts w:hint="default" w:ascii="Times New Roman" w:hAnsi="Times New Roman" w:cs="Times New Roman"/>
                      <w:color w:val="000000"/>
                      <w:highlight w:val="none"/>
                      <w:lang w:val="en-US" w:eastAsia="zh-CN"/>
                    </w:rPr>
                  </w:pPr>
                </w:p>
              </w:tc>
              <w:tc>
                <w:tcPr>
                  <w:tcW w:w="442" w:type="pct"/>
                  <w:vMerge w:val="continue"/>
                  <w:tcBorders>
                    <w:tl2br w:val="nil"/>
                    <w:tr2bl w:val="nil"/>
                  </w:tcBorders>
                  <w:noWrap w:val="0"/>
                  <w:vAlign w:val="center"/>
                </w:tcPr>
                <w:p w14:paraId="36957194">
                  <w:pPr>
                    <w:pStyle w:val="31"/>
                    <w:bidi w:val="0"/>
                    <w:jc w:val="center"/>
                    <w:rPr>
                      <w:rFonts w:hint="default" w:ascii="Times New Roman" w:hAnsi="Times New Roman" w:cs="Times New Roman"/>
                      <w:color w:val="000000"/>
                      <w:highlight w:val="none"/>
                      <w:lang w:val="en-US" w:eastAsia="zh-CN"/>
                    </w:rPr>
                  </w:pPr>
                </w:p>
              </w:tc>
            </w:tr>
            <w:tr w14:paraId="663900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6" w:type="pct"/>
                  <w:tcBorders>
                    <w:tl2br w:val="nil"/>
                    <w:tr2bl w:val="nil"/>
                  </w:tcBorders>
                  <w:noWrap w:val="0"/>
                  <w:vAlign w:val="center"/>
                </w:tcPr>
                <w:p w14:paraId="1F42CB53">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w:t>
                  </w:r>
                </w:p>
              </w:tc>
              <w:tc>
                <w:tcPr>
                  <w:tcW w:w="1144" w:type="pct"/>
                  <w:tcBorders>
                    <w:tl2br w:val="nil"/>
                    <w:tr2bl w:val="nil"/>
                  </w:tcBorders>
                  <w:noWrap w:val="0"/>
                  <w:vAlign w:val="center"/>
                </w:tcPr>
                <w:p w14:paraId="3B16AA8E">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沃口村民房</w:t>
                  </w:r>
                </w:p>
              </w:tc>
              <w:tc>
                <w:tcPr>
                  <w:tcW w:w="915" w:type="pct"/>
                  <w:vMerge w:val="continue"/>
                  <w:tcBorders>
                    <w:tl2br w:val="nil"/>
                    <w:tr2bl w:val="nil"/>
                  </w:tcBorders>
                  <w:noWrap w:val="0"/>
                  <w:vAlign w:val="center"/>
                </w:tcPr>
                <w:p w14:paraId="56AE4971">
                  <w:pPr>
                    <w:pStyle w:val="31"/>
                    <w:bidi w:val="0"/>
                    <w:rPr>
                      <w:rFonts w:hint="default" w:ascii="Times New Roman" w:hAnsi="Times New Roman" w:cs="Times New Roman"/>
                      <w:color w:val="000000"/>
                      <w:highlight w:val="none"/>
                      <w:lang w:val="en-US" w:eastAsia="zh-CN"/>
                    </w:rPr>
                  </w:pPr>
                </w:p>
              </w:tc>
              <w:tc>
                <w:tcPr>
                  <w:tcW w:w="871" w:type="pct"/>
                  <w:vMerge w:val="continue"/>
                  <w:tcBorders>
                    <w:tl2br w:val="nil"/>
                    <w:tr2bl w:val="nil"/>
                  </w:tcBorders>
                  <w:noWrap w:val="0"/>
                  <w:vAlign w:val="center"/>
                </w:tcPr>
                <w:p w14:paraId="68F7A586">
                  <w:pPr>
                    <w:pStyle w:val="31"/>
                    <w:bidi w:val="0"/>
                    <w:jc w:val="center"/>
                    <w:rPr>
                      <w:rFonts w:hint="default" w:ascii="Times New Roman" w:hAnsi="Times New Roman" w:cs="Times New Roman"/>
                      <w:color w:val="000000"/>
                      <w:highlight w:val="none"/>
                      <w:lang w:val="en-US" w:eastAsia="zh-CN"/>
                    </w:rPr>
                  </w:pPr>
                </w:p>
              </w:tc>
              <w:tc>
                <w:tcPr>
                  <w:tcW w:w="1070" w:type="pct"/>
                  <w:vMerge w:val="continue"/>
                  <w:tcBorders>
                    <w:tl2br w:val="nil"/>
                    <w:tr2bl w:val="nil"/>
                  </w:tcBorders>
                  <w:noWrap w:val="0"/>
                  <w:vAlign w:val="center"/>
                </w:tcPr>
                <w:p w14:paraId="540236F0">
                  <w:pPr>
                    <w:pStyle w:val="31"/>
                    <w:bidi w:val="0"/>
                    <w:jc w:val="center"/>
                    <w:rPr>
                      <w:rFonts w:hint="default" w:ascii="Times New Roman" w:hAnsi="Times New Roman" w:cs="Times New Roman"/>
                      <w:color w:val="000000"/>
                      <w:highlight w:val="none"/>
                      <w:lang w:val="en-US" w:eastAsia="zh-CN"/>
                    </w:rPr>
                  </w:pPr>
                </w:p>
              </w:tc>
              <w:tc>
                <w:tcPr>
                  <w:tcW w:w="442" w:type="pct"/>
                  <w:vMerge w:val="continue"/>
                  <w:tcBorders>
                    <w:tl2br w:val="nil"/>
                    <w:tr2bl w:val="nil"/>
                  </w:tcBorders>
                  <w:noWrap w:val="0"/>
                  <w:vAlign w:val="center"/>
                </w:tcPr>
                <w:p w14:paraId="682CC8A3">
                  <w:pPr>
                    <w:pStyle w:val="31"/>
                    <w:bidi w:val="0"/>
                    <w:jc w:val="center"/>
                    <w:rPr>
                      <w:rFonts w:hint="default" w:ascii="Times New Roman" w:hAnsi="Times New Roman" w:cs="Times New Roman"/>
                      <w:color w:val="000000"/>
                      <w:highlight w:val="none"/>
                      <w:lang w:val="en-US" w:eastAsia="zh-CN"/>
                    </w:rPr>
                  </w:pPr>
                </w:p>
              </w:tc>
            </w:tr>
          </w:tbl>
          <w:p w14:paraId="24771CFB">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lang w:val="en-US" w:eastAsia="zh-CN"/>
              </w:rPr>
            </w:pP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2</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分析方法</w:t>
            </w:r>
          </w:p>
          <w:p w14:paraId="6D013530">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lang w:val="en-US" w:eastAsia="zh-CN"/>
              </w:rPr>
            </w:pPr>
            <w:r>
              <w:rPr>
                <w:rFonts w:hint="default" w:ascii="Times New Roman" w:hAnsi="Times New Roman" w:cs="Times New Roman"/>
                <w:color w:val="000000"/>
                <w:highlight w:val="none"/>
                <w:lang w:val="en-US" w:eastAsia="zh-CN"/>
              </w:rPr>
              <w:t>声环境质量分析方法及检出限见</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REF _Ref20131 \h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3.11</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2</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val="en-US" w:eastAsia="zh-CN"/>
              </w:rPr>
              <w:t>。</w:t>
            </w:r>
          </w:p>
          <w:p w14:paraId="61E00A78">
            <w:pPr>
              <w:pStyle w:val="30"/>
              <w:bidi w:val="0"/>
              <w:rPr>
                <w:rFonts w:hint="default" w:ascii="Times New Roman" w:hAnsi="Times New Roman" w:cs="Times New Roman"/>
                <w:color w:val="000000"/>
                <w:highlight w:val="none"/>
                <w:lang w:val="en-US" w:eastAsia="zh-CN"/>
              </w:rPr>
            </w:pPr>
            <w:bookmarkStart w:id="199" w:name="_Ref20131"/>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3.11</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表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2</w:t>
            </w:r>
            <w:r>
              <w:rPr>
                <w:rFonts w:hint="default" w:ascii="Times New Roman" w:hAnsi="Times New Roman" w:cs="Times New Roman"/>
                <w:color w:val="000000"/>
                <w:highlight w:val="none"/>
              </w:rPr>
              <w:fldChar w:fldCharType="end"/>
            </w:r>
            <w:bookmarkEnd w:id="199"/>
            <w:r>
              <w:rPr>
                <w:rFonts w:hint="default" w:ascii="Times New Roman" w:hAnsi="Times New Roman" w:cs="Times New Roman"/>
                <w:color w:val="000000"/>
                <w:highlight w:val="none"/>
                <w:lang w:val="en-US" w:eastAsia="zh-CN"/>
              </w:rPr>
              <w:t xml:space="preserve"> 声环境质量分析方法及检出限</w:t>
            </w:r>
          </w:p>
          <w:tbl>
            <w:tblPr>
              <w:tblStyle w:val="2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0"/>
              <w:gridCol w:w="1611"/>
              <w:gridCol w:w="3070"/>
              <w:gridCol w:w="1606"/>
              <w:gridCol w:w="1524"/>
            </w:tblGrid>
            <w:tr w14:paraId="4B655B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406" w:type="pct"/>
                  <w:tcBorders>
                    <w:top w:val="single" w:color="auto" w:sz="4" w:space="0"/>
                    <w:left w:val="single" w:color="auto" w:sz="4" w:space="0"/>
                    <w:bottom w:val="single" w:color="auto" w:sz="4" w:space="0"/>
                    <w:right w:val="single" w:color="auto" w:sz="4" w:space="0"/>
                  </w:tcBorders>
                  <w:noWrap w:val="0"/>
                  <w:vAlign w:val="center"/>
                </w:tcPr>
                <w:p w14:paraId="16A73C41">
                  <w:pPr>
                    <w:pStyle w:val="31"/>
                    <w:bidi w:val="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序号</w:t>
                  </w:r>
                </w:p>
              </w:tc>
              <w:tc>
                <w:tcPr>
                  <w:tcW w:w="947" w:type="pct"/>
                  <w:tcBorders>
                    <w:top w:val="single" w:color="auto" w:sz="4" w:space="0"/>
                    <w:left w:val="single" w:color="auto" w:sz="4" w:space="0"/>
                    <w:bottom w:val="single" w:color="auto" w:sz="4" w:space="0"/>
                    <w:right w:val="single" w:color="auto" w:sz="4" w:space="0"/>
                  </w:tcBorders>
                  <w:noWrap w:val="0"/>
                  <w:vAlign w:val="center"/>
                </w:tcPr>
                <w:p w14:paraId="50FB1F67">
                  <w:pPr>
                    <w:pStyle w:val="31"/>
                    <w:bidi w:val="0"/>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rPr>
                    <w:t>项目</w:t>
                  </w:r>
                </w:p>
              </w:tc>
              <w:tc>
                <w:tcPr>
                  <w:tcW w:w="1805" w:type="pct"/>
                  <w:tcBorders>
                    <w:top w:val="single" w:color="auto" w:sz="4" w:space="0"/>
                    <w:left w:val="single" w:color="auto" w:sz="4" w:space="0"/>
                    <w:bottom w:val="single" w:color="auto" w:sz="4" w:space="0"/>
                    <w:right w:val="single" w:color="auto" w:sz="4" w:space="0"/>
                  </w:tcBorders>
                  <w:noWrap w:val="0"/>
                  <w:vAlign w:val="center"/>
                </w:tcPr>
                <w:p w14:paraId="5456F366">
                  <w:pPr>
                    <w:pStyle w:val="31"/>
                    <w:bidi w:val="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rPr>
                    <w:t>分析方法</w:t>
                  </w:r>
                </w:p>
              </w:tc>
              <w:tc>
                <w:tcPr>
                  <w:tcW w:w="944" w:type="pct"/>
                  <w:tcBorders>
                    <w:top w:val="single" w:color="auto" w:sz="4" w:space="0"/>
                    <w:left w:val="single" w:color="auto" w:sz="4" w:space="0"/>
                    <w:bottom w:val="single" w:color="auto" w:sz="4" w:space="0"/>
                    <w:right w:val="single" w:color="auto" w:sz="4" w:space="0"/>
                  </w:tcBorders>
                  <w:noWrap w:val="0"/>
                  <w:vAlign w:val="center"/>
                </w:tcPr>
                <w:p w14:paraId="0400FFE3">
                  <w:pPr>
                    <w:pStyle w:val="31"/>
                    <w:bidi w:val="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rPr>
                    <w:t>方法依据</w:t>
                  </w:r>
                </w:p>
              </w:tc>
              <w:tc>
                <w:tcPr>
                  <w:tcW w:w="896" w:type="pct"/>
                  <w:tcBorders>
                    <w:top w:val="single" w:color="auto" w:sz="4" w:space="0"/>
                    <w:left w:val="single" w:color="auto" w:sz="4" w:space="0"/>
                    <w:bottom w:val="single" w:color="auto" w:sz="4" w:space="0"/>
                    <w:right w:val="single" w:color="auto" w:sz="4" w:space="0"/>
                  </w:tcBorders>
                  <w:noWrap w:val="0"/>
                  <w:vAlign w:val="center"/>
                </w:tcPr>
                <w:p w14:paraId="444133B3">
                  <w:pPr>
                    <w:pStyle w:val="31"/>
                    <w:bidi w:val="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rPr>
                    <w:t>检出限</w:t>
                  </w:r>
                </w:p>
              </w:tc>
            </w:tr>
            <w:tr w14:paraId="7802BC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406" w:type="pct"/>
                  <w:tcBorders>
                    <w:top w:val="single" w:color="auto" w:sz="4" w:space="0"/>
                    <w:left w:val="single" w:color="auto" w:sz="4" w:space="0"/>
                    <w:bottom w:val="single" w:color="auto" w:sz="4" w:space="0"/>
                    <w:right w:val="single" w:color="auto" w:sz="4" w:space="0"/>
                  </w:tcBorders>
                  <w:noWrap w:val="0"/>
                  <w:vAlign w:val="center"/>
                </w:tcPr>
                <w:p w14:paraId="70EC08AF">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w:t>
                  </w:r>
                </w:p>
              </w:tc>
              <w:tc>
                <w:tcPr>
                  <w:tcW w:w="947" w:type="pct"/>
                  <w:tcBorders>
                    <w:top w:val="single" w:color="auto" w:sz="4" w:space="0"/>
                    <w:left w:val="single" w:color="auto" w:sz="4" w:space="0"/>
                    <w:bottom w:val="single" w:color="auto" w:sz="4" w:space="0"/>
                    <w:right w:val="single" w:color="auto" w:sz="4" w:space="0"/>
                  </w:tcBorders>
                  <w:noWrap w:val="0"/>
                  <w:vAlign w:val="center"/>
                </w:tcPr>
                <w:p w14:paraId="4578D028">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rPr>
                    <w:t>环境噪声</w:t>
                  </w:r>
                </w:p>
              </w:tc>
              <w:tc>
                <w:tcPr>
                  <w:tcW w:w="1805" w:type="pct"/>
                  <w:tcBorders>
                    <w:top w:val="single" w:color="auto" w:sz="4" w:space="0"/>
                    <w:left w:val="single" w:color="auto" w:sz="4" w:space="0"/>
                    <w:bottom w:val="single" w:color="auto" w:sz="4" w:space="0"/>
                    <w:right w:val="single" w:color="auto" w:sz="4" w:space="0"/>
                  </w:tcBorders>
                  <w:noWrap w:val="0"/>
                  <w:vAlign w:val="center"/>
                </w:tcPr>
                <w:p w14:paraId="384C94A1">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rPr>
                    <w:t>声环境质量标准</w:t>
                  </w:r>
                </w:p>
              </w:tc>
              <w:tc>
                <w:tcPr>
                  <w:tcW w:w="944" w:type="pct"/>
                  <w:tcBorders>
                    <w:top w:val="single" w:color="auto" w:sz="4" w:space="0"/>
                    <w:left w:val="single" w:color="auto" w:sz="4" w:space="0"/>
                    <w:bottom w:val="single" w:color="auto" w:sz="4" w:space="0"/>
                    <w:right w:val="single" w:color="auto" w:sz="4" w:space="0"/>
                  </w:tcBorders>
                  <w:noWrap w:val="0"/>
                  <w:vAlign w:val="center"/>
                </w:tcPr>
                <w:p w14:paraId="70BDEEFA">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rPr>
                    <w:t>GB 3096-2008</w:t>
                  </w:r>
                </w:p>
              </w:tc>
              <w:tc>
                <w:tcPr>
                  <w:tcW w:w="896" w:type="pct"/>
                  <w:tcBorders>
                    <w:top w:val="single" w:color="auto" w:sz="4" w:space="0"/>
                    <w:left w:val="single" w:color="auto" w:sz="4" w:space="0"/>
                    <w:bottom w:val="single" w:color="auto" w:sz="4" w:space="0"/>
                    <w:right w:val="single" w:color="auto" w:sz="4" w:space="0"/>
                  </w:tcBorders>
                  <w:noWrap w:val="0"/>
                  <w:vAlign w:val="center"/>
                </w:tcPr>
                <w:p w14:paraId="2FE0D70D">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rPr>
                    <w:t>/</w:t>
                  </w:r>
                </w:p>
              </w:tc>
            </w:tr>
          </w:tbl>
          <w:p w14:paraId="621D1B88">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lang w:val="en-US" w:eastAsia="zh-CN"/>
              </w:rPr>
            </w:pPr>
            <w:r>
              <w:rPr>
                <w:rFonts w:hint="default" w:ascii="Times New Roman" w:hAnsi="Times New Roman" w:cs="Times New Roman"/>
                <w:color w:val="000000"/>
                <w:kern w:val="0"/>
                <w:szCs w:val="21"/>
                <w:highlight w:val="none"/>
                <w:lang w:eastAsia="zh-CN"/>
              </w:rPr>
              <w:t>（</w:t>
            </w:r>
            <w:r>
              <w:rPr>
                <w:rFonts w:hint="default" w:ascii="Times New Roman" w:hAnsi="Times New Roman" w:cs="Times New Roman"/>
                <w:color w:val="000000"/>
                <w:kern w:val="0"/>
                <w:szCs w:val="21"/>
                <w:highlight w:val="none"/>
                <w:lang w:val="en-US" w:eastAsia="zh-CN"/>
              </w:rPr>
              <w:t>3</w:t>
            </w:r>
            <w:r>
              <w:rPr>
                <w:rFonts w:hint="default" w:ascii="Times New Roman" w:hAnsi="Times New Roman" w:cs="Times New Roman"/>
                <w:color w:val="000000"/>
                <w:kern w:val="0"/>
                <w:szCs w:val="21"/>
                <w:highlight w:val="none"/>
                <w:lang w:eastAsia="zh-CN"/>
              </w:rPr>
              <w:t>）</w:t>
            </w:r>
            <w:r>
              <w:rPr>
                <w:rFonts w:hint="default" w:ascii="Times New Roman" w:hAnsi="Times New Roman" w:cs="Times New Roman"/>
                <w:color w:val="000000"/>
                <w:kern w:val="0"/>
                <w:szCs w:val="21"/>
                <w:highlight w:val="none"/>
                <w:lang w:val="en-US" w:eastAsia="zh-CN"/>
              </w:rPr>
              <w:t>监测结果及评价</w:t>
            </w:r>
          </w:p>
          <w:p w14:paraId="5A1E7E39">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lang w:val="en-US" w:eastAsia="zh-CN"/>
              </w:rPr>
            </w:pPr>
            <w:r>
              <w:rPr>
                <w:rFonts w:hint="default" w:ascii="Times New Roman" w:hAnsi="Times New Roman" w:cs="Times New Roman"/>
                <w:color w:val="000000"/>
                <w:highlight w:val="none"/>
                <w:lang w:val="en-US" w:eastAsia="zh-CN"/>
              </w:rPr>
              <w:t>声环境质量监测结果见</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REF _Ref20370 \h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3.11</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3</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val="en-US" w:eastAsia="zh-CN"/>
              </w:rPr>
              <w:t>。</w:t>
            </w:r>
          </w:p>
          <w:p w14:paraId="05660EC3">
            <w:pPr>
              <w:pStyle w:val="30"/>
              <w:bidi w:val="0"/>
              <w:rPr>
                <w:rFonts w:hint="default" w:ascii="Times New Roman" w:hAnsi="Times New Roman" w:cs="Times New Roman"/>
                <w:color w:val="000000"/>
                <w:highlight w:val="none"/>
                <w:lang w:val="en-US" w:eastAsia="zh-CN"/>
              </w:rPr>
            </w:pPr>
            <w:bookmarkStart w:id="200" w:name="_Ref20370"/>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3.11</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表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w:t>
            </w:r>
            <w:r>
              <w:rPr>
                <w:rFonts w:hint="default" w:ascii="Times New Roman" w:hAnsi="Times New Roman" w:cs="Times New Roman"/>
                <w:color w:val="000000"/>
                <w:highlight w:val="none"/>
              </w:rPr>
              <w:fldChar w:fldCharType="end"/>
            </w:r>
            <w:bookmarkEnd w:id="200"/>
            <w:r>
              <w:rPr>
                <w:rFonts w:hint="default" w:ascii="Times New Roman" w:hAnsi="Times New Roman" w:cs="Times New Roman"/>
                <w:color w:val="000000"/>
                <w:highlight w:val="none"/>
                <w:lang w:val="en-US" w:eastAsia="zh-CN"/>
              </w:rPr>
              <w:t xml:space="preserve"> 声环境质量监测及评价结果</w:t>
            </w:r>
          </w:p>
          <w:p w14:paraId="0F4D99AE">
            <w:pPr>
              <w:pStyle w:val="31"/>
              <w:bidi w:val="0"/>
              <w:rPr>
                <w:rFonts w:hint="default"/>
                <w:lang w:val="en-US" w:eastAsia="zh-CN"/>
              </w:rPr>
            </w:pPr>
            <w:r>
              <w:rPr>
                <w:rFonts w:hint="eastAsia"/>
                <w:lang w:val="en-US" w:eastAsia="zh-CN"/>
              </w:rPr>
              <w:t>（涉密删除）</w:t>
            </w:r>
          </w:p>
          <w:p w14:paraId="553B414D">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lang w:val="en-US" w:eastAsia="zh-CN"/>
              </w:rPr>
            </w:pPr>
            <w:r>
              <w:rPr>
                <w:rFonts w:hint="default" w:ascii="Times New Roman" w:hAnsi="Times New Roman" w:cs="Times New Roman"/>
                <w:color w:val="000000"/>
                <w:highlight w:val="none"/>
                <w:lang w:val="en-US" w:eastAsia="zh-CN"/>
              </w:rPr>
              <w:t>根据监测结果可知，各点位噪声监测结果均能达到《声环境质量标准》（GB3096-2008）2类标准，本工程周边声环境质量较好。</w:t>
            </w:r>
          </w:p>
          <w:p w14:paraId="3F9576A6">
            <w:pPr>
              <w:pStyle w:val="3"/>
              <w:bidi w:val="0"/>
              <w:rPr>
                <w:rFonts w:hint="default"/>
                <w:lang w:val="en-US" w:eastAsia="zh-CN"/>
              </w:rPr>
            </w:pPr>
            <w:bookmarkStart w:id="201" w:name="_Toc5526"/>
            <w:bookmarkStart w:id="202" w:name="_Toc1405"/>
            <w:bookmarkStart w:id="203" w:name="_Toc4188"/>
            <w:bookmarkStart w:id="204" w:name="_Toc10665"/>
            <w:r>
              <w:rPr>
                <w:rFonts w:hint="default" w:ascii="Times New Roman" w:hAnsi="Times New Roman" w:cs="Times New Roman"/>
                <w:color w:val="000000"/>
                <w:highlight w:val="none"/>
                <w:lang w:val="en-US" w:eastAsia="zh-CN"/>
              </w:rPr>
              <w:t>陆域生态环境现状调查</w:t>
            </w:r>
            <w:bookmarkEnd w:id="201"/>
            <w:bookmarkEnd w:id="202"/>
            <w:bookmarkEnd w:id="203"/>
            <w:bookmarkEnd w:id="204"/>
          </w:p>
          <w:p w14:paraId="36644D13">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lang w:val="en-US" w:eastAsia="zh-CN"/>
              </w:rPr>
            </w:pPr>
            <w:r>
              <w:rPr>
                <w:rFonts w:hint="eastAsia"/>
                <w:lang w:val="en-US" w:eastAsia="zh-CN"/>
              </w:rPr>
              <w:t>（涉密删除）</w:t>
            </w:r>
          </w:p>
          <w:p w14:paraId="7B902F38">
            <w:pPr>
              <w:pStyle w:val="3"/>
              <w:bidi w:val="0"/>
              <w:rPr>
                <w:rFonts w:hint="default"/>
                <w:lang w:val="en-US" w:eastAsia="zh-CN"/>
              </w:rPr>
            </w:pPr>
            <w:bookmarkStart w:id="205" w:name="_Toc31866"/>
            <w:r>
              <w:rPr>
                <w:rFonts w:hint="default"/>
                <w:lang w:val="en-US" w:eastAsia="zh-CN"/>
              </w:rPr>
              <w:t>周边海域开发与利用现状</w:t>
            </w:r>
            <w:bookmarkEnd w:id="205"/>
          </w:p>
          <w:p w14:paraId="6B4DFE94">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lang w:val="en-US" w:eastAsia="zh-CN"/>
              </w:rPr>
            </w:pPr>
            <w:r>
              <w:rPr>
                <w:rFonts w:hint="eastAsia"/>
                <w:lang w:val="en-US" w:eastAsia="zh-CN"/>
              </w:rPr>
              <w:t>（涉密删除）</w:t>
            </w:r>
          </w:p>
          <w:p w14:paraId="3BDA4892">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lang w:val="en-US" w:eastAsia="zh-CN"/>
              </w:rPr>
            </w:pPr>
          </w:p>
          <w:p w14:paraId="16292699">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lang w:val="en-US" w:eastAsia="zh-CN"/>
              </w:rPr>
            </w:pPr>
          </w:p>
          <w:p w14:paraId="5B6678F6">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lang w:val="en-US" w:eastAsia="zh-CN"/>
              </w:rPr>
            </w:pPr>
          </w:p>
          <w:p w14:paraId="5E5CC36C">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lang w:val="en-US" w:eastAsia="zh-CN"/>
              </w:rPr>
            </w:pPr>
          </w:p>
          <w:p w14:paraId="0958D15D">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lang w:val="en-US" w:eastAsia="zh-CN"/>
              </w:rPr>
            </w:pPr>
          </w:p>
          <w:p w14:paraId="577B658B">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lang w:val="en-US" w:eastAsia="zh-CN"/>
              </w:rPr>
            </w:pPr>
          </w:p>
          <w:p w14:paraId="7F270BA4">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lang w:val="en-US" w:eastAsia="zh-CN"/>
              </w:rPr>
            </w:pPr>
          </w:p>
          <w:p w14:paraId="3DF7D850">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lang w:val="en-US" w:eastAsia="zh-CN"/>
              </w:rPr>
            </w:pPr>
          </w:p>
          <w:p w14:paraId="143BB5A0">
            <w:pPr>
              <w:pStyle w:val="30"/>
              <w:bidi w:val="0"/>
              <w:rPr>
                <w:rFonts w:hint="default" w:ascii="Times New Roman" w:hAnsi="Times New Roman" w:cs="Times New Roman"/>
                <w:color w:val="000000"/>
                <w:u w:val="none"/>
                <w:lang w:val="en-US"/>
              </w:rPr>
            </w:pPr>
          </w:p>
        </w:tc>
      </w:tr>
    </w:tbl>
    <w:p w14:paraId="1DAD3C1F">
      <w:pPr>
        <w:rPr>
          <w:rFonts w:hint="default" w:ascii="Times New Roman" w:hAnsi="Times New Roman" w:cs="Times New Roman"/>
          <w:color w:val="000000"/>
        </w:rPr>
        <w:sectPr>
          <w:pgSz w:w="11906" w:h="16838"/>
          <w:pgMar w:top="1701" w:right="1531" w:bottom="1701" w:left="1531" w:header="851" w:footer="1077" w:gutter="0"/>
          <w:pgNumType w:fmt="decimal"/>
          <w:cols w:space="720" w:num="1"/>
          <w:docGrid w:linePitch="312" w:charSpace="0"/>
        </w:sectPr>
      </w:pPr>
    </w:p>
    <w:tbl>
      <w:tblPr>
        <w:tblStyle w:val="21"/>
        <w:tblW w:w="915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08" w:type="dxa"/>
          <w:left w:w="108" w:type="dxa"/>
          <w:bottom w:w="108" w:type="dxa"/>
          <w:right w:w="108" w:type="dxa"/>
        </w:tblCellMar>
      </w:tblPr>
      <w:tblGrid>
        <w:gridCol w:w="743"/>
        <w:gridCol w:w="8414"/>
      </w:tblGrid>
      <w:tr w14:paraId="6EB0A1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8" w:type="dxa"/>
            <w:left w:w="108" w:type="dxa"/>
            <w:bottom w:w="108" w:type="dxa"/>
            <w:right w:w="108" w:type="dxa"/>
          </w:tblCellMar>
        </w:tblPrEx>
        <w:trPr>
          <w:trHeight w:val="2337" w:hRule="atLeast"/>
          <w:jc w:val="center"/>
        </w:trPr>
        <w:tc>
          <w:tcPr>
            <w:tcW w:w="743" w:type="dxa"/>
            <w:noWrap w:val="0"/>
            <w:vAlign w:val="center"/>
          </w:tcPr>
          <w:p w14:paraId="68C14E6E">
            <w:pPr>
              <w:adjustRightInd w:val="0"/>
              <w:snapToGrid w:val="0"/>
              <w:spacing w:line="360" w:lineRule="auto"/>
              <w:jc w:val="center"/>
              <w:rPr>
                <w:rFonts w:hint="default" w:ascii="Times New Roman" w:hAnsi="Times New Roman" w:cs="Times New Roman"/>
                <w:color w:val="000000"/>
                <w:kern w:val="0"/>
                <w:szCs w:val="21"/>
                <w:u w:val="none"/>
              </w:rPr>
            </w:pPr>
            <w:r>
              <w:rPr>
                <w:rFonts w:hint="default" w:ascii="Times New Roman" w:hAnsi="Times New Roman" w:cs="Times New Roman"/>
                <w:bCs/>
                <w:color w:val="000000"/>
                <w:szCs w:val="21"/>
                <w:u w:val="none"/>
              </w:rPr>
              <w:t>与项目有关的原有环境污染和生态破坏问题</w:t>
            </w:r>
          </w:p>
        </w:tc>
        <w:tc>
          <w:tcPr>
            <w:tcW w:w="8414" w:type="dxa"/>
            <w:noWrap w:val="0"/>
            <w:vAlign w:val="center"/>
          </w:tcPr>
          <w:p w14:paraId="538FFF05">
            <w:pPr>
              <w:pStyle w:val="3"/>
              <w:bidi w:val="0"/>
              <w:rPr>
                <w:rFonts w:hint="default"/>
                <w:lang w:val="en-US"/>
              </w:rPr>
            </w:pPr>
            <w:bookmarkStart w:id="206" w:name="_Toc6639"/>
            <w:r>
              <w:rPr>
                <w:rFonts w:hint="default"/>
                <w:lang w:val="en-US"/>
              </w:rPr>
              <w:t>现有工程回顾性分析</w:t>
            </w:r>
            <w:bookmarkEnd w:id="206"/>
          </w:p>
          <w:p w14:paraId="1A4FB78E">
            <w:pPr>
              <w:pStyle w:val="4"/>
              <w:bidi w:val="0"/>
              <w:rPr>
                <w:rFonts w:hint="default" w:ascii="Times New Roman" w:hAnsi="Times New Roman" w:cs="Times New Roman"/>
                <w:color w:val="000000"/>
                <w:highlight w:val="none"/>
              </w:rPr>
            </w:pPr>
            <w:bookmarkStart w:id="207" w:name="_Toc12004"/>
            <w:r>
              <w:rPr>
                <w:rFonts w:hint="default" w:ascii="Times New Roman" w:hAnsi="Times New Roman" w:cs="Times New Roman"/>
                <w:color w:val="000000"/>
                <w:highlight w:val="none"/>
                <w:lang w:val="en-US" w:eastAsia="zh-CN"/>
              </w:rPr>
              <w:t>现有工程建设情况</w:t>
            </w:r>
            <w:bookmarkEnd w:id="207"/>
          </w:p>
          <w:p w14:paraId="21EEFB2D">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rPr>
              <w:t>本项目在海亮沃口二级渔港的基础上进行升级扩建，需将二级渔港建设内容纳入一级渔港的范畴，海亮沃口二级渔港和一级渔港</w:t>
            </w:r>
            <w:r>
              <w:rPr>
                <w:rFonts w:hint="default" w:ascii="Times New Roman" w:hAnsi="Times New Roman" w:cs="Times New Roman"/>
                <w:color w:val="000000"/>
                <w:highlight w:val="none"/>
                <w:lang w:val="en-US" w:eastAsia="zh-CN"/>
              </w:rPr>
              <w:t>建设单位</w:t>
            </w:r>
            <w:r>
              <w:rPr>
                <w:rFonts w:hint="default" w:ascii="Times New Roman" w:hAnsi="Times New Roman" w:cs="Times New Roman"/>
                <w:color w:val="000000"/>
                <w:highlight w:val="none"/>
              </w:rPr>
              <w:t>均为福建省华立沃口渔港开发有限公司。</w:t>
            </w:r>
            <w:r>
              <w:rPr>
                <w:rFonts w:hint="default" w:ascii="Times New Roman" w:hAnsi="Times New Roman" w:cs="Times New Roman"/>
                <w:color w:val="000000"/>
                <w:highlight w:val="none"/>
                <w:lang w:val="en-US" w:eastAsia="zh-CN"/>
              </w:rPr>
              <w:t>海亮沃口二级渔港位于本项目南侧，于2016年12月开工建设，2021年7月竣工并投入使用。</w:t>
            </w:r>
          </w:p>
          <w:p w14:paraId="32CD06C1">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海亮沃口二级渔港设计年鱼货卸港量2.97万吨，建设规模为：直立顺岸码头100m，建设150HP码头泊位3个；150HP斜坡码头1座，斜坡道长68m；护岸157m；陆域形成面积1.83万m</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lang w:val="en-US" w:eastAsia="zh-CN"/>
              </w:rPr>
              <w:t>。150HP斜坡码头东侧有1座简易斜坡码头，长60m，兼作沃口渡口使用。具体建设情况见</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REF _Ref11263 \h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3.14</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1</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val="en-US" w:eastAsia="zh-CN"/>
              </w:rPr>
              <w:t>。</w:t>
            </w:r>
          </w:p>
          <w:p w14:paraId="6E253E44">
            <w:pPr>
              <w:pStyle w:val="30"/>
              <w:bidi w:val="0"/>
              <w:rPr>
                <w:rFonts w:hint="default" w:ascii="Times New Roman" w:hAnsi="Times New Roman" w:cs="Times New Roman"/>
                <w:color w:val="000000"/>
                <w:highlight w:val="none"/>
                <w:lang w:val="en-US" w:eastAsia="zh-CN"/>
              </w:rPr>
            </w:pPr>
            <w:bookmarkStart w:id="208" w:name="_Ref11263"/>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3.14</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表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1</w:t>
            </w:r>
            <w:r>
              <w:rPr>
                <w:rFonts w:hint="default" w:ascii="Times New Roman" w:hAnsi="Times New Roman" w:cs="Times New Roman"/>
                <w:color w:val="000000"/>
                <w:highlight w:val="none"/>
              </w:rPr>
              <w:fldChar w:fldCharType="end"/>
            </w:r>
            <w:bookmarkEnd w:id="208"/>
            <w:r>
              <w:rPr>
                <w:rFonts w:hint="default" w:ascii="Times New Roman" w:hAnsi="Times New Roman" w:cs="Times New Roman"/>
                <w:color w:val="000000"/>
                <w:highlight w:val="none"/>
                <w:lang w:val="en-US" w:eastAsia="zh-CN"/>
              </w:rPr>
              <w:t xml:space="preserve"> 现有工程建设内容一览表</w:t>
            </w:r>
          </w:p>
          <w:tbl>
            <w:tblPr>
              <w:tblStyle w:val="2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38"/>
              <w:gridCol w:w="1852"/>
              <w:gridCol w:w="5198"/>
            </w:tblGrid>
            <w:tr w14:paraId="39FDD6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362" w:type="dxa"/>
                  <w:gridSpan w:val="2"/>
                  <w:noWrap w:val="0"/>
                  <w:vAlign w:val="center"/>
                </w:tcPr>
                <w:p w14:paraId="14FA3749">
                  <w:pPr>
                    <w:pStyle w:val="31"/>
                    <w:bidi w:val="0"/>
                    <w:jc w:val="center"/>
                    <w:rPr>
                      <w:rFonts w:hint="default" w:ascii="Times New Roman" w:hAnsi="Times New Roman" w:eastAsia="宋体" w:cs="Times New Roman"/>
                      <w:b/>
                      <w:bCs/>
                      <w:color w:val="000000"/>
                      <w:highlight w:val="none"/>
                      <w:lang w:val="en-US" w:eastAsia="zh-CN"/>
                    </w:rPr>
                  </w:pPr>
                  <w:r>
                    <w:rPr>
                      <w:rFonts w:hint="default" w:ascii="Times New Roman" w:hAnsi="Times New Roman" w:cs="Times New Roman"/>
                      <w:b/>
                      <w:bCs/>
                      <w:color w:val="000000"/>
                      <w:highlight w:val="none"/>
                      <w:lang w:val="en-US" w:eastAsia="zh-CN"/>
                    </w:rPr>
                    <w:t>建设内容</w:t>
                  </w:r>
                </w:p>
              </w:tc>
              <w:tc>
                <w:tcPr>
                  <w:tcW w:w="5880" w:type="dxa"/>
                  <w:noWrap w:val="0"/>
                  <w:vAlign w:val="center"/>
                </w:tcPr>
                <w:p w14:paraId="01F21C21">
                  <w:pPr>
                    <w:pStyle w:val="31"/>
                    <w:bidi w:val="0"/>
                    <w:jc w:val="center"/>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lang w:val="en-US" w:eastAsia="zh-CN"/>
                    </w:rPr>
                    <w:t>现有工程建设规模</w:t>
                  </w:r>
                </w:p>
              </w:tc>
            </w:tr>
            <w:tr w14:paraId="00696D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362" w:type="dxa"/>
                  <w:gridSpan w:val="2"/>
                  <w:noWrap w:val="0"/>
                  <w:vAlign w:val="center"/>
                </w:tcPr>
                <w:p w14:paraId="0797986A">
                  <w:pPr>
                    <w:pStyle w:val="31"/>
                    <w:bidi w:val="0"/>
                    <w:jc w:val="center"/>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设计年卸港量</w:t>
                  </w:r>
                </w:p>
              </w:tc>
              <w:tc>
                <w:tcPr>
                  <w:tcW w:w="5880" w:type="dxa"/>
                  <w:noWrap w:val="0"/>
                  <w:vAlign w:val="center"/>
                </w:tcPr>
                <w:p w14:paraId="49AD3BAE">
                  <w:pPr>
                    <w:pStyle w:val="31"/>
                    <w:bidi w:val="0"/>
                    <w:jc w:val="center"/>
                    <w:rPr>
                      <w:rFonts w:hint="default" w:ascii="Times New Roman" w:hAnsi="Times New Roman" w:cs="Times New Roman"/>
                      <w:color w:val="000000"/>
                      <w:highlight w:val="none"/>
                    </w:rPr>
                  </w:pPr>
                  <w:r>
                    <w:rPr>
                      <w:rFonts w:hint="default" w:ascii="Times New Roman" w:hAnsi="Times New Roman" w:cs="Times New Roman"/>
                      <w:color w:val="000000"/>
                      <w:highlight w:val="none"/>
                    </w:rPr>
                    <w:t>2.97万吨</w:t>
                  </w:r>
                </w:p>
              </w:tc>
            </w:tr>
            <w:tr w14:paraId="05C79C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62" w:type="dxa"/>
                  <w:vMerge w:val="restart"/>
                  <w:noWrap w:val="0"/>
                  <w:vAlign w:val="center"/>
                </w:tcPr>
                <w:p w14:paraId="39D75C00">
                  <w:pPr>
                    <w:pStyle w:val="31"/>
                    <w:bidi w:val="0"/>
                    <w:jc w:val="center"/>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主体工程</w:t>
                  </w:r>
                </w:p>
              </w:tc>
              <w:tc>
                <w:tcPr>
                  <w:tcW w:w="2100" w:type="dxa"/>
                  <w:noWrap w:val="0"/>
                  <w:vAlign w:val="center"/>
                </w:tcPr>
                <w:p w14:paraId="3B7EA0D9">
                  <w:pPr>
                    <w:pStyle w:val="31"/>
                    <w:bidi w:val="0"/>
                    <w:jc w:val="center"/>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顺岸码头</w:t>
                  </w:r>
                </w:p>
              </w:tc>
              <w:tc>
                <w:tcPr>
                  <w:tcW w:w="5880" w:type="dxa"/>
                  <w:noWrap w:val="0"/>
                  <w:vAlign w:val="center"/>
                </w:tcPr>
                <w:p w14:paraId="10D53E29">
                  <w:pPr>
                    <w:pStyle w:val="31"/>
                    <w:bidi w:val="0"/>
                    <w:jc w:val="center"/>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直立顺岸码头100m，码头后方设道路宽15m，设3个150HP渔船泊位，乘潮靠泊</w:t>
                  </w:r>
                </w:p>
              </w:tc>
            </w:tr>
            <w:tr w14:paraId="672573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62" w:type="dxa"/>
                  <w:vMerge w:val="continue"/>
                  <w:noWrap w:val="0"/>
                  <w:vAlign w:val="center"/>
                </w:tcPr>
                <w:p w14:paraId="02E7AF6D">
                  <w:pPr>
                    <w:pStyle w:val="31"/>
                    <w:bidi w:val="0"/>
                    <w:jc w:val="center"/>
                    <w:rPr>
                      <w:rFonts w:hint="default" w:ascii="Times New Roman" w:hAnsi="Times New Roman" w:cs="Times New Roman"/>
                      <w:color w:val="000000"/>
                      <w:highlight w:val="none"/>
                    </w:rPr>
                  </w:pPr>
                </w:p>
              </w:tc>
              <w:tc>
                <w:tcPr>
                  <w:tcW w:w="2100" w:type="dxa"/>
                  <w:noWrap w:val="0"/>
                  <w:vAlign w:val="center"/>
                </w:tcPr>
                <w:p w14:paraId="557B102E">
                  <w:pPr>
                    <w:pStyle w:val="31"/>
                    <w:bidi w:val="0"/>
                    <w:jc w:val="center"/>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斜坡道码头</w:t>
                  </w:r>
                </w:p>
              </w:tc>
              <w:tc>
                <w:tcPr>
                  <w:tcW w:w="5880" w:type="dxa"/>
                  <w:noWrap w:val="0"/>
                  <w:vAlign w:val="center"/>
                </w:tcPr>
                <w:p w14:paraId="1747478C">
                  <w:pPr>
                    <w:pStyle w:val="31"/>
                    <w:bidi w:val="0"/>
                    <w:jc w:val="center"/>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斜坡道长68m，设1个150HP渔船泊位，乘潮靠泊</w:t>
                  </w:r>
                </w:p>
              </w:tc>
            </w:tr>
            <w:tr w14:paraId="72305E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62" w:type="dxa"/>
                  <w:vMerge w:val="continue"/>
                  <w:noWrap w:val="0"/>
                  <w:vAlign w:val="center"/>
                </w:tcPr>
                <w:p w14:paraId="170F21D4">
                  <w:pPr>
                    <w:pStyle w:val="31"/>
                    <w:bidi w:val="0"/>
                    <w:jc w:val="center"/>
                    <w:rPr>
                      <w:rFonts w:hint="default" w:ascii="Times New Roman" w:hAnsi="Times New Roman" w:cs="Times New Roman"/>
                      <w:color w:val="000000"/>
                      <w:highlight w:val="none"/>
                    </w:rPr>
                  </w:pPr>
                </w:p>
              </w:tc>
              <w:tc>
                <w:tcPr>
                  <w:tcW w:w="2100" w:type="dxa"/>
                  <w:noWrap w:val="0"/>
                  <w:vAlign w:val="center"/>
                </w:tcPr>
                <w:p w14:paraId="1605B47C">
                  <w:pPr>
                    <w:pStyle w:val="31"/>
                    <w:bidi w:val="0"/>
                    <w:jc w:val="center"/>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护岸</w:t>
                  </w:r>
                </w:p>
              </w:tc>
              <w:tc>
                <w:tcPr>
                  <w:tcW w:w="5880" w:type="dxa"/>
                  <w:noWrap w:val="0"/>
                  <w:vAlign w:val="center"/>
                </w:tcPr>
                <w:p w14:paraId="5D9F7B60">
                  <w:pPr>
                    <w:pStyle w:val="31"/>
                    <w:bidi w:val="0"/>
                    <w:jc w:val="center"/>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西护岸117m，东护岸40m，合计157m</w:t>
                  </w:r>
                </w:p>
              </w:tc>
            </w:tr>
            <w:tr w14:paraId="624C91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62" w:type="dxa"/>
                  <w:vMerge w:val="continue"/>
                  <w:noWrap w:val="0"/>
                  <w:vAlign w:val="center"/>
                </w:tcPr>
                <w:p w14:paraId="2A9681E6">
                  <w:pPr>
                    <w:pStyle w:val="31"/>
                    <w:bidi w:val="0"/>
                    <w:jc w:val="center"/>
                    <w:rPr>
                      <w:rFonts w:hint="default" w:ascii="Times New Roman" w:hAnsi="Times New Roman" w:cs="Times New Roman"/>
                      <w:color w:val="000000"/>
                      <w:highlight w:val="none"/>
                    </w:rPr>
                  </w:pPr>
                </w:p>
              </w:tc>
              <w:tc>
                <w:tcPr>
                  <w:tcW w:w="2100" w:type="dxa"/>
                  <w:noWrap w:val="0"/>
                  <w:vAlign w:val="center"/>
                </w:tcPr>
                <w:p w14:paraId="6E94130D">
                  <w:pPr>
                    <w:pStyle w:val="31"/>
                    <w:bidi w:val="0"/>
                    <w:jc w:val="center"/>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陆域形成</w:t>
                  </w:r>
                </w:p>
              </w:tc>
              <w:tc>
                <w:tcPr>
                  <w:tcW w:w="5880" w:type="dxa"/>
                  <w:noWrap w:val="0"/>
                  <w:vAlign w:val="center"/>
                </w:tcPr>
                <w:p w14:paraId="77ACFCDA">
                  <w:pPr>
                    <w:pStyle w:val="31"/>
                    <w:bidi w:val="0"/>
                    <w:jc w:val="center"/>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1.83万m</w:t>
                  </w:r>
                  <w:r>
                    <w:rPr>
                      <w:rFonts w:hint="default" w:ascii="Times New Roman" w:hAnsi="Times New Roman" w:cs="Times New Roman"/>
                      <w:color w:val="000000"/>
                      <w:highlight w:val="none"/>
                      <w:vertAlign w:val="superscript"/>
                      <w:lang w:val="en-US" w:eastAsia="zh-CN"/>
                    </w:rPr>
                    <w:t>2</w:t>
                  </w:r>
                </w:p>
              </w:tc>
            </w:tr>
            <w:tr w14:paraId="5CE841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62" w:type="dxa"/>
                  <w:vMerge w:val="continue"/>
                  <w:noWrap w:val="0"/>
                  <w:vAlign w:val="center"/>
                </w:tcPr>
                <w:p w14:paraId="77BC65EC">
                  <w:pPr>
                    <w:pStyle w:val="31"/>
                    <w:bidi w:val="0"/>
                    <w:jc w:val="center"/>
                    <w:rPr>
                      <w:rFonts w:hint="default" w:ascii="Times New Roman" w:hAnsi="Times New Roman" w:cs="Times New Roman"/>
                      <w:color w:val="000000"/>
                      <w:highlight w:val="none"/>
                    </w:rPr>
                  </w:pPr>
                </w:p>
              </w:tc>
              <w:tc>
                <w:tcPr>
                  <w:tcW w:w="2100" w:type="dxa"/>
                  <w:noWrap w:val="0"/>
                  <w:vAlign w:val="center"/>
                </w:tcPr>
                <w:p w14:paraId="2EDA17BF">
                  <w:pPr>
                    <w:pStyle w:val="31"/>
                    <w:bidi w:val="0"/>
                    <w:jc w:val="center"/>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港池</w:t>
                  </w:r>
                </w:p>
              </w:tc>
              <w:tc>
                <w:tcPr>
                  <w:tcW w:w="5880" w:type="dxa"/>
                  <w:noWrap w:val="0"/>
                  <w:vAlign w:val="center"/>
                </w:tcPr>
                <w:p w14:paraId="60BB704F">
                  <w:pPr>
                    <w:pStyle w:val="31"/>
                    <w:bidi w:val="0"/>
                    <w:jc w:val="center"/>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1.3884公顷</w:t>
                  </w:r>
                </w:p>
              </w:tc>
            </w:tr>
            <w:tr w14:paraId="0D0ABA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62" w:type="dxa"/>
                  <w:vMerge w:val="restart"/>
                  <w:noWrap w:val="0"/>
                  <w:vAlign w:val="center"/>
                </w:tcPr>
                <w:p w14:paraId="06D884A7">
                  <w:pPr>
                    <w:pStyle w:val="31"/>
                    <w:bidi w:val="0"/>
                    <w:jc w:val="center"/>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公用工程</w:t>
                  </w:r>
                </w:p>
              </w:tc>
              <w:tc>
                <w:tcPr>
                  <w:tcW w:w="2100" w:type="dxa"/>
                  <w:noWrap w:val="0"/>
                  <w:vAlign w:val="center"/>
                </w:tcPr>
                <w:p w14:paraId="660FCFFD">
                  <w:pPr>
                    <w:pStyle w:val="31"/>
                    <w:bidi w:val="0"/>
                    <w:jc w:val="center"/>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供水</w:t>
                  </w:r>
                </w:p>
              </w:tc>
              <w:tc>
                <w:tcPr>
                  <w:tcW w:w="5880" w:type="dxa"/>
                  <w:noWrap w:val="0"/>
                  <w:vAlign w:val="center"/>
                </w:tcPr>
                <w:p w14:paraId="6A39C039">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由当地供电所提供。</w:t>
                  </w:r>
                </w:p>
              </w:tc>
            </w:tr>
            <w:tr w14:paraId="75FECD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62" w:type="dxa"/>
                  <w:vMerge w:val="continue"/>
                  <w:noWrap w:val="0"/>
                  <w:vAlign w:val="center"/>
                </w:tcPr>
                <w:p w14:paraId="6D3D5CDE">
                  <w:pPr>
                    <w:pStyle w:val="31"/>
                    <w:bidi w:val="0"/>
                    <w:jc w:val="center"/>
                    <w:rPr>
                      <w:rFonts w:hint="default" w:ascii="Times New Roman" w:hAnsi="Times New Roman" w:cs="Times New Roman"/>
                      <w:color w:val="000000"/>
                      <w:highlight w:val="none"/>
                    </w:rPr>
                  </w:pPr>
                </w:p>
              </w:tc>
              <w:tc>
                <w:tcPr>
                  <w:tcW w:w="2100" w:type="dxa"/>
                  <w:noWrap w:val="0"/>
                  <w:vAlign w:val="center"/>
                </w:tcPr>
                <w:p w14:paraId="7E1BCD6F">
                  <w:pPr>
                    <w:pStyle w:val="31"/>
                    <w:bidi w:val="0"/>
                    <w:jc w:val="center"/>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供电</w:t>
                  </w:r>
                </w:p>
              </w:tc>
              <w:tc>
                <w:tcPr>
                  <w:tcW w:w="5880" w:type="dxa"/>
                  <w:noWrap w:val="0"/>
                  <w:vAlign w:val="center"/>
                </w:tcPr>
                <w:p w14:paraId="2187CC76">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由当地供水管网提供。</w:t>
                  </w:r>
                </w:p>
              </w:tc>
            </w:tr>
            <w:tr w14:paraId="0D2FBC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62" w:type="dxa"/>
                  <w:vMerge w:val="restart"/>
                  <w:noWrap w:val="0"/>
                  <w:vAlign w:val="center"/>
                </w:tcPr>
                <w:p w14:paraId="0BEE4FD7">
                  <w:pPr>
                    <w:pStyle w:val="31"/>
                    <w:bidi w:val="0"/>
                    <w:jc w:val="center"/>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环保工程</w:t>
                  </w:r>
                </w:p>
              </w:tc>
              <w:tc>
                <w:tcPr>
                  <w:tcW w:w="2100" w:type="dxa"/>
                  <w:noWrap w:val="0"/>
                  <w:vAlign w:val="center"/>
                </w:tcPr>
                <w:p w14:paraId="09E805B0">
                  <w:pPr>
                    <w:pStyle w:val="31"/>
                    <w:bidi w:val="0"/>
                    <w:jc w:val="center"/>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废水</w:t>
                  </w:r>
                </w:p>
              </w:tc>
              <w:tc>
                <w:tcPr>
                  <w:tcW w:w="5880" w:type="dxa"/>
                  <w:noWrap w:val="0"/>
                  <w:vAlign w:val="center"/>
                </w:tcPr>
                <w:p w14:paraId="15B75CA5">
                  <w:pPr>
                    <w:pStyle w:val="31"/>
                    <w:bidi w:val="0"/>
                    <w:jc w:val="center"/>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污水处理站采用“A</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lang w:val="en-US" w:eastAsia="zh-CN"/>
                    </w:rPr>
                    <w:t>O+MBR膜生化废水处理设施”进行处理，处理规模20.0t/d</w:t>
                  </w:r>
                </w:p>
              </w:tc>
            </w:tr>
            <w:tr w14:paraId="26EA02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62" w:type="dxa"/>
                  <w:vMerge w:val="continue"/>
                  <w:noWrap w:val="0"/>
                  <w:vAlign w:val="center"/>
                </w:tcPr>
                <w:p w14:paraId="30252B46">
                  <w:pPr>
                    <w:pStyle w:val="31"/>
                    <w:bidi w:val="0"/>
                    <w:jc w:val="center"/>
                    <w:rPr>
                      <w:rFonts w:hint="default" w:ascii="Times New Roman" w:hAnsi="Times New Roman" w:cs="Times New Roman"/>
                      <w:color w:val="000000"/>
                      <w:highlight w:val="none"/>
                      <w:lang w:val="en-US" w:eastAsia="zh-CN"/>
                    </w:rPr>
                  </w:pPr>
                </w:p>
              </w:tc>
              <w:tc>
                <w:tcPr>
                  <w:tcW w:w="2100" w:type="dxa"/>
                  <w:noWrap w:val="0"/>
                  <w:vAlign w:val="center"/>
                </w:tcPr>
                <w:p w14:paraId="5BF8E4D0">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废气</w:t>
                  </w:r>
                </w:p>
              </w:tc>
              <w:tc>
                <w:tcPr>
                  <w:tcW w:w="5880" w:type="dxa"/>
                  <w:noWrap w:val="0"/>
                  <w:vAlign w:val="center"/>
                </w:tcPr>
                <w:p w14:paraId="6D94B69C">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污水处理站采取加盖措施</w:t>
                  </w:r>
                </w:p>
              </w:tc>
            </w:tr>
            <w:tr w14:paraId="60788F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62" w:type="dxa"/>
                  <w:vMerge w:val="continue"/>
                  <w:noWrap w:val="0"/>
                  <w:vAlign w:val="center"/>
                </w:tcPr>
                <w:p w14:paraId="4695A92D">
                  <w:pPr>
                    <w:pStyle w:val="31"/>
                    <w:bidi w:val="0"/>
                    <w:jc w:val="center"/>
                    <w:rPr>
                      <w:rFonts w:hint="default" w:ascii="Times New Roman" w:hAnsi="Times New Roman" w:cs="Times New Roman"/>
                      <w:color w:val="000000"/>
                      <w:highlight w:val="none"/>
                      <w:lang w:val="en-US" w:eastAsia="zh-CN"/>
                    </w:rPr>
                  </w:pPr>
                </w:p>
              </w:tc>
              <w:tc>
                <w:tcPr>
                  <w:tcW w:w="2100" w:type="dxa"/>
                  <w:noWrap w:val="0"/>
                  <w:vAlign w:val="center"/>
                </w:tcPr>
                <w:p w14:paraId="2D82878B">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噪声</w:t>
                  </w:r>
                </w:p>
              </w:tc>
              <w:tc>
                <w:tcPr>
                  <w:tcW w:w="5880" w:type="dxa"/>
                  <w:noWrap w:val="0"/>
                  <w:vAlign w:val="center"/>
                </w:tcPr>
                <w:p w14:paraId="436B717D">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港区车辆限速、禁鸣</w:t>
                  </w:r>
                </w:p>
              </w:tc>
            </w:tr>
            <w:tr w14:paraId="34CC39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62" w:type="dxa"/>
                  <w:vMerge w:val="continue"/>
                  <w:noWrap w:val="0"/>
                  <w:vAlign w:val="center"/>
                </w:tcPr>
                <w:p w14:paraId="4768BB24">
                  <w:pPr>
                    <w:pStyle w:val="31"/>
                    <w:bidi w:val="0"/>
                    <w:jc w:val="center"/>
                    <w:rPr>
                      <w:rFonts w:hint="default" w:ascii="Times New Roman" w:hAnsi="Times New Roman" w:cs="Times New Roman"/>
                      <w:color w:val="000000"/>
                      <w:highlight w:val="none"/>
                    </w:rPr>
                  </w:pPr>
                </w:p>
              </w:tc>
              <w:tc>
                <w:tcPr>
                  <w:tcW w:w="2100" w:type="dxa"/>
                  <w:noWrap w:val="0"/>
                  <w:vAlign w:val="center"/>
                </w:tcPr>
                <w:p w14:paraId="66D423AC">
                  <w:pPr>
                    <w:pStyle w:val="31"/>
                    <w:bidi w:val="0"/>
                    <w:ind w:firstLine="0" w:firstLineChars="0"/>
                    <w:jc w:val="center"/>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固体废物</w:t>
                  </w:r>
                </w:p>
              </w:tc>
              <w:tc>
                <w:tcPr>
                  <w:tcW w:w="5880" w:type="dxa"/>
                  <w:noWrap w:val="0"/>
                  <w:vAlign w:val="center"/>
                </w:tcPr>
                <w:p w14:paraId="4A01762D">
                  <w:pPr>
                    <w:pStyle w:val="31"/>
                    <w:bidi w:val="0"/>
                    <w:ind w:firstLine="0" w:firstLineChars="0"/>
                    <w:jc w:val="center"/>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垃圾收集桶若干</w:t>
                  </w:r>
                </w:p>
              </w:tc>
            </w:tr>
          </w:tbl>
          <w:p w14:paraId="1406A605">
            <w:pPr>
              <w:pStyle w:val="4"/>
              <w:bidi w:val="0"/>
              <w:rPr>
                <w:rFonts w:hint="default" w:ascii="Times New Roman" w:hAnsi="Times New Roman" w:cs="Times New Roman"/>
                <w:color w:val="000000"/>
                <w:highlight w:val="none"/>
              </w:rPr>
            </w:pPr>
            <w:bookmarkStart w:id="209" w:name="_Toc1188"/>
            <w:r>
              <w:rPr>
                <w:rFonts w:hint="default" w:ascii="Times New Roman" w:hAnsi="Times New Roman" w:cs="Times New Roman"/>
                <w:color w:val="000000"/>
                <w:highlight w:val="none"/>
                <w:lang w:val="en-US" w:eastAsia="zh-CN"/>
              </w:rPr>
              <w:t>现有工程建设历史沿革</w:t>
            </w:r>
            <w:bookmarkEnd w:id="209"/>
          </w:p>
          <w:p w14:paraId="5D99BE19">
            <w:pPr>
              <w:keepNext w:val="0"/>
              <w:keepLines w:val="0"/>
              <w:pageBreakBefore w:val="0"/>
              <w:widowControl w:val="0"/>
              <w:kinsoku/>
              <w:wordWrap/>
              <w:overflowPunct/>
              <w:topLinePunct w:val="0"/>
              <w:autoSpaceDE/>
              <w:autoSpaceDN/>
              <w:bidi w:val="0"/>
              <w:ind w:firstLine="482" w:firstLineChars="200"/>
              <w:textAlignment w:val="auto"/>
              <w:rPr>
                <w:rFonts w:hint="default" w:ascii="Times New Roman" w:hAnsi="Times New Roman" w:eastAsia="宋体" w:cs="Times New Roman"/>
                <w:b/>
                <w:bCs/>
                <w:color w:val="000000"/>
                <w:highlight w:val="none"/>
                <w:lang w:val="en-US" w:eastAsia="zh-CN"/>
              </w:rPr>
            </w:pP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1</w:t>
            </w: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二级渔港环评及验收情况</w:t>
            </w:r>
          </w:p>
          <w:p w14:paraId="714E7200">
            <w:pPr>
              <w:keepNext w:val="0"/>
              <w:keepLines w:val="0"/>
              <w:pageBreakBefore w:val="0"/>
              <w:widowControl w:val="0"/>
              <w:kinsoku/>
              <w:wordWrap/>
              <w:overflowPunct/>
              <w:topLinePunct w:val="0"/>
              <w:autoSpaceDE/>
              <w:autoSpaceDN/>
              <w:bidi w:val="0"/>
              <w:ind w:firstLine="480" w:firstLineChars="200"/>
              <w:textAlignment w:val="auto"/>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rPr>
              <w:t>2014年12月</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建设单位</w:t>
            </w:r>
            <w:r>
              <w:rPr>
                <w:rFonts w:hint="default" w:ascii="Times New Roman" w:hAnsi="Times New Roman" w:cs="Times New Roman"/>
                <w:color w:val="000000"/>
                <w:highlight w:val="none"/>
              </w:rPr>
              <w:t>委托厦门大学编制</w:t>
            </w:r>
            <w:r>
              <w:rPr>
                <w:rFonts w:hint="default" w:ascii="Times New Roman" w:hAnsi="Times New Roman" w:cs="Times New Roman"/>
                <w:color w:val="000000"/>
                <w:highlight w:val="none"/>
                <w:lang w:val="en-US" w:eastAsia="zh-CN"/>
              </w:rPr>
              <w:t>福清市东瀚海亮沃口二级渔港工程</w:t>
            </w:r>
            <w:r>
              <w:rPr>
                <w:rFonts w:hint="default" w:ascii="Times New Roman" w:hAnsi="Times New Roman" w:cs="Times New Roman"/>
                <w:color w:val="000000"/>
                <w:highlight w:val="none"/>
              </w:rPr>
              <w:t>的海洋环境影响报告书，并于2016年2月4日取得福州市海洋与渔业局的核准意见</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文号：榕海渔审[2016]06号</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附件19</w:t>
            </w:r>
            <w:r>
              <w:rPr>
                <w:rFonts w:hint="default" w:ascii="Times New Roman" w:hAnsi="Times New Roman" w:cs="Times New Roman"/>
                <w:color w:val="000000"/>
                <w:highlight w:val="none"/>
                <w:lang w:eastAsia="zh-CN"/>
              </w:rPr>
              <w:t>）。</w:t>
            </w:r>
          </w:p>
          <w:p w14:paraId="14C578D0">
            <w:pPr>
              <w:keepNext w:val="0"/>
              <w:keepLines w:val="0"/>
              <w:pageBreakBefore w:val="0"/>
              <w:widowControl w:val="0"/>
              <w:kinsoku/>
              <w:wordWrap/>
              <w:overflowPunct/>
              <w:topLinePunct w:val="0"/>
              <w:autoSpaceDE/>
              <w:autoSpaceDN/>
              <w:bidi w:val="0"/>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2016年5月</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建设单位委托厦门大学编制《福建省华立沃口渔港开发有限公司二级渔港工程环境影响报告表》</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并于2016年8月4日取得福清市</w:t>
            </w:r>
            <w:r>
              <w:rPr>
                <w:rFonts w:hint="eastAsia" w:cs="Times New Roman"/>
                <w:color w:val="000000"/>
                <w:highlight w:val="none"/>
                <w:lang w:eastAsia="zh-CN"/>
              </w:rPr>
              <w:t>生态环境局</w:t>
            </w:r>
            <w:r>
              <w:rPr>
                <w:rFonts w:hint="default" w:ascii="Times New Roman" w:hAnsi="Times New Roman" w:cs="Times New Roman"/>
                <w:color w:val="000000"/>
                <w:highlight w:val="none"/>
              </w:rPr>
              <w:t>批复意见</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文号：</w:t>
            </w:r>
            <w:r>
              <w:rPr>
                <w:rFonts w:hint="default" w:ascii="Times New Roman" w:hAnsi="Times New Roman" w:cs="Times New Roman"/>
                <w:color w:val="000000"/>
                <w:highlight w:val="none"/>
              </w:rPr>
              <w:t>融环评表[2016]37号</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附件20</w:t>
            </w:r>
            <w:r>
              <w:rPr>
                <w:rFonts w:hint="default" w:ascii="Times New Roman" w:hAnsi="Times New Roman" w:cs="Times New Roman"/>
                <w:color w:val="000000"/>
                <w:highlight w:val="none"/>
                <w:lang w:eastAsia="zh-CN"/>
              </w:rPr>
              <w:t>）。</w:t>
            </w:r>
          </w:p>
          <w:p w14:paraId="3DFE6650">
            <w:pPr>
              <w:keepNext w:val="0"/>
              <w:keepLines w:val="0"/>
              <w:pageBreakBefore w:val="0"/>
              <w:widowControl w:val="0"/>
              <w:kinsoku/>
              <w:wordWrap/>
              <w:overflowPunct/>
              <w:topLinePunct w:val="0"/>
              <w:autoSpaceDE/>
              <w:autoSpaceDN/>
              <w:bidi w:val="0"/>
              <w:ind w:firstLine="480" w:firstLineChars="200"/>
              <w:textAlignment w:val="auto"/>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现有二级渔港</w:t>
            </w:r>
            <w:r>
              <w:rPr>
                <w:rFonts w:hint="default" w:ascii="Times New Roman" w:hAnsi="Times New Roman" w:cs="Times New Roman"/>
                <w:color w:val="000000"/>
                <w:highlight w:val="none"/>
              </w:rPr>
              <w:t>于2016年12月开工建设，</w:t>
            </w:r>
            <w:r>
              <w:rPr>
                <w:rFonts w:hint="default" w:ascii="Times New Roman" w:hAnsi="Times New Roman" w:cs="Times New Roman"/>
                <w:color w:val="000000"/>
                <w:highlight w:val="none"/>
                <w:lang w:val="en-US" w:eastAsia="zh-CN"/>
              </w:rPr>
              <w:t>2021年7月竣工并投入使用，2022年1月13日通过了竣工环境保护验收（附件21）。现有工程环评及验收情况见</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REF _Ref17992 \h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3.14</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2</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val="en-US" w:eastAsia="zh-CN"/>
              </w:rPr>
              <w:t>。</w:t>
            </w:r>
          </w:p>
          <w:p w14:paraId="26F6A444">
            <w:pPr>
              <w:pStyle w:val="30"/>
              <w:keepNext w:val="0"/>
              <w:keepLines w:val="0"/>
              <w:pageBreakBefore w:val="0"/>
              <w:widowControl w:val="0"/>
              <w:kinsoku/>
              <w:wordWrap/>
              <w:overflowPunct/>
              <w:topLinePunct w:val="0"/>
              <w:autoSpaceDE/>
              <w:autoSpaceDN/>
              <w:bidi w:val="0"/>
              <w:ind w:firstLine="482" w:firstLineChars="200"/>
              <w:textAlignment w:val="auto"/>
              <w:rPr>
                <w:rFonts w:hint="default" w:ascii="Times New Roman" w:hAnsi="Times New Roman" w:cs="Times New Roman"/>
                <w:color w:val="000000"/>
                <w:highlight w:val="none"/>
                <w:lang w:val="en-US" w:eastAsia="zh-CN"/>
              </w:rPr>
            </w:pPr>
            <w:bookmarkStart w:id="210" w:name="_Ref17992"/>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3.14</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表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2</w:t>
            </w:r>
            <w:r>
              <w:rPr>
                <w:rFonts w:hint="default" w:ascii="Times New Roman" w:hAnsi="Times New Roman" w:cs="Times New Roman"/>
                <w:color w:val="000000"/>
                <w:highlight w:val="none"/>
              </w:rPr>
              <w:fldChar w:fldCharType="end"/>
            </w:r>
            <w:bookmarkEnd w:id="210"/>
            <w:r>
              <w:rPr>
                <w:rFonts w:hint="default" w:ascii="Times New Roman" w:hAnsi="Times New Roman" w:cs="Times New Roman"/>
                <w:color w:val="000000"/>
                <w:highlight w:val="none"/>
                <w:lang w:val="en-US" w:eastAsia="zh-CN"/>
              </w:rPr>
              <w:t xml:space="preserve"> 海亮沃口二级渔港环评及验收情况一览表</w:t>
            </w:r>
          </w:p>
          <w:tbl>
            <w:tblPr>
              <w:tblStyle w:val="2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95"/>
              <w:gridCol w:w="1013"/>
              <w:gridCol w:w="1124"/>
              <w:gridCol w:w="1273"/>
              <w:gridCol w:w="2283"/>
            </w:tblGrid>
            <w:tr w14:paraId="0FBE72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98" w:type="dxa"/>
                  <w:noWrap w:val="0"/>
                  <w:vAlign w:val="center"/>
                </w:tcPr>
                <w:p w14:paraId="4598806E">
                  <w:pPr>
                    <w:pStyle w:val="31"/>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cs="Times New Roman"/>
                      <w:b/>
                      <w:bCs/>
                      <w:color w:val="000000"/>
                      <w:highlight w:val="none"/>
                      <w:vertAlign w:val="baseline"/>
                      <w:lang w:val="en-US" w:eastAsia="zh-CN"/>
                    </w:rPr>
                  </w:pPr>
                  <w:r>
                    <w:rPr>
                      <w:rFonts w:hint="default" w:ascii="Times New Roman" w:hAnsi="Times New Roman" w:cs="Times New Roman"/>
                      <w:b/>
                      <w:bCs/>
                      <w:color w:val="000000"/>
                      <w:highlight w:val="none"/>
                      <w:vertAlign w:val="baseline"/>
                      <w:lang w:val="en-US" w:eastAsia="zh-CN"/>
                    </w:rPr>
                    <w:t>报告名称</w:t>
                  </w:r>
                </w:p>
              </w:tc>
              <w:tc>
                <w:tcPr>
                  <w:tcW w:w="1095" w:type="dxa"/>
                  <w:noWrap w:val="0"/>
                  <w:vAlign w:val="center"/>
                </w:tcPr>
                <w:p w14:paraId="661388A5">
                  <w:pPr>
                    <w:pStyle w:val="31"/>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cs="Times New Roman"/>
                      <w:b/>
                      <w:bCs/>
                      <w:color w:val="000000"/>
                      <w:highlight w:val="none"/>
                      <w:vertAlign w:val="baseline"/>
                      <w:lang w:val="en-US" w:eastAsia="zh-CN"/>
                    </w:rPr>
                  </w:pPr>
                  <w:r>
                    <w:rPr>
                      <w:rFonts w:hint="default" w:ascii="Times New Roman" w:hAnsi="Times New Roman" w:cs="Times New Roman"/>
                      <w:b/>
                      <w:bCs/>
                      <w:color w:val="000000"/>
                      <w:highlight w:val="none"/>
                      <w:vertAlign w:val="baseline"/>
                      <w:lang w:val="en-US" w:eastAsia="zh-CN"/>
                    </w:rPr>
                    <w:t>审批时间</w:t>
                  </w:r>
                </w:p>
              </w:tc>
              <w:tc>
                <w:tcPr>
                  <w:tcW w:w="1275" w:type="dxa"/>
                  <w:noWrap w:val="0"/>
                  <w:vAlign w:val="center"/>
                </w:tcPr>
                <w:p w14:paraId="5FC5E11F">
                  <w:pPr>
                    <w:pStyle w:val="31"/>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cs="Times New Roman"/>
                      <w:b/>
                      <w:bCs/>
                      <w:color w:val="000000"/>
                      <w:highlight w:val="none"/>
                      <w:vertAlign w:val="baseline"/>
                      <w:lang w:val="en-US" w:eastAsia="zh-CN"/>
                    </w:rPr>
                  </w:pPr>
                  <w:r>
                    <w:rPr>
                      <w:rFonts w:hint="default" w:ascii="Times New Roman" w:hAnsi="Times New Roman" w:cs="Times New Roman"/>
                      <w:b/>
                      <w:bCs/>
                      <w:color w:val="000000"/>
                      <w:highlight w:val="none"/>
                      <w:vertAlign w:val="baseline"/>
                      <w:lang w:val="en-US" w:eastAsia="zh-CN"/>
                    </w:rPr>
                    <w:t>批复单位</w:t>
                  </w:r>
                </w:p>
              </w:tc>
              <w:tc>
                <w:tcPr>
                  <w:tcW w:w="1335" w:type="dxa"/>
                  <w:noWrap w:val="0"/>
                  <w:vAlign w:val="center"/>
                </w:tcPr>
                <w:p w14:paraId="3BEDABD7">
                  <w:pPr>
                    <w:pStyle w:val="31"/>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cs="Times New Roman"/>
                      <w:b/>
                      <w:bCs/>
                      <w:color w:val="000000"/>
                      <w:highlight w:val="none"/>
                      <w:vertAlign w:val="baseline"/>
                      <w:lang w:val="en-US" w:eastAsia="zh-CN"/>
                    </w:rPr>
                  </w:pPr>
                  <w:r>
                    <w:rPr>
                      <w:rFonts w:hint="default" w:ascii="Times New Roman" w:hAnsi="Times New Roman" w:cs="Times New Roman"/>
                      <w:b/>
                      <w:bCs/>
                      <w:color w:val="000000"/>
                      <w:highlight w:val="none"/>
                      <w:vertAlign w:val="baseline"/>
                      <w:lang w:val="en-US" w:eastAsia="zh-CN"/>
                    </w:rPr>
                    <w:t>批复文号</w:t>
                  </w:r>
                </w:p>
              </w:tc>
              <w:tc>
                <w:tcPr>
                  <w:tcW w:w="2639" w:type="dxa"/>
                  <w:noWrap w:val="0"/>
                  <w:vAlign w:val="center"/>
                </w:tcPr>
                <w:p w14:paraId="7DF02848">
                  <w:pPr>
                    <w:pStyle w:val="31"/>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cs="Times New Roman"/>
                      <w:b/>
                      <w:bCs/>
                      <w:color w:val="000000"/>
                      <w:highlight w:val="none"/>
                      <w:vertAlign w:val="baseline"/>
                      <w:lang w:val="en-US" w:eastAsia="zh-CN"/>
                    </w:rPr>
                  </w:pPr>
                  <w:r>
                    <w:rPr>
                      <w:rFonts w:hint="default" w:ascii="Times New Roman" w:hAnsi="Times New Roman" w:cs="Times New Roman"/>
                      <w:b/>
                      <w:bCs/>
                      <w:color w:val="000000"/>
                      <w:highlight w:val="none"/>
                      <w:vertAlign w:val="baseline"/>
                      <w:lang w:val="en-US" w:eastAsia="zh-CN"/>
                    </w:rPr>
                    <w:t>验收情况</w:t>
                  </w:r>
                </w:p>
              </w:tc>
            </w:tr>
            <w:tr w14:paraId="416436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98" w:type="dxa"/>
                  <w:noWrap w:val="0"/>
                  <w:vAlign w:val="center"/>
                </w:tcPr>
                <w:p w14:paraId="1F0E1775">
                  <w:pPr>
                    <w:pStyle w:val="31"/>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《福清市东瀚海亮沃口二级渔港海洋环境影响报告书》</w:t>
                  </w:r>
                </w:p>
              </w:tc>
              <w:tc>
                <w:tcPr>
                  <w:tcW w:w="1095" w:type="dxa"/>
                  <w:noWrap w:val="0"/>
                  <w:vAlign w:val="center"/>
                </w:tcPr>
                <w:p w14:paraId="54966975">
                  <w:pPr>
                    <w:pStyle w:val="31"/>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2016年2月4日</w:t>
                  </w:r>
                </w:p>
              </w:tc>
              <w:tc>
                <w:tcPr>
                  <w:tcW w:w="1275" w:type="dxa"/>
                  <w:noWrap w:val="0"/>
                  <w:vAlign w:val="center"/>
                </w:tcPr>
                <w:p w14:paraId="730E9021">
                  <w:pPr>
                    <w:pStyle w:val="31"/>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福州市海洋与渔业局</w:t>
                  </w:r>
                </w:p>
              </w:tc>
              <w:tc>
                <w:tcPr>
                  <w:tcW w:w="1335" w:type="dxa"/>
                  <w:noWrap w:val="0"/>
                  <w:vAlign w:val="center"/>
                </w:tcPr>
                <w:p w14:paraId="2A6067F9">
                  <w:pPr>
                    <w:pStyle w:val="31"/>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榕海渔审[2016]06号</w:t>
                  </w:r>
                </w:p>
              </w:tc>
              <w:tc>
                <w:tcPr>
                  <w:tcW w:w="2639" w:type="dxa"/>
                  <w:noWrap w:val="0"/>
                  <w:vAlign w:val="center"/>
                </w:tcPr>
                <w:p w14:paraId="2FA9C4F5">
                  <w:pPr>
                    <w:pStyle w:val="31"/>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w:t>
                  </w:r>
                </w:p>
              </w:tc>
            </w:tr>
            <w:tr w14:paraId="2F0756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98" w:type="dxa"/>
                  <w:noWrap w:val="0"/>
                  <w:vAlign w:val="center"/>
                </w:tcPr>
                <w:p w14:paraId="195F8B49">
                  <w:pPr>
                    <w:pStyle w:val="31"/>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《福建省华立沃口渔港开发有限公司二级渔港工程环境影响报告表》</w:t>
                  </w:r>
                </w:p>
              </w:tc>
              <w:tc>
                <w:tcPr>
                  <w:tcW w:w="1095" w:type="dxa"/>
                  <w:noWrap w:val="0"/>
                  <w:vAlign w:val="center"/>
                </w:tcPr>
                <w:p w14:paraId="75BD3DDA">
                  <w:pPr>
                    <w:pStyle w:val="31"/>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2016年8月4日</w:t>
                  </w:r>
                </w:p>
              </w:tc>
              <w:tc>
                <w:tcPr>
                  <w:tcW w:w="1275" w:type="dxa"/>
                  <w:noWrap w:val="0"/>
                  <w:vAlign w:val="center"/>
                </w:tcPr>
                <w:p w14:paraId="7CD6E13F">
                  <w:pPr>
                    <w:pStyle w:val="31"/>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福清市</w:t>
                  </w:r>
                  <w:r>
                    <w:rPr>
                      <w:rFonts w:hint="eastAsia" w:cs="Times New Roman"/>
                      <w:color w:val="000000"/>
                      <w:highlight w:val="none"/>
                      <w:vertAlign w:val="baseline"/>
                      <w:lang w:val="en-US" w:eastAsia="zh-CN"/>
                    </w:rPr>
                    <w:t>生态环境局</w:t>
                  </w:r>
                </w:p>
              </w:tc>
              <w:tc>
                <w:tcPr>
                  <w:tcW w:w="1335" w:type="dxa"/>
                  <w:noWrap w:val="0"/>
                  <w:vAlign w:val="center"/>
                </w:tcPr>
                <w:p w14:paraId="3D34AFD7">
                  <w:pPr>
                    <w:pStyle w:val="31"/>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融环评表[2016]37号</w:t>
                  </w:r>
                </w:p>
              </w:tc>
              <w:tc>
                <w:tcPr>
                  <w:tcW w:w="2639" w:type="dxa"/>
                  <w:noWrap w:val="0"/>
                  <w:vAlign w:val="center"/>
                </w:tcPr>
                <w:p w14:paraId="58FC0636">
                  <w:pPr>
                    <w:pStyle w:val="31"/>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2022年1月通过了竣工环境保护验收，验收调查表编制单位为福建嘉合环境科技有限公司</w:t>
                  </w:r>
                </w:p>
              </w:tc>
            </w:tr>
          </w:tbl>
          <w:p w14:paraId="1E2E475C">
            <w:pPr>
              <w:keepNext w:val="0"/>
              <w:keepLines w:val="0"/>
              <w:pageBreakBefore w:val="0"/>
              <w:widowControl w:val="0"/>
              <w:kinsoku/>
              <w:wordWrap/>
              <w:overflowPunct/>
              <w:topLinePunct w:val="0"/>
              <w:autoSpaceDE/>
              <w:autoSpaceDN/>
              <w:bidi w:val="0"/>
              <w:ind w:firstLine="482" w:firstLineChars="200"/>
              <w:textAlignment w:val="auto"/>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（2）二级渔港用海情况</w:t>
            </w:r>
          </w:p>
          <w:p w14:paraId="5ADE5F77">
            <w:pPr>
              <w:keepNext w:val="0"/>
              <w:keepLines w:val="0"/>
              <w:pageBreakBefore w:val="0"/>
              <w:widowControl w:val="0"/>
              <w:kinsoku/>
              <w:wordWrap/>
              <w:overflowPunct/>
              <w:topLinePunct w:val="0"/>
              <w:autoSpaceDE/>
              <w:autoSpaceDN/>
              <w:bidi w:val="0"/>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海亮沃口二级渔港于2016年取得海域使用权证（国海证号：2016B35018105656、2016B35018105647），并于2019年3月取得不动产权证书，证书编号：闽（2019）海不动产权第0000004号、0000005号、0000006号（附件22），批准使用终止日期为2057年6月4日。确权用海面积为2.9051公顷，其中建设填海造地1.3782公顷，非透水构筑物0.1385公顷，港池1.3884公顷。</w:t>
            </w:r>
          </w:p>
          <w:p w14:paraId="617A04BE">
            <w:pPr>
              <w:keepNext w:val="0"/>
              <w:keepLines w:val="0"/>
              <w:pageBreakBefore w:val="0"/>
              <w:widowControl w:val="0"/>
              <w:kinsoku/>
              <w:wordWrap/>
              <w:overflowPunct/>
              <w:topLinePunct w:val="0"/>
              <w:autoSpaceDE/>
              <w:autoSpaceDN/>
              <w:bidi w:val="0"/>
              <w:ind w:firstLine="482" w:firstLineChars="200"/>
              <w:textAlignment w:val="auto"/>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（3）二级渔港现状情况</w:t>
            </w:r>
          </w:p>
          <w:p w14:paraId="280EB682">
            <w:pPr>
              <w:keepNext w:val="0"/>
              <w:keepLines w:val="0"/>
              <w:pageBreakBefore w:val="0"/>
              <w:widowControl w:val="0"/>
              <w:kinsoku/>
              <w:wordWrap/>
              <w:overflowPunct/>
              <w:topLinePunct w:val="0"/>
              <w:autoSpaceDE/>
              <w:autoSpaceDN/>
              <w:bidi w:val="0"/>
              <w:ind w:firstLine="480" w:firstLineChars="200"/>
              <w:textAlignment w:val="auto"/>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港区现状主要包括：码头、护岸、陆域、道路、给排水、供电照明及消防等配套设施。目前卸渔区、水产品交易区实际为海亮沃口一级渔港工程施工场地，堆放施工设备及材料，现场未实际动工建设。陆域进港道路北侧现有1座2层建筑物（为渔港建设前已有建筑），由福建省华立沃口渔港开发有限公司统一管理，作为海亮村船舶管理站和莲峰边防所海亮治安亭。海亮沃口二级渔港目前有少数渔船临时停靠，东侧简易斜坡码头兼作沃口渡口使用，运营客轮主要是沃口至草屿、沃口至北楼两个航线。简易斜坡码头北侧有1座简易厕所。</w:t>
            </w:r>
          </w:p>
          <w:p w14:paraId="55E39E9D">
            <w:pPr>
              <w:keepNext w:val="0"/>
              <w:keepLines w:val="0"/>
              <w:pageBreakBefore w:val="0"/>
              <w:widowControl w:val="0"/>
              <w:kinsoku/>
              <w:wordWrap/>
              <w:overflowPunct/>
              <w:topLinePunct w:val="0"/>
              <w:autoSpaceDE/>
              <w:autoSpaceDN/>
              <w:bidi w:val="0"/>
              <w:ind w:firstLine="480" w:firstLineChars="200"/>
              <w:textAlignment w:val="auto"/>
              <w:rPr>
                <w:rFonts w:hint="default"/>
                <w:lang w:val="en-US"/>
              </w:rPr>
            </w:pPr>
            <w:r>
              <w:rPr>
                <w:rFonts w:hint="default" w:ascii="Times New Roman" w:hAnsi="Times New Roman" w:cs="Times New Roman"/>
                <w:color w:val="000000"/>
                <w:highlight w:val="none"/>
                <w:lang w:val="en-US" w:eastAsia="zh-CN"/>
              </w:rPr>
              <w:t>海亮沃口二级渔港规划平面布置图及现状照片见</w:t>
            </w:r>
            <w:r>
              <w:rPr>
                <w:rFonts w:hint="default" w:ascii="Times New Roman" w:hAnsi="Times New Roman" w:cs="Times New Roman"/>
                <w:b w:val="0"/>
                <w:bCs w:val="0"/>
                <w:color w:val="000000"/>
                <w:highlight w:val="none"/>
                <w:lang w:val="en-US" w:eastAsia="zh-CN"/>
              </w:rPr>
              <w:fldChar w:fldCharType="begin"/>
            </w:r>
            <w:r>
              <w:rPr>
                <w:rFonts w:hint="default" w:ascii="Times New Roman" w:hAnsi="Times New Roman" w:cs="Times New Roman"/>
                <w:b w:val="0"/>
                <w:bCs w:val="0"/>
                <w:color w:val="000000"/>
                <w:highlight w:val="none"/>
                <w:lang w:val="en-US" w:eastAsia="zh-CN"/>
              </w:rPr>
              <w:instrText xml:space="preserve"> REF _Ref25973 \h </w:instrText>
            </w:r>
            <w:r>
              <w:rPr>
                <w:rFonts w:hint="default" w:ascii="Times New Roman" w:hAnsi="Times New Roman" w:cs="Times New Roman"/>
                <w:b w:val="0"/>
                <w:bCs w:val="0"/>
                <w:color w:val="000000"/>
                <w:highlight w:val="none"/>
                <w:lang w:val="en-US" w:eastAsia="zh-CN"/>
              </w:rPr>
              <w:fldChar w:fldCharType="separate"/>
            </w:r>
            <w:r>
              <w:rPr>
                <w:rFonts w:hint="default" w:ascii="Times New Roman" w:hAnsi="Times New Roman" w:eastAsia="宋体" w:cs="Times New Roman"/>
                <w:b w:val="0"/>
                <w:bCs w:val="0"/>
                <w:color w:val="000000"/>
                <w:kern w:val="2"/>
                <w:sz w:val="24"/>
                <w:szCs w:val="24"/>
                <w:highlight w:val="none"/>
                <w:lang w:val="en-US" w:eastAsia="zh-CN" w:bidi="ar-SA"/>
              </w:rPr>
              <w:t>图</w:t>
            </w:r>
            <w:r>
              <w:rPr>
                <w:rFonts w:hint="default" w:ascii="Times New Roman" w:hAnsi="Times New Roman" w:eastAsia="宋体" w:cs="Times New Roman"/>
                <w:b w:val="0"/>
                <w:bCs w:val="0"/>
                <w:color w:val="000000"/>
                <w:kern w:val="2"/>
                <w:sz w:val="24"/>
                <w:szCs w:val="24"/>
                <w:highlight w:val="none"/>
                <w:lang w:val="en-US" w:eastAsia="zh-CN" w:bidi="ar-SA"/>
              </w:rPr>
              <w:fldChar w:fldCharType="begin"/>
            </w:r>
            <w:r>
              <w:rPr>
                <w:rFonts w:hint="default" w:ascii="Times New Roman" w:hAnsi="Times New Roman" w:eastAsia="宋体" w:cs="Times New Roman"/>
                <w:b w:val="0"/>
                <w:bCs w:val="0"/>
                <w:color w:val="000000"/>
                <w:kern w:val="2"/>
                <w:sz w:val="24"/>
                <w:szCs w:val="24"/>
                <w:highlight w:val="none"/>
                <w:lang w:val="en-US" w:eastAsia="zh-CN" w:bidi="ar-SA"/>
              </w:rPr>
              <w:instrText xml:space="preserve"> STYLEREF 2 \s </w:instrText>
            </w:r>
            <w:r>
              <w:rPr>
                <w:rFonts w:hint="default" w:ascii="Times New Roman" w:hAnsi="Times New Roman" w:eastAsia="宋体" w:cs="Times New Roman"/>
                <w:b w:val="0"/>
                <w:bCs w:val="0"/>
                <w:color w:val="000000"/>
                <w:kern w:val="2"/>
                <w:sz w:val="24"/>
                <w:szCs w:val="24"/>
                <w:highlight w:val="none"/>
                <w:lang w:val="en-US" w:eastAsia="zh-CN" w:bidi="ar-SA"/>
              </w:rPr>
              <w:fldChar w:fldCharType="separate"/>
            </w:r>
            <w:r>
              <w:rPr>
                <w:rFonts w:hint="default" w:ascii="Times New Roman" w:hAnsi="Times New Roman" w:eastAsia="宋体" w:cs="Times New Roman"/>
                <w:b w:val="0"/>
                <w:bCs w:val="0"/>
                <w:color w:val="000000"/>
                <w:kern w:val="2"/>
                <w:sz w:val="24"/>
                <w:szCs w:val="24"/>
                <w:highlight w:val="none"/>
                <w:lang w:val="en-US" w:eastAsia="zh-CN" w:bidi="ar-SA"/>
              </w:rPr>
              <w:t>3.14</w:t>
            </w:r>
            <w:r>
              <w:rPr>
                <w:rFonts w:hint="default" w:ascii="Times New Roman" w:hAnsi="Times New Roman" w:eastAsia="宋体" w:cs="Times New Roman"/>
                <w:b w:val="0"/>
                <w:bCs w:val="0"/>
                <w:color w:val="000000"/>
                <w:kern w:val="2"/>
                <w:sz w:val="24"/>
                <w:szCs w:val="24"/>
                <w:highlight w:val="none"/>
                <w:lang w:val="en-US" w:eastAsia="zh-CN" w:bidi="ar-SA"/>
              </w:rPr>
              <w:fldChar w:fldCharType="end"/>
            </w:r>
            <w:r>
              <w:rPr>
                <w:rFonts w:hint="default" w:ascii="Times New Roman" w:hAnsi="Times New Roman" w:eastAsia="宋体" w:cs="Times New Roman"/>
                <w:b w:val="0"/>
                <w:bCs w:val="0"/>
                <w:color w:val="000000"/>
                <w:kern w:val="2"/>
                <w:sz w:val="24"/>
                <w:szCs w:val="24"/>
                <w:highlight w:val="none"/>
                <w:lang w:val="en-US" w:eastAsia="zh-CN" w:bidi="ar-SA"/>
              </w:rPr>
              <w:t>-1</w:t>
            </w:r>
            <w:r>
              <w:rPr>
                <w:rFonts w:hint="default" w:ascii="Times New Roman" w:hAnsi="Times New Roman" w:cs="Times New Roman"/>
                <w:b w:val="0"/>
                <w:bCs w:val="0"/>
                <w:color w:val="000000"/>
                <w:highlight w:val="none"/>
                <w:lang w:val="en-US" w:eastAsia="zh-CN"/>
              </w:rPr>
              <w:fldChar w:fldCharType="end"/>
            </w:r>
            <w:r>
              <w:rPr>
                <w:rFonts w:hint="default" w:ascii="Times New Roman" w:hAnsi="Times New Roman" w:cs="Times New Roman"/>
                <w:color w:val="000000"/>
                <w:highlight w:val="none"/>
                <w:lang w:val="en-US" w:eastAsia="zh-CN"/>
              </w:rPr>
              <w:t>、</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REF _Ref32385 \h </w:instrText>
            </w:r>
            <w:r>
              <w:rPr>
                <w:rFonts w:hint="default" w:ascii="Times New Roman" w:hAnsi="Times New Roman" w:cs="Times New Roman"/>
                <w:color w:val="000000"/>
                <w:highlight w:val="none"/>
                <w:lang w:val="en-US" w:eastAsia="zh-CN"/>
              </w:rPr>
              <w:fldChar w:fldCharType="separate"/>
            </w:r>
            <w:r>
              <w:rPr>
                <w:rFonts w:hint="default"/>
              </w:rPr>
              <w:t>图</w:t>
            </w:r>
            <w:r>
              <w:rPr>
                <w:rFonts w:hint="default"/>
              </w:rPr>
              <w:fldChar w:fldCharType="begin"/>
            </w:r>
            <w:r>
              <w:rPr>
                <w:rFonts w:hint="default"/>
              </w:rPr>
              <w:instrText xml:space="preserve"> STYLEREF 2 \s </w:instrText>
            </w:r>
            <w:r>
              <w:rPr>
                <w:rFonts w:hint="default"/>
              </w:rPr>
              <w:fldChar w:fldCharType="separate"/>
            </w:r>
            <w:r>
              <w:rPr>
                <w:rFonts w:hint="default"/>
              </w:rPr>
              <w:t>3.14</w:t>
            </w:r>
            <w:r>
              <w:rPr>
                <w:rFonts w:hint="default"/>
              </w:rPr>
              <w:fldChar w:fldCharType="end"/>
            </w:r>
            <w:r>
              <w:rPr>
                <w:rFonts w:hint="default"/>
                <w:lang w:eastAsia="zh-CN"/>
              </w:rPr>
              <w:t>-</w:t>
            </w:r>
            <w:r>
              <w:rPr>
                <w:rFonts w:hint="default"/>
              </w:rPr>
              <w:t>2</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val="en-US" w:eastAsia="zh-CN"/>
              </w:rPr>
              <w:t>。</w:t>
            </w:r>
          </w:p>
        </w:tc>
      </w:tr>
    </w:tbl>
    <w:p w14:paraId="32EB8CAC">
      <w:pPr>
        <w:bidi w:val="0"/>
        <w:rPr>
          <w:rFonts w:hint="default" w:ascii="Times New Roman" w:hAnsi="Times New Roman" w:cs="Times New Roman"/>
          <w:color w:val="000000"/>
        </w:rPr>
        <w:sectPr>
          <w:pgSz w:w="11906" w:h="16838"/>
          <w:pgMar w:top="1701" w:right="1531" w:bottom="1701" w:left="1531" w:header="851" w:footer="1077" w:gutter="0"/>
          <w:pgNumType w:fmt="decimal"/>
          <w:cols w:space="720" w:num="1"/>
          <w:docGrid w:linePitch="312" w:charSpace="0"/>
        </w:sectPr>
      </w:pPr>
    </w:p>
    <w:tbl>
      <w:tblPr>
        <w:tblStyle w:val="2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08" w:type="dxa"/>
          <w:left w:w="108" w:type="dxa"/>
          <w:bottom w:w="108" w:type="dxa"/>
          <w:right w:w="108" w:type="dxa"/>
        </w:tblCellMar>
      </w:tblPr>
      <w:tblGrid>
        <w:gridCol w:w="739"/>
        <w:gridCol w:w="12908"/>
      </w:tblGrid>
      <w:tr w14:paraId="0CBC8B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8" w:type="dxa"/>
            <w:left w:w="108" w:type="dxa"/>
            <w:bottom w:w="108" w:type="dxa"/>
            <w:right w:w="108" w:type="dxa"/>
          </w:tblCellMar>
        </w:tblPrEx>
        <w:trPr>
          <w:trHeight w:val="635" w:hRule="atLeast"/>
          <w:jc w:val="center"/>
        </w:trPr>
        <w:tc>
          <w:tcPr>
            <w:tcW w:w="743" w:type="dxa"/>
            <w:noWrap w:val="0"/>
            <w:vAlign w:val="center"/>
          </w:tcPr>
          <w:p w14:paraId="71E217F2">
            <w:pPr>
              <w:adjustRightInd w:val="0"/>
              <w:snapToGrid w:val="0"/>
              <w:spacing w:line="360" w:lineRule="auto"/>
              <w:jc w:val="center"/>
              <w:rPr>
                <w:rFonts w:hint="default" w:ascii="Times New Roman" w:hAnsi="Times New Roman" w:cs="Times New Roman"/>
                <w:color w:val="000000"/>
                <w:kern w:val="0"/>
                <w:szCs w:val="21"/>
                <w:u w:val="none"/>
              </w:rPr>
            </w:pPr>
            <w:r>
              <w:rPr>
                <w:rFonts w:hint="default" w:ascii="Times New Roman" w:hAnsi="Times New Roman" w:cs="Times New Roman"/>
                <w:bCs/>
                <w:color w:val="000000"/>
                <w:szCs w:val="21"/>
                <w:u w:val="none"/>
              </w:rPr>
              <w:t>与项目有关的原有环境污染和生态破坏问题</w:t>
            </w:r>
          </w:p>
        </w:tc>
        <w:tc>
          <w:tcPr>
            <w:tcW w:w="13066" w:type="dxa"/>
            <w:noWrap w:val="0"/>
            <w:vAlign w:val="center"/>
          </w:tcPr>
          <w:p w14:paraId="36093553">
            <w:pPr>
              <w:pStyle w:val="31"/>
              <w:bidi w:val="0"/>
              <w:rPr>
                <w:rFonts w:hint="default" w:ascii="Times New Roman" w:hAnsi="Times New Roman" w:cs="Times New Roman"/>
                <w:color w:val="000000"/>
                <w:highlight w:val="none"/>
                <w:lang w:val="en-US" w:eastAsia="zh-CN"/>
              </w:rPr>
            </w:pPr>
            <w:r>
              <w:rPr>
                <w:rFonts w:hint="eastAsia" w:cs="Times New Roman"/>
                <w:color w:val="000000"/>
                <w:highlight w:val="none"/>
                <w:lang w:val="en-US" w:eastAsia="zh-CN"/>
              </w:rPr>
              <w:t>（涉密删除）</w:t>
            </w:r>
          </w:p>
          <w:p w14:paraId="2B4CA346">
            <w:pPr>
              <w:pStyle w:val="31"/>
              <w:bidi w:val="0"/>
              <w:rPr>
                <w:rFonts w:hint="default" w:ascii="Times New Roman" w:hAnsi="Times New Roman" w:cs="Times New Roman"/>
                <w:color w:val="000000"/>
                <w:highlight w:val="none"/>
                <w:lang w:val="en-US" w:eastAsia="zh-CN"/>
              </w:rPr>
            </w:pPr>
            <w:bookmarkStart w:id="211" w:name="_Ref25973"/>
            <w:r>
              <w:rPr>
                <w:rFonts w:hint="default" w:ascii="Times New Roman" w:hAnsi="Times New Roman" w:eastAsia="宋体" w:cs="Times New Roman"/>
                <w:b/>
                <w:color w:val="000000"/>
                <w:kern w:val="2"/>
                <w:sz w:val="24"/>
                <w:szCs w:val="24"/>
                <w:highlight w:val="none"/>
                <w:lang w:val="en-US" w:eastAsia="zh-CN" w:bidi="ar-SA"/>
              </w:rPr>
              <w:t>图</w:t>
            </w:r>
            <w:r>
              <w:rPr>
                <w:rFonts w:hint="default" w:ascii="Times New Roman" w:hAnsi="Times New Roman" w:eastAsia="宋体" w:cs="Times New Roman"/>
                <w:b/>
                <w:color w:val="000000"/>
                <w:kern w:val="2"/>
                <w:sz w:val="24"/>
                <w:szCs w:val="24"/>
                <w:highlight w:val="none"/>
                <w:lang w:val="en-US" w:eastAsia="zh-CN" w:bidi="ar-SA"/>
              </w:rPr>
              <w:fldChar w:fldCharType="begin"/>
            </w:r>
            <w:r>
              <w:rPr>
                <w:rFonts w:hint="default" w:ascii="Times New Roman" w:hAnsi="Times New Roman" w:eastAsia="宋体" w:cs="Times New Roman"/>
                <w:b/>
                <w:color w:val="000000"/>
                <w:kern w:val="2"/>
                <w:sz w:val="24"/>
                <w:szCs w:val="24"/>
                <w:highlight w:val="none"/>
                <w:lang w:val="en-US" w:eastAsia="zh-CN" w:bidi="ar-SA"/>
              </w:rPr>
              <w:instrText xml:space="preserve"> STYLEREF 2 \s </w:instrText>
            </w:r>
            <w:r>
              <w:rPr>
                <w:rFonts w:hint="default" w:ascii="Times New Roman" w:hAnsi="Times New Roman" w:eastAsia="宋体" w:cs="Times New Roman"/>
                <w:b/>
                <w:color w:val="000000"/>
                <w:kern w:val="2"/>
                <w:sz w:val="24"/>
                <w:szCs w:val="24"/>
                <w:highlight w:val="none"/>
                <w:lang w:val="en-US" w:eastAsia="zh-CN" w:bidi="ar-SA"/>
              </w:rPr>
              <w:fldChar w:fldCharType="separate"/>
            </w:r>
            <w:r>
              <w:rPr>
                <w:rFonts w:hint="default" w:ascii="Times New Roman" w:hAnsi="Times New Roman" w:eastAsia="宋体" w:cs="Times New Roman"/>
                <w:b/>
                <w:color w:val="000000"/>
                <w:kern w:val="2"/>
                <w:sz w:val="24"/>
                <w:szCs w:val="24"/>
                <w:highlight w:val="none"/>
                <w:lang w:val="en-US" w:eastAsia="zh-CN" w:bidi="ar-SA"/>
              </w:rPr>
              <w:t>3.14</w:t>
            </w:r>
            <w:r>
              <w:rPr>
                <w:rFonts w:hint="default" w:ascii="Times New Roman" w:hAnsi="Times New Roman" w:eastAsia="宋体" w:cs="Times New Roman"/>
                <w:b/>
                <w:color w:val="000000"/>
                <w:kern w:val="2"/>
                <w:sz w:val="24"/>
                <w:szCs w:val="24"/>
                <w:highlight w:val="none"/>
                <w:lang w:val="en-US" w:eastAsia="zh-CN" w:bidi="ar-SA"/>
              </w:rPr>
              <w:fldChar w:fldCharType="end"/>
            </w:r>
            <w:r>
              <w:rPr>
                <w:rFonts w:hint="default" w:ascii="Times New Roman" w:hAnsi="Times New Roman" w:eastAsia="宋体" w:cs="Times New Roman"/>
                <w:b/>
                <w:color w:val="000000"/>
                <w:kern w:val="2"/>
                <w:sz w:val="24"/>
                <w:szCs w:val="24"/>
                <w:highlight w:val="none"/>
                <w:lang w:val="en-US" w:eastAsia="zh-CN" w:bidi="ar-SA"/>
              </w:rPr>
              <w:t>-</w:t>
            </w:r>
            <w:r>
              <w:rPr>
                <w:rFonts w:hint="default" w:ascii="Times New Roman" w:hAnsi="Times New Roman" w:eastAsia="宋体" w:cs="Times New Roman"/>
                <w:b/>
                <w:color w:val="000000"/>
                <w:kern w:val="2"/>
                <w:sz w:val="24"/>
                <w:szCs w:val="24"/>
                <w:highlight w:val="none"/>
                <w:lang w:val="en-US" w:eastAsia="zh-CN" w:bidi="ar-SA"/>
              </w:rPr>
              <w:fldChar w:fldCharType="begin"/>
            </w:r>
            <w:r>
              <w:rPr>
                <w:rFonts w:hint="default" w:ascii="Times New Roman" w:hAnsi="Times New Roman" w:eastAsia="宋体" w:cs="Times New Roman"/>
                <w:b/>
                <w:color w:val="000000"/>
                <w:kern w:val="2"/>
                <w:sz w:val="24"/>
                <w:szCs w:val="24"/>
                <w:highlight w:val="none"/>
                <w:lang w:val="en-US" w:eastAsia="zh-CN" w:bidi="ar-SA"/>
              </w:rPr>
              <w:instrText xml:space="preserve"> SEQ 图 \* ARABIC \s 2 </w:instrText>
            </w:r>
            <w:r>
              <w:rPr>
                <w:rFonts w:hint="default" w:ascii="Times New Roman" w:hAnsi="Times New Roman" w:eastAsia="宋体" w:cs="Times New Roman"/>
                <w:b/>
                <w:color w:val="000000"/>
                <w:kern w:val="2"/>
                <w:sz w:val="24"/>
                <w:szCs w:val="24"/>
                <w:highlight w:val="none"/>
                <w:lang w:val="en-US" w:eastAsia="zh-CN" w:bidi="ar-SA"/>
              </w:rPr>
              <w:fldChar w:fldCharType="separate"/>
            </w:r>
            <w:r>
              <w:rPr>
                <w:rFonts w:hint="default" w:ascii="Times New Roman" w:hAnsi="Times New Roman" w:eastAsia="宋体" w:cs="Times New Roman"/>
                <w:b/>
                <w:color w:val="000000"/>
                <w:kern w:val="2"/>
                <w:sz w:val="24"/>
                <w:szCs w:val="24"/>
                <w:highlight w:val="none"/>
                <w:lang w:val="en-US" w:eastAsia="zh-CN" w:bidi="ar-SA"/>
              </w:rPr>
              <w:t>1</w:t>
            </w:r>
            <w:r>
              <w:rPr>
                <w:rFonts w:hint="default" w:ascii="Times New Roman" w:hAnsi="Times New Roman" w:eastAsia="宋体" w:cs="Times New Roman"/>
                <w:b/>
                <w:color w:val="000000"/>
                <w:kern w:val="2"/>
                <w:sz w:val="24"/>
                <w:szCs w:val="24"/>
                <w:highlight w:val="none"/>
                <w:lang w:val="en-US" w:eastAsia="zh-CN" w:bidi="ar-SA"/>
              </w:rPr>
              <w:fldChar w:fldCharType="end"/>
            </w:r>
            <w:bookmarkEnd w:id="211"/>
            <w:r>
              <w:rPr>
                <w:rFonts w:hint="default" w:ascii="Times New Roman" w:hAnsi="Times New Roman" w:eastAsia="宋体" w:cs="Times New Roman"/>
                <w:b/>
                <w:color w:val="000000"/>
                <w:kern w:val="2"/>
                <w:sz w:val="24"/>
                <w:szCs w:val="24"/>
                <w:highlight w:val="none"/>
                <w:lang w:val="en-US" w:eastAsia="zh-CN" w:bidi="ar-SA"/>
              </w:rPr>
              <w:t xml:space="preserve"> 海亮沃口二级渔港平面布置图（规划图）</w:t>
            </w:r>
          </w:p>
          <w:p w14:paraId="5312281C">
            <w:pPr>
              <w:pStyle w:val="31"/>
              <w:bidi w:val="0"/>
              <w:rPr>
                <w:rFonts w:hint="default" w:ascii="Times New Roman" w:hAnsi="Times New Roman" w:cs="Times New Roman"/>
                <w:color w:val="000000"/>
                <w:highlight w:val="none"/>
              </w:rPr>
            </w:pPr>
          </w:p>
          <w:p w14:paraId="02CB236E">
            <w:pPr>
              <w:pStyle w:val="31"/>
              <w:bidi w:val="0"/>
              <w:rPr>
                <w:rFonts w:hint="default"/>
                <w:lang w:val="en-US" w:eastAsia="zh-CN"/>
              </w:rPr>
            </w:pPr>
            <w:r>
              <w:rPr>
                <w:rFonts w:hint="eastAsia"/>
                <w:lang w:val="en-US" w:eastAsia="zh-CN"/>
              </w:rPr>
              <w:t>（涉密删除）</w:t>
            </w:r>
          </w:p>
          <w:p w14:paraId="314C8A13">
            <w:pPr>
              <w:pStyle w:val="30"/>
              <w:bidi w:val="0"/>
              <w:rPr>
                <w:rFonts w:hint="default"/>
                <w:lang w:val="en-US" w:eastAsia="zh-CN"/>
              </w:rPr>
            </w:pPr>
            <w:bookmarkStart w:id="212" w:name="_Ref32385"/>
            <w:r>
              <w:rPr>
                <w:rFonts w:hint="default"/>
              </w:rPr>
              <w:t>图</w:t>
            </w:r>
            <w:r>
              <w:rPr>
                <w:rFonts w:hint="default"/>
              </w:rPr>
              <w:fldChar w:fldCharType="begin"/>
            </w:r>
            <w:r>
              <w:rPr>
                <w:rFonts w:hint="default"/>
              </w:rPr>
              <w:instrText xml:space="preserve"> STYLEREF 2 \s </w:instrText>
            </w:r>
            <w:r>
              <w:rPr>
                <w:rFonts w:hint="default"/>
              </w:rPr>
              <w:fldChar w:fldCharType="separate"/>
            </w:r>
            <w:r>
              <w:rPr>
                <w:rFonts w:hint="default"/>
              </w:rPr>
              <w:t>3.14</w:t>
            </w:r>
            <w:r>
              <w:rPr>
                <w:rFonts w:hint="default"/>
              </w:rPr>
              <w:fldChar w:fldCharType="end"/>
            </w:r>
            <w:r>
              <w:rPr>
                <w:rFonts w:hint="default"/>
                <w:lang w:eastAsia="zh-CN"/>
              </w:rPr>
              <w:t>-</w:t>
            </w:r>
            <w:r>
              <w:rPr>
                <w:rFonts w:hint="default"/>
              </w:rPr>
              <w:fldChar w:fldCharType="begin"/>
            </w:r>
            <w:r>
              <w:rPr>
                <w:rFonts w:hint="default"/>
              </w:rPr>
              <w:instrText xml:space="preserve"> SEQ 图 \* ARABIC \s 2 </w:instrText>
            </w:r>
            <w:r>
              <w:rPr>
                <w:rFonts w:hint="default"/>
              </w:rPr>
              <w:fldChar w:fldCharType="separate"/>
            </w:r>
            <w:r>
              <w:rPr>
                <w:rFonts w:hint="default"/>
              </w:rPr>
              <w:t>2</w:t>
            </w:r>
            <w:r>
              <w:rPr>
                <w:rFonts w:hint="default"/>
              </w:rPr>
              <w:fldChar w:fldCharType="end"/>
            </w:r>
            <w:bookmarkEnd w:id="212"/>
            <w:r>
              <w:rPr>
                <w:rFonts w:hint="default"/>
                <w:lang w:val="en-US" w:eastAsia="zh-CN"/>
              </w:rPr>
              <w:t xml:space="preserve"> 海亮沃口二级渔港现场照片（拍摄于2026年1月7日）</w:t>
            </w:r>
          </w:p>
          <w:p w14:paraId="0E2E3054">
            <w:pPr>
              <w:pStyle w:val="30"/>
              <w:bidi w:val="0"/>
              <w:rPr>
                <w:rFonts w:hint="default" w:ascii="Times New Roman" w:hAnsi="Times New Roman" w:cs="Times New Roman"/>
                <w:color w:val="000000"/>
                <w:highlight w:val="none"/>
                <w:lang w:val="en-US" w:eastAsia="zh-CN"/>
              </w:rPr>
            </w:pPr>
          </w:p>
        </w:tc>
      </w:tr>
    </w:tbl>
    <w:p w14:paraId="39EC73D5">
      <w:pPr>
        <w:bidi w:val="0"/>
        <w:rPr>
          <w:rFonts w:hint="default" w:ascii="Times New Roman" w:hAnsi="Times New Roman" w:cs="Times New Roman"/>
          <w:color w:val="000000"/>
        </w:rPr>
        <w:sectPr>
          <w:pgSz w:w="16838" w:h="11906" w:orient="landscape"/>
          <w:pgMar w:top="1531" w:right="1701" w:bottom="1531" w:left="1701" w:header="851" w:footer="1077" w:gutter="0"/>
          <w:pgNumType w:fmt="decimal"/>
          <w:cols w:space="720" w:num="1"/>
          <w:docGrid w:linePitch="312" w:charSpace="0"/>
        </w:sectPr>
      </w:pPr>
    </w:p>
    <w:tbl>
      <w:tblPr>
        <w:tblStyle w:val="21"/>
        <w:tblW w:w="957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8" w:type="dxa"/>
          <w:left w:w="108" w:type="dxa"/>
          <w:bottom w:w="108" w:type="dxa"/>
          <w:right w:w="108" w:type="dxa"/>
        </w:tblCellMar>
      </w:tblPr>
      <w:tblGrid>
        <w:gridCol w:w="762"/>
        <w:gridCol w:w="8814"/>
      </w:tblGrid>
      <w:tr w14:paraId="59818F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8" w:type="dxa"/>
            <w:left w:w="108" w:type="dxa"/>
            <w:bottom w:w="108" w:type="dxa"/>
            <w:right w:w="108" w:type="dxa"/>
          </w:tblCellMar>
        </w:tblPrEx>
        <w:trPr>
          <w:trHeight w:val="2337" w:hRule="atLeast"/>
          <w:jc w:val="center"/>
        </w:trPr>
        <w:tc>
          <w:tcPr>
            <w:tcW w:w="762" w:type="dxa"/>
            <w:noWrap w:val="0"/>
            <w:vAlign w:val="center"/>
          </w:tcPr>
          <w:p w14:paraId="3F40C7B0">
            <w:pPr>
              <w:adjustRightInd w:val="0"/>
              <w:snapToGrid w:val="0"/>
              <w:spacing w:line="360" w:lineRule="auto"/>
              <w:jc w:val="center"/>
              <w:rPr>
                <w:rFonts w:hint="default" w:ascii="Times New Roman" w:hAnsi="Times New Roman" w:cs="Times New Roman"/>
                <w:color w:val="000000"/>
                <w:kern w:val="0"/>
                <w:szCs w:val="21"/>
                <w:u w:val="none"/>
              </w:rPr>
            </w:pPr>
            <w:r>
              <w:rPr>
                <w:rFonts w:hint="default" w:ascii="Times New Roman" w:hAnsi="Times New Roman" w:cs="Times New Roman"/>
                <w:bCs/>
                <w:color w:val="000000"/>
                <w:szCs w:val="21"/>
                <w:u w:val="none"/>
              </w:rPr>
              <w:t>与项目有关的原有环境污染和生态破坏问题</w:t>
            </w:r>
          </w:p>
        </w:tc>
        <w:tc>
          <w:tcPr>
            <w:tcW w:w="8814" w:type="dxa"/>
            <w:noWrap w:val="0"/>
            <w:vAlign w:val="center"/>
          </w:tcPr>
          <w:p w14:paraId="2CE33D5B">
            <w:pPr>
              <w:pStyle w:val="4"/>
              <w:bidi w:val="0"/>
              <w:rPr>
                <w:rFonts w:hint="default" w:ascii="Times New Roman" w:hAnsi="Times New Roman" w:cs="Times New Roman"/>
                <w:color w:val="000000"/>
                <w:highlight w:val="none"/>
              </w:rPr>
            </w:pPr>
            <w:bookmarkStart w:id="213" w:name="_Toc18732"/>
            <w:r>
              <w:rPr>
                <w:rFonts w:hint="default" w:ascii="Times New Roman" w:hAnsi="Times New Roman" w:cs="Times New Roman"/>
                <w:color w:val="000000"/>
                <w:highlight w:val="none"/>
              </w:rPr>
              <w:t>现有工程污染物排放与环保措施落实情况</w:t>
            </w:r>
            <w:bookmarkEnd w:id="213"/>
          </w:p>
          <w:p w14:paraId="2C36ED7A">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根据</w:t>
            </w:r>
            <w:r>
              <w:rPr>
                <w:rFonts w:hint="default" w:ascii="Times New Roman" w:hAnsi="Times New Roman" w:cs="Times New Roman"/>
                <w:color w:val="000000"/>
                <w:highlight w:val="none"/>
                <w:vertAlign w:val="baseline"/>
                <w:lang w:val="en-US" w:eastAsia="zh-CN"/>
              </w:rPr>
              <w:t>福建嘉合环境科技有限公司2022年1月编制的《福建省华立沃口渔港开发有限公司二级渔港工程竣工环境保护验收调查表》，结合现场实际调查情况，现有工程各污染物排放与环保措施如下：</w:t>
            </w:r>
          </w:p>
          <w:p w14:paraId="30815276">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1</w:t>
            </w: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废水产生及排放情况</w:t>
            </w:r>
          </w:p>
          <w:p w14:paraId="16225C07">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根据竣工验收调查报告，二级渔港运营期产生的废水主要有港区冲洗废水和生活污水，产生量分别为5.75t/d和1.08t/d，港区建设一座污水处理站，生活污水与冲洗废水经过“A</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lang w:val="en-US" w:eastAsia="zh-CN"/>
              </w:rPr>
              <w:t>O+MBR膜处理”设施处理后引至海亮村进行农田灌溉。根据2021年12月14日~15日验收监测结果，污水处理设施出口各污染物平均浓度分别为：pH 6.25、悬浮物11mg/L、COD 35mg/L、BOD</w:t>
            </w:r>
            <w:r>
              <w:rPr>
                <w:rFonts w:hint="default" w:ascii="Times New Roman" w:hAnsi="Times New Roman" w:cs="Times New Roman"/>
                <w:color w:val="000000"/>
                <w:highlight w:val="none"/>
                <w:vertAlign w:val="subscript"/>
                <w:lang w:val="en-US" w:eastAsia="zh-CN"/>
              </w:rPr>
              <w:t>5</w:t>
            </w:r>
            <w:r>
              <w:rPr>
                <w:rFonts w:hint="default" w:ascii="Times New Roman" w:hAnsi="Times New Roman" w:cs="Times New Roman"/>
                <w:color w:val="000000"/>
                <w:highlight w:val="none"/>
                <w:lang w:val="en-US" w:eastAsia="zh-CN"/>
              </w:rPr>
              <w:t xml:space="preserve"> 13.8mg/L、氨氮11.5mg/L，动植物油和石油类未检出，符合《污水综合排放标准》（GB8978-1996）表4中的一级标准。</w:t>
            </w:r>
          </w:p>
          <w:p w14:paraId="18EE29DF">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海亮港区养殖渔船数为330艘</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60HP以下捕捞船</w:t>
            </w:r>
            <w:r>
              <w:rPr>
                <w:rFonts w:hint="default" w:ascii="Times New Roman" w:hAnsi="Times New Roman" w:cs="Times New Roman"/>
                <w:color w:val="000000"/>
                <w:highlight w:val="none"/>
                <w:lang w:val="en-US" w:eastAsia="zh-CN"/>
              </w:rPr>
              <w:t>570</w:t>
            </w:r>
            <w:r>
              <w:rPr>
                <w:rFonts w:hint="default" w:ascii="Times New Roman" w:hAnsi="Times New Roman" w:cs="Times New Roman"/>
                <w:color w:val="000000"/>
                <w:highlight w:val="none"/>
              </w:rPr>
              <w:t>艘</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60~200HP捕捞船4艘</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每天到港船只按总数50%计</w:t>
            </w:r>
            <w:r>
              <w:rPr>
                <w:rFonts w:hint="default" w:ascii="Times New Roman" w:hAnsi="Times New Roman" w:cs="Times New Roman"/>
                <w:color w:val="000000"/>
                <w:highlight w:val="none"/>
              </w:rPr>
              <w:t>，</w:t>
            </w:r>
            <w:r>
              <w:rPr>
                <w:rFonts w:hint="default" w:ascii="Times New Roman" w:hAnsi="Times New Roman" w:cs="Times New Roman"/>
                <w:color w:val="000000"/>
                <w:highlight w:val="none"/>
                <w:lang w:val="en-US" w:eastAsia="zh-CN"/>
              </w:rPr>
              <w:t>约有452艘渔船停靠在本港区，船员定员平均约2人，人均生活污水量按50L/d计，船舶生活污水产生量约为45.2t/d；到港渔船含油污水平均每艘20kg，据此可估算船舶含油污水产生量约为9.04t/d。到港船舶生活污水、含油污水均由船主交由有资质单位接收处理，不在港区排放，不纳入港区污染物排放量计算。</w:t>
            </w:r>
          </w:p>
          <w:p w14:paraId="1DDCFD1A">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根据现场调查，目前卸渔区、水产品交易区实际为海亮沃口一级渔港工程施工场地，堆放施工设备及材料，现场未实际动工建设。渔船不在港区维修，无机修废水产生，渔货到港后即外运，不在港区加工，无加工废水产生。现状海亮沃口二级渔港产生的废污水主要为港区生活污水、到港船舶废污水。港区生活污水来源于办公楼及简易厕所，收集后</w:t>
            </w:r>
            <w:r>
              <w:rPr>
                <w:rFonts w:hint="eastAsia" w:ascii="Times New Roman" w:hAnsi="Times New Roman" w:cs="Times New Roman"/>
                <w:color w:val="000000"/>
                <w:highlight w:val="none"/>
                <w:lang w:val="en-US" w:eastAsia="zh-CN"/>
              </w:rPr>
              <w:t>回</w:t>
            </w:r>
            <w:r>
              <w:rPr>
                <w:rFonts w:hint="default" w:ascii="Times New Roman" w:hAnsi="Times New Roman" w:cs="Times New Roman"/>
                <w:color w:val="000000"/>
                <w:highlight w:val="none"/>
                <w:lang w:val="en-US" w:eastAsia="zh-CN"/>
              </w:rPr>
              <w:t>用于海亮村的农田灌溉。</w:t>
            </w:r>
          </w:p>
          <w:p w14:paraId="31D50E56">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lang w:eastAsia="zh-CN"/>
              </w:rPr>
            </w:pP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2</w:t>
            </w: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废气产生及排放情况</w:t>
            </w:r>
          </w:p>
          <w:p w14:paraId="3C5C15DD">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根据竣工验收调查报告，二级渔港运营期产生的废气主要有渔获物及污水处理站臭气，均以无组织形式排放，港区污水处理站采取加盖措施，定期对港区进行清洁。根据2021年12月18日~19日验收监测结果，二级渔港厂界无组织废气氨最大浓度值为0.06mg/L、硫化氢最大浓度值为0.005mg/L、臭气浓度最大值为16，符合《恶臭污染物排放标准》（GB 14554-1993）中表1二级标准。</w:t>
            </w:r>
          </w:p>
          <w:p w14:paraId="791CF03C">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根据现场调查，目前二级渔港大气污染物主要为渔获物臭气、到港船舶和车辆排放的尾气，主要大气污染物为颗粒物、NH</w:t>
            </w:r>
            <w:r>
              <w:rPr>
                <w:rFonts w:hint="default" w:ascii="Times New Roman" w:hAnsi="Times New Roman" w:cs="Times New Roman"/>
                <w:color w:val="000000"/>
                <w:highlight w:val="none"/>
                <w:vertAlign w:val="subscript"/>
                <w:lang w:val="en-US" w:eastAsia="zh-CN"/>
              </w:rPr>
              <w:t>3</w:t>
            </w:r>
            <w:r>
              <w:rPr>
                <w:rFonts w:hint="default" w:ascii="Times New Roman" w:hAnsi="Times New Roman" w:cs="Times New Roman"/>
                <w:color w:val="000000"/>
                <w:highlight w:val="none"/>
                <w:lang w:val="en-US" w:eastAsia="zh-CN"/>
              </w:rPr>
              <w:t>、H</w:t>
            </w:r>
            <w:r>
              <w:rPr>
                <w:rFonts w:hint="default" w:ascii="Times New Roman" w:hAnsi="Times New Roman" w:cs="Times New Roman"/>
                <w:color w:val="000000"/>
                <w:highlight w:val="none"/>
                <w:vertAlign w:val="subscript"/>
                <w:lang w:val="en-US" w:eastAsia="zh-CN"/>
              </w:rPr>
              <w:t>2</w:t>
            </w:r>
            <w:r>
              <w:rPr>
                <w:rFonts w:hint="default" w:ascii="Times New Roman" w:hAnsi="Times New Roman" w:cs="Times New Roman"/>
                <w:color w:val="000000"/>
                <w:highlight w:val="none"/>
                <w:lang w:val="en-US" w:eastAsia="zh-CN"/>
              </w:rPr>
              <w:t>S、CO、烃类等，目前港区码头装卸后产生的渔产品废弃物较少，采取当天及时清运的处理方式</w:t>
            </w:r>
            <w:r>
              <w:rPr>
                <w:rFonts w:hint="eastAsia" w:cs="Times New Roman"/>
                <w:color w:val="000000"/>
                <w:highlight w:val="none"/>
                <w:lang w:val="en-US" w:eastAsia="zh-CN"/>
              </w:rPr>
              <w:t>且</w:t>
            </w:r>
            <w:r>
              <w:rPr>
                <w:rFonts w:hint="default" w:ascii="Times New Roman" w:hAnsi="Times New Roman" w:cs="Times New Roman"/>
                <w:color w:val="000000"/>
                <w:highlight w:val="none"/>
                <w:lang w:val="en-US" w:eastAsia="zh-CN"/>
              </w:rPr>
              <w:t>渔港位于海边，大气扩散条件较好，渔获物的装卸和运输车辆平均密度不高，其尾气污染源强也较小，对大气环境的影响较小。</w:t>
            </w:r>
          </w:p>
          <w:p w14:paraId="6B066444">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为了解现有二级渔港大气环境现状，评价单位于2026年1月7日~8日对沃口二级渔港厂界进行连续两天采样监测，监测项目为颗粒物、NH</w:t>
            </w:r>
            <w:r>
              <w:rPr>
                <w:rFonts w:hint="default" w:ascii="Times New Roman" w:hAnsi="Times New Roman" w:cs="Times New Roman"/>
                <w:color w:val="000000"/>
                <w:highlight w:val="none"/>
                <w:vertAlign w:val="subscript"/>
                <w:lang w:val="en-US" w:eastAsia="zh-CN"/>
              </w:rPr>
              <w:t>3</w:t>
            </w:r>
            <w:r>
              <w:rPr>
                <w:rFonts w:hint="default" w:ascii="Times New Roman" w:hAnsi="Times New Roman" w:cs="Times New Roman"/>
                <w:color w:val="000000"/>
                <w:highlight w:val="none"/>
                <w:lang w:val="en-US" w:eastAsia="zh-CN"/>
              </w:rPr>
              <w:t>、H</w:t>
            </w:r>
            <w:r>
              <w:rPr>
                <w:rFonts w:hint="default" w:ascii="Times New Roman" w:hAnsi="Times New Roman" w:cs="Times New Roman"/>
                <w:color w:val="000000"/>
                <w:highlight w:val="none"/>
                <w:vertAlign w:val="subscript"/>
                <w:lang w:val="en-US" w:eastAsia="zh-CN"/>
              </w:rPr>
              <w:t>2</w:t>
            </w:r>
            <w:r>
              <w:rPr>
                <w:rFonts w:hint="default" w:ascii="Times New Roman" w:hAnsi="Times New Roman" w:cs="Times New Roman"/>
                <w:color w:val="000000"/>
                <w:highlight w:val="none"/>
                <w:lang w:val="en-US" w:eastAsia="zh-CN"/>
              </w:rPr>
              <w:t>S，监测点位见</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REF _Ref20946 \h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rPr>
              <w:t>图</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3.14</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3</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val="en-US" w:eastAsia="zh-CN"/>
              </w:rPr>
              <w:t>，监测结果见</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REF _Ref20851 \h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3.14</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3</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val="en-US" w:eastAsia="zh-CN"/>
              </w:rPr>
              <w:t>。根据监测结果可知，沃口二级渔港厂界颗粒物无组织排放符合《大气污染物综合排放标准》（GB 16297-1996）表2中的无组织排放监控浓度限值，NH</w:t>
            </w:r>
            <w:r>
              <w:rPr>
                <w:rFonts w:hint="default" w:ascii="Times New Roman" w:hAnsi="Times New Roman" w:cs="Times New Roman"/>
                <w:color w:val="000000"/>
                <w:highlight w:val="none"/>
                <w:vertAlign w:val="subscript"/>
                <w:lang w:val="en-US" w:eastAsia="zh-CN"/>
              </w:rPr>
              <w:t>3</w:t>
            </w:r>
            <w:r>
              <w:rPr>
                <w:rFonts w:hint="default" w:ascii="Times New Roman" w:hAnsi="Times New Roman" w:cs="Times New Roman"/>
                <w:color w:val="000000"/>
                <w:highlight w:val="none"/>
                <w:lang w:val="en-US" w:eastAsia="zh-CN"/>
              </w:rPr>
              <w:t>、H</w:t>
            </w:r>
            <w:r>
              <w:rPr>
                <w:rFonts w:hint="default" w:ascii="Times New Roman" w:hAnsi="Times New Roman" w:cs="Times New Roman"/>
                <w:color w:val="000000"/>
                <w:highlight w:val="none"/>
                <w:vertAlign w:val="subscript"/>
                <w:lang w:val="en-US" w:eastAsia="zh-CN"/>
              </w:rPr>
              <w:t>2</w:t>
            </w:r>
            <w:r>
              <w:rPr>
                <w:rFonts w:hint="default" w:ascii="Times New Roman" w:hAnsi="Times New Roman" w:cs="Times New Roman"/>
                <w:color w:val="000000"/>
                <w:highlight w:val="none"/>
                <w:lang w:val="en-US" w:eastAsia="zh-CN"/>
              </w:rPr>
              <w:t>S无组织排放符合《恶臭污染物排放标准》（GB 14554-1993）中表1恶臭污染物厂界标准值中二级标准。</w:t>
            </w:r>
          </w:p>
          <w:p w14:paraId="7CB9BC89">
            <w:pPr>
              <w:pStyle w:val="30"/>
              <w:bidi w:val="0"/>
              <w:rPr>
                <w:rFonts w:hint="default" w:ascii="Times New Roman" w:hAnsi="Times New Roman" w:cs="Times New Roman"/>
                <w:color w:val="000000"/>
                <w:highlight w:val="none"/>
                <w:lang w:val="en-US" w:eastAsia="zh-CN"/>
              </w:rPr>
            </w:pPr>
            <w:bookmarkStart w:id="214" w:name="_Ref20851"/>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3.14</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表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w:t>
            </w:r>
            <w:r>
              <w:rPr>
                <w:rFonts w:hint="default" w:ascii="Times New Roman" w:hAnsi="Times New Roman" w:cs="Times New Roman"/>
                <w:color w:val="000000"/>
                <w:highlight w:val="none"/>
              </w:rPr>
              <w:fldChar w:fldCharType="end"/>
            </w:r>
            <w:bookmarkEnd w:id="214"/>
            <w:r>
              <w:rPr>
                <w:rFonts w:hint="default" w:ascii="Times New Roman" w:hAnsi="Times New Roman" w:cs="Times New Roman"/>
                <w:color w:val="000000"/>
                <w:highlight w:val="none"/>
                <w:lang w:val="en-US" w:eastAsia="zh-CN"/>
              </w:rPr>
              <w:t xml:space="preserve"> 沃口二级渔港厂界无组织废气监测结果</w:t>
            </w:r>
          </w:p>
          <w:p w14:paraId="386E099B">
            <w:pPr>
              <w:pStyle w:val="31"/>
              <w:bidi w:val="0"/>
              <w:rPr>
                <w:rFonts w:hint="default" w:ascii="Times New Roman" w:hAnsi="Times New Roman" w:cs="Times New Roman"/>
                <w:color w:val="000000"/>
                <w:highlight w:val="none"/>
                <w:lang w:eastAsia="zh-CN"/>
              </w:rPr>
            </w:pPr>
            <w:r>
              <w:rPr>
                <w:rFonts w:hint="eastAsia" w:cs="Times New Roman"/>
                <w:color w:val="000000"/>
                <w:highlight w:val="none"/>
                <w:lang w:eastAsia="zh-CN"/>
              </w:rPr>
              <w:t>（</w:t>
            </w:r>
            <w:r>
              <w:rPr>
                <w:rFonts w:hint="eastAsia" w:cs="Times New Roman"/>
                <w:color w:val="000000"/>
                <w:highlight w:val="none"/>
                <w:lang w:val="en-US" w:eastAsia="zh-CN"/>
              </w:rPr>
              <w:t>涉密删除</w:t>
            </w:r>
            <w:r>
              <w:rPr>
                <w:rFonts w:hint="eastAsia" w:cs="Times New Roman"/>
                <w:color w:val="000000"/>
                <w:highlight w:val="none"/>
                <w:lang w:eastAsia="zh-CN"/>
              </w:rPr>
              <w:t>）</w:t>
            </w:r>
          </w:p>
          <w:p w14:paraId="2EA34BC7">
            <w:pPr>
              <w:pStyle w:val="31"/>
              <w:bidi w:val="0"/>
              <w:rPr>
                <w:rFonts w:hint="default" w:ascii="Times New Roman" w:hAnsi="Times New Roman" w:cs="Times New Roman"/>
                <w:color w:val="000000"/>
                <w:highlight w:val="none"/>
                <w:lang w:eastAsia="zh-CN"/>
              </w:rPr>
            </w:pPr>
            <w:r>
              <w:rPr>
                <w:rFonts w:hint="eastAsia" w:cs="Times New Roman"/>
                <w:color w:val="000000"/>
                <w:highlight w:val="none"/>
                <w:lang w:eastAsia="zh-CN"/>
              </w:rPr>
              <w:t>（</w:t>
            </w:r>
            <w:r>
              <w:rPr>
                <w:rFonts w:hint="eastAsia" w:cs="Times New Roman"/>
                <w:color w:val="000000"/>
                <w:highlight w:val="none"/>
                <w:lang w:val="en-US" w:eastAsia="zh-CN"/>
              </w:rPr>
              <w:t>涉密删除</w:t>
            </w:r>
            <w:r>
              <w:rPr>
                <w:rFonts w:hint="eastAsia" w:cs="Times New Roman"/>
                <w:color w:val="000000"/>
                <w:highlight w:val="none"/>
                <w:lang w:eastAsia="zh-CN"/>
              </w:rPr>
              <w:t>）</w:t>
            </w:r>
          </w:p>
          <w:p w14:paraId="14B6D8D0">
            <w:pPr>
              <w:pStyle w:val="30"/>
              <w:bidi w:val="0"/>
              <w:rPr>
                <w:rFonts w:hint="default" w:ascii="Times New Roman" w:hAnsi="Times New Roman" w:cs="Times New Roman"/>
                <w:color w:val="000000"/>
                <w:highlight w:val="none"/>
                <w:lang w:val="en-US"/>
              </w:rPr>
            </w:pPr>
            <w:bookmarkStart w:id="215" w:name="_Ref20946"/>
            <w:r>
              <w:rPr>
                <w:rFonts w:hint="default" w:ascii="Times New Roman" w:hAnsi="Times New Roman" w:cs="Times New Roman"/>
                <w:color w:val="000000"/>
                <w:highlight w:val="none"/>
              </w:rPr>
              <w:t>图</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3.14</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图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w:t>
            </w:r>
            <w:r>
              <w:rPr>
                <w:rFonts w:hint="default" w:ascii="Times New Roman" w:hAnsi="Times New Roman" w:cs="Times New Roman"/>
                <w:color w:val="000000"/>
                <w:highlight w:val="none"/>
              </w:rPr>
              <w:fldChar w:fldCharType="end"/>
            </w:r>
            <w:bookmarkEnd w:id="215"/>
            <w:r>
              <w:rPr>
                <w:rFonts w:hint="default" w:ascii="Times New Roman" w:hAnsi="Times New Roman" w:cs="Times New Roman"/>
                <w:color w:val="000000"/>
                <w:highlight w:val="none"/>
                <w:lang w:val="en-US" w:eastAsia="zh-CN"/>
              </w:rPr>
              <w:t xml:space="preserve"> 沃口二级渔港现状监测点位示意图</w:t>
            </w:r>
          </w:p>
          <w:p w14:paraId="297D9BA9">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eastAsia="宋体" w:cs="Times New Roman"/>
                <w:b/>
                <w:bCs/>
                <w:color w:val="000000"/>
                <w:highlight w:val="none"/>
                <w:lang w:val="en-US" w:eastAsia="zh-CN"/>
              </w:rPr>
            </w:pP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3</w:t>
            </w: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噪声产生及排放情况</w:t>
            </w:r>
          </w:p>
          <w:p w14:paraId="13007F16">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根据竣工验收调查报告，二级渔港运营期噪声源主要为码头装卸机械噪声和交通噪声，噪声级一般为70dB（A）~75dB（A），但鸣笛时可达85dB（A），港区采取车辆限速、禁鸣措施。根据2021年12月18日~19日验收监测结果，二级渔港厂界昼间噪声最大值为53.9dB（A），夜间噪声最大值为47.6dB（A），符合《工业企业厂界环境噪声排放标准》（GB 12348-2008）中的2类标准。</w:t>
            </w:r>
          </w:p>
          <w:p w14:paraId="29634B10">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根据现场调查，目前二级渔港噪声源主要为码头装卸机械噪声和到港船舶、车辆产生的噪声，评价单位于2024年12月20日~21日、2026年1月7日~8日对厂界噪声进行监测，监测结果显示港区厂界噪声符合《工业企业厂界环境噪声排放标准》（GB 12348-2008）中的2类标准，说明现有工程产生的噪声对声环境影响较小。具体监测点位分布、监测数据见章节</w:t>
            </w:r>
            <w:r>
              <w:rPr>
                <w:rFonts w:hint="eastAsia" w:cs="Times New Roman"/>
                <w:color w:val="000000"/>
                <w:highlight w:val="none"/>
                <w:lang w:val="en-US" w:eastAsia="zh-CN"/>
              </w:rPr>
              <w:t>3.11</w:t>
            </w:r>
            <w:r>
              <w:rPr>
                <w:rFonts w:hint="default" w:ascii="Times New Roman" w:hAnsi="Times New Roman" w:cs="Times New Roman"/>
                <w:color w:val="000000"/>
                <w:highlight w:val="none"/>
                <w:lang w:val="en-US" w:eastAsia="zh-CN"/>
              </w:rPr>
              <w:t>。</w:t>
            </w:r>
          </w:p>
          <w:p w14:paraId="6490F054">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lang w:eastAsia="zh-CN"/>
              </w:rPr>
            </w:pP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4</w:t>
            </w: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固体废物产生及排放情况</w:t>
            </w:r>
          </w:p>
          <w:p w14:paraId="0D97DD1E">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根据竣工验收调查报告，二级渔港运营期产生的固体废物主要包括港区作业固废和生活垃圾。码头设有垃圾箱，收集后委托环卫部门清运处理</w:t>
            </w:r>
            <w:r>
              <w:rPr>
                <w:rFonts w:hint="default" w:ascii="Times New Roman" w:hAnsi="Times New Roman" w:cs="Times New Roman"/>
                <w:color w:val="000000"/>
                <w:highlight w:val="none"/>
                <w:lang w:eastAsia="zh-CN"/>
              </w:rPr>
              <w:t>。港区作业</w:t>
            </w:r>
            <w:r>
              <w:rPr>
                <w:rFonts w:hint="default" w:ascii="Times New Roman" w:hAnsi="Times New Roman" w:cs="Times New Roman"/>
                <w:color w:val="000000"/>
                <w:highlight w:val="none"/>
                <w:lang w:val="en-US" w:eastAsia="zh-CN"/>
              </w:rPr>
              <w:t>渔获</w:t>
            </w:r>
            <w:r>
              <w:rPr>
                <w:rFonts w:hint="default" w:ascii="Times New Roman" w:hAnsi="Times New Roman" w:cs="Times New Roman"/>
                <w:color w:val="000000"/>
                <w:highlight w:val="none"/>
                <w:lang w:eastAsia="zh-CN"/>
              </w:rPr>
              <w:t>残余物等单独收集，并委托环卫部门定期集中处置。</w:t>
            </w:r>
          </w:p>
          <w:p w14:paraId="1C7095C4">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①渔获废弃物</w:t>
            </w:r>
          </w:p>
          <w:p w14:paraId="6A1746DA">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现状渔获物到港后即外运，不在港区加工，因此渔产品废弃物产生量较小，二级渔港年鱼货卸港量2.97万吨，渔产品废弃物按日卸港量的1/1000计，渔港作业天数按225天计，则渔产品废弃物产生量约为132kg/d。渔产品废弃物尽量回收利用，不能利用的收集后由环卫部门每日清运处理，不随意丢弃。</w:t>
            </w:r>
          </w:p>
          <w:p w14:paraId="6BDE1676">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②港区生活垃圾</w:t>
            </w:r>
          </w:p>
          <w:p w14:paraId="29108297">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港区劳动定员3人，生活垃圾产生量按1.5kg/人·天计，则港区生活垃圾产生量为4.5kg/d，港区设置有垃圾桶，生活垃圾收集后由环卫部门统一清运处理。</w:t>
            </w:r>
          </w:p>
          <w:p w14:paraId="30F9E419">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③船舶垃圾</w:t>
            </w:r>
          </w:p>
          <w:p w14:paraId="40079664">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海亮港区养殖渔船数为330艘</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60HP以下捕捞船</w:t>
            </w:r>
            <w:r>
              <w:rPr>
                <w:rFonts w:hint="default" w:ascii="Times New Roman" w:hAnsi="Times New Roman" w:cs="Times New Roman"/>
                <w:color w:val="000000"/>
                <w:highlight w:val="none"/>
                <w:lang w:val="en-US" w:eastAsia="zh-CN"/>
              </w:rPr>
              <w:t>570</w:t>
            </w:r>
            <w:r>
              <w:rPr>
                <w:rFonts w:hint="default" w:ascii="Times New Roman" w:hAnsi="Times New Roman" w:cs="Times New Roman"/>
                <w:color w:val="000000"/>
                <w:highlight w:val="none"/>
              </w:rPr>
              <w:t>艘</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60~200HP捕捞船4艘</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每天到港船只按总数50%计</w:t>
            </w:r>
            <w:r>
              <w:rPr>
                <w:rFonts w:hint="default" w:ascii="Times New Roman" w:hAnsi="Times New Roman" w:cs="Times New Roman"/>
                <w:color w:val="000000"/>
                <w:highlight w:val="none"/>
              </w:rPr>
              <w:t>，</w:t>
            </w:r>
            <w:r>
              <w:rPr>
                <w:rFonts w:hint="default" w:ascii="Times New Roman" w:hAnsi="Times New Roman" w:cs="Times New Roman"/>
                <w:color w:val="000000"/>
                <w:highlight w:val="none"/>
                <w:lang w:val="en-US" w:eastAsia="zh-CN"/>
              </w:rPr>
              <w:t>约有452艘渔船停靠在本港区，船员定员平均约1人，船舶生活垃圾量按</w:t>
            </w:r>
            <w:r>
              <w:rPr>
                <w:rFonts w:hint="default" w:ascii="Times New Roman" w:hAnsi="Times New Roman" w:cs="Times New Roman"/>
                <w:color w:val="000000"/>
                <w:highlight w:val="none"/>
              </w:rPr>
              <w:t>1.5kg/人∙</w:t>
            </w:r>
            <w:r>
              <w:rPr>
                <w:rFonts w:hint="default" w:ascii="Times New Roman" w:hAnsi="Times New Roman" w:cs="Times New Roman"/>
                <w:color w:val="000000"/>
                <w:highlight w:val="none"/>
                <w:lang w:val="en-US" w:eastAsia="zh-CN"/>
              </w:rPr>
              <w:t>天</w:t>
            </w:r>
            <w:r>
              <w:rPr>
                <w:rFonts w:hint="default" w:ascii="Times New Roman" w:hAnsi="Times New Roman" w:cs="Times New Roman"/>
                <w:color w:val="000000"/>
                <w:highlight w:val="none"/>
              </w:rPr>
              <w:t>计算</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则船舶垃圾产生量约为678kg/d</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船舶不在港区维修，船舶产生的生活垃圾收集上岸，由环卫部门统一清运处理，船舶废油由船主收集后交由有资质的单位接收处理。</w:t>
            </w:r>
          </w:p>
          <w:p w14:paraId="46DAA7CD">
            <w:pPr>
              <w:pStyle w:val="4"/>
              <w:bidi w:val="0"/>
              <w:rPr>
                <w:rFonts w:hint="default" w:ascii="Times New Roman" w:hAnsi="Times New Roman" w:cs="Times New Roman"/>
                <w:color w:val="000000"/>
                <w:highlight w:val="none"/>
              </w:rPr>
            </w:pPr>
            <w:bookmarkStart w:id="216" w:name="_Toc25707"/>
            <w:r>
              <w:rPr>
                <w:rFonts w:hint="default" w:ascii="Times New Roman" w:hAnsi="Times New Roman" w:cs="Times New Roman"/>
                <w:color w:val="000000"/>
                <w:highlight w:val="none"/>
              </w:rPr>
              <w:t>现有二级渔港与本项目的衔接关系</w:t>
            </w:r>
            <w:bookmarkEnd w:id="216"/>
          </w:p>
          <w:p w14:paraId="777BBC65">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考虑到在东瀚镇已建和规划的二、三级渔港可供部分小型渔船装卸，本次一级渔港港区主要缺乏的是大马力渔船全天候靠泊的泊位和避风的区域。一级渔港建成后，基本可以满足辐射范围内渔船的避风、生产需求。海亮沃口二级渔港建设规模小，码头泊位和配套陆域不足，港内无法形成有效避风水域，无法满足当地的渔业生产及避风需求。本项目在海亮沃口二级渔港的基础上进行升级扩建，选址于海亮沃口二级渔港北侧，新建码头泊位310m，形成有效避风水域约39.24公顷，基本能够解决当前渔业基础设施相对薄弱的问题。</w:t>
            </w:r>
          </w:p>
          <w:p w14:paraId="4B9BEFA9">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本项目用海范围与二级渔港相邻，一级渔港与二级渔港为同一建设单位</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海亮沃口二级渔港当前已建成并投入运营，项目建设基本维持二级渔港现状，不影响二级渔港原有功能的使用，同时两者设计结合紧凑，码头区均位于港区南侧，方便统一管理，配套陆域区相接方便统一规划。项目建成后，合计形成码头长度478m，配套陆域面积25.32万m</w:t>
            </w:r>
            <w:r>
              <w:rPr>
                <w:rFonts w:hint="default" w:ascii="Times New Roman" w:hAnsi="Times New Roman" w:cs="Times New Roman"/>
                <w:color w:val="000000"/>
                <w:highlight w:val="none"/>
                <w:vertAlign w:val="superscript"/>
              </w:rPr>
              <w:t>2</w:t>
            </w:r>
            <w:r>
              <w:rPr>
                <w:rFonts w:hint="default" w:ascii="Times New Roman" w:hAnsi="Times New Roman" w:cs="Times New Roman"/>
                <w:color w:val="000000"/>
                <w:highlight w:val="none"/>
              </w:rPr>
              <w:t>，有效避风水域39.24公顷，能够满足《渔港建设标准》（DB35/T 964-2009）的要求，形成功能较齐全的综合型一级渔港，对当地渔业经济的发展及保障渔民生命财产安全具有重要的意义。</w:t>
            </w:r>
          </w:p>
          <w:p w14:paraId="0C35EF5C">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综上所述，本项目建设与海亮沃口二级渔港可衔接。</w:t>
            </w:r>
          </w:p>
          <w:p w14:paraId="61379E2D">
            <w:pPr>
              <w:pStyle w:val="31"/>
              <w:bidi w:val="0"/>
              <w:rPr>
                <w:rFonts w:hint="default" w:ascii="Times New Roman" w:hAnsi="Times New Roman" w:eastAsia="宋体" w:cs="Times New Roman"/>
                <w:color w:val="000000"/>
                <w:highlight w:val="none"/>
                <w:lang w:eastAsia="zh-CN"/>
              </w:rPr>
            </w:pPr>
            <w:r>
              <w:rPr>
                <w:rFonts w:hint="eastAsia" w:cs="Times New Roman"/>
                <w:color w:val="000000"/>
                <w:highlight w:val="none"/>
                <w:lang w:eastAsia="zh-CN"/>
              </w:rPr>
              <w:t>（</w:t>
            </w:r>
            <w:r>
              <w:rPr>
                <w:rFonts w:hint="eastAsia" w:cs="Times New Roman"/>
                <w:color w:val="000000"/>
                <w:highlight w:val="none"/>
                <w:lang w:val="en-US" w:eastAsia="zh-CN"/>
              </w:rPr>
              <w:t>涉密删除</w:t>
            </w:r>
            <w:r>
              <w:rPr>
                <w:rFonts w:hint="eastAsia" w:cs="Times New Roman"/>
                <w:color w:val="000000"/>
                <w:highlight w:val="none"/>
                <w:lang w:eastAsia="zh-CN"/>
              </w:rPr>
              <w:t>）</w:t>
            </w:r>
          </w:p>
          <w:p w14:paraId="55A299C8">
            <w:pPr>
              <w:pStyle w:val="30"/>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rPr>
              <w:t>图</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3.14</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图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val="en-US" w:eastAsia="zh-CN"/>
              </w:rPr>
              <w:t xml:space="preserve"> 本项目与沃口二级渔港叠图</w:t>
            </w:r>
          </w:p>
          <w:p w14:paraId="7A7E8C63">
            <w:pPr>
              <w:pStyle w:val="4"/>
              <w:bidi w:val="0"/>
              <w:rPr>
                <w:rFonts w:hint="default" w:ascii="Times New Roman" w:hAnsi="Times New Roman" w:cs="Times New Roman"/>
                <w:color w:val="000000"/>
                <w:highlight w:val="none"/>
              </w:rPr>
            </w:pPr>
            <w:bookmarkStart w:id="217" w:name="_Toc27038"/>
            <w:r>
              <w:rPr>
                <w:rFonts w:hint="default" w:ascii="Times New Roman" w:hAnsi="Times New Roman" w:cs="Times New Roman"/>
                <w:color w:val="000000"/>
                <w:highlight w:val="none"/>
              </w:rPr>
              <w:t>现有工程主要环保问题及整改措施</w:t>
            </w:r>
            <w:bookmarkEnd w:id="217"/>
          </w:p>
          <w:p w14:paraId="47A7E11C">
            <w:pPr>
              <w:keepNext w:val="0"/>
              <w:keepLines w:val="0"/>
              <w:pageBreakBefore w:val="0"/>
              <w:widowControl w:val="0"/>
              <w:numPr>
                <w:ilvl w:val="0"/>
                <w:numId w:val="5"/>
              </w:numPr>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根据现场调查，港区地面冲洗废水未收集，港区污水收集</w:t>
            </w:r>
            <w:r>
              <w:rPr>
                <w:rFonts w:hint="eastAsia" w:ascii="Times New Roman" w:hAnsi="Times New Roman" w:cs="Times New Roman"/>
                <w:color w:val="000000"/>
                <w:highlight w:val="none"/>
                <w:lang w:val="en-US" w:eastAsia="zh-CN"/>
              </w:rPr>
              <w:t>管网</w:t>
            </w:r>
            <w:r>
              <w:rPr>
                <w:rFonts w:hint="default" w:ascii="Times New Roman" w:hAnsi="Times New Roman" w:cs="Times New Roman"/>
                <w:color w:val="000000"/>
                <w:highlight w:val="none"/>
                <w:lang w:val="en-US" w:eastAsia="zh-CN"/>
              </w:rPr>
              <w:t>需完善，建议通过“以新带老”完善海亮沃口二级渔港冲洗废水收集措施。</w:t>
            </w:r>
          </w:p>
          <w:p w14:paraId="40B86652">
            <w:pPr>
              <w:keepNext w:val="0"/>
              <w:keepLines w:val="0"/>
              <w:pageBreakBefore w:val="0"/>
              <w:widowControl w:val="0"/>
              <w:numPr>
                <w:ilvl w:val="0"/>
                <w:numId w:val="5"/>
              </w:numPr>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u w:val="none"/>
                <w:lang w:val="en-US" w:eastAsia="zh-CN"/>
              </w:rPr>
            </w:pPr>
            <w:r>
              <w:rPr>
                <w:rFonts w:hint="default" w:ascii="Times New Roman" w:hAnsi="Times New Roman" w:cs="Times New Roman"/>
                <w:color w:val="000000"/>
                <w:highlight w:val="none"/>
                <w:lang w:val="en-US" w:eastAsia="zh-CN"/>
              </w:rPr>
              <w:t>港区现状缺少溢油应急物资，建议港区按《港口码头溢油应急设备配备要求》（JT/T451-2017），配足溢油应急物资，并通过相关人员配置和培训，提高渔港船舶溢油风险的应急能力。</w:t>
            </w:r>
          </w:p>
        </w:tc>
      </w:tr>
      <w:tr w14:paraId="29CA8C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8" w:type="dxa"/>
            <w:left w:w="108" w:type="dxa"/>
            <w:bottom w:w="108" w:type="dxa"/>
            <w:right w:w="108" w:type="dxa"/>
          </w:tblCellMar>
        </w:tblPrEx>
        <w:trPr>
          <w:trHeight w:val="2337" w:hRule="atLeast"/>
          <w:jc w:val="center"/>
        </w:trPr>
        <w:tc>
          <w:tcPr>
            <w:tcW w:w="762" w:type="dxa"/>
            <w:noWrap w:val="0"/>
            <w:vAlign w:val="center"/>
          </w:tcPr>
          <w:p w14:paraId="216DDA46">
            <w:pPr>
              <w:adjustRightInd w:val="0"/>
              <w:snapToGrid w:val="0"/>
              <w:spacing w:line="360" w:lineRule="auto"/>
              <w:jc w:val="center"/>
              <w:rPr>
                <w:rFonts w:hint="default" w:ascii="Times New Roman" w:hAnsi="Times New Roman" w:cs="Times New Roman"/>
                <w:bCs/>
                <w:color w:val="000000"/>
                <w:szCs w:val="21"/>
                <w:u w:val="none"/>
              </w:rPr>
            </w:pPr>
            <w:r>
              <w:rPr>
                <w:rFonts w:hint="default" w:ascii="Times New Roman" w:hAnsi="Times New Roman" w:cs="Times New Roman"/>
                <w:color w:val="000000"/>
                <w:kern w:val="0"/>
                <w:szCs w:val="21"/>
                <w:u w:val="none"/>
              </w:rPr>
              <w:t>生态环境保护目标</w:t>
            </w:r>
          </w:p>
        </w:tc>
        <w:tc>
          <w:tcPr>
            <w:tcW w:w="8814" w:type="dxa"/>
            <w:noWrap w:val="0"/>
            <w:vAlign w:val="center"/>
          </w:tcPr>
          <w:p w14:paraId="4E02EA10">
            <w:pPr>
              <w:pStyle w:val="3"/>
              <w:bidi w:val="0"/>
              <w:ind w:left="567" w:leftChars="0" w:hanging="567" w:firstLineChars="0"/>
              <w:rPr>
                <w:rFonts w:hint="default"/>
                <w:lang w:val="en-US" w:eastAsia="zh-CN"/>
              </w:rPr>
            </w:pPr>
            <w:bookmarkStart w:id="218" w:name="_Toc14154"/>
            <w:bookmarkStart w:id="219" w:name="_Toc27443"/>
            <w:bookmarkStart w:id="220" w:name="_Toc20204"/>
            <w:r>
              <w:rPr>
                <w:rFonts w:hint="default"/>
                <w:lang w:val="en-US" w:eastAsia="zh-CN"/>
              </w:rPr>
              <w:t>环境影响评价等级</w:t>
            </w:r>
            <w:r>
              <w:rPr>
                <w:rFonts w:hint="eastAsia"/>
                <w:lang w:val="en-US" w:eastAsia="zh-CN"/>
              </w:rPr>
              <w:t>及评价范围</w:t>
            </w:r>
            <w:bookmarkEnd w:id="218"/>
          </w:p>
          <w:p w14:paraId="7A7B5FF8">
            <w:pPr>
              <w:pStyle w:val="4"/>
              <w:bidi w:val="0"/>
              <w:rPr>
                <w:rFonts w:hint="default" w:ascii="Times New Roman" w:hAnsi="Times New Roman" w:cs="Times New Roman"/>
                <w:color w:val="000000"/>
                <w:highlight w:val="none"/>
                <w:lang w:val="en-US" w:eastAsia="zh-CN"/>
              </w:rPr>
            </w:pPr>
            <w:bookmarkStart w:id="221" w:name="_Toc28373"/>
            <w:r>
              <w:rPr>
                <w:rFonts w:hint="eastAsia" w:ascii="Times New Roman" w:hAnsi="Times New Roman" w:cs="Times New Roman"/>
                <w:color w:val="000000"/>
                <w:highlight w:val="none"/>
                <w:lang w:val="en-US" w:eastAsia="zh-CN"/>
              </w:rPr>
              <w:t>环境影响评价等级</w:t>
            </w:r>
          </w:p>
          <w:p w14:paraId="56C56D3F">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b/>
                <w:bCs/>
                <w:lang w:val="en-US" w:eastAsia="zh-CN"/>
              </w:rPr>
            </w:pPr>
            <w:r>
              <w:rPr>
                <w:rFonts w:hint="eastAsia"/>
                <w:b/>
                <w:bCs/>
                <w:lang w:val="en-US" w:eastAsia="zh-CN"/>
              </w:rPr>
              <w:t>（1）</w:t>
            </w:r>
            <w:r>
              <w:rPr>
                <w:rFonts w:hint="default"/>
                <w:b/>
                <w:bCs/>
                <w:lang w:val="en-US" w:eastAsia="zh-CN"/>
              </w:rPr>
              <w:t>海洋生态环境</w:t>
            </w:r>
            <w:bookmarkEnd w:id="221"/>
          </w:p>
          <w:p w14:paraId="5D92FDD7">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根据《环境影响评价技术导则 海洋生态环境》（GB/T 1409-2025），项目港池疏浚和基槽开挖量总共27.34万m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，开挖量小于100万m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，海洋环境评价等级为3级；项目港池用海面积为59.2411</w:t>
            </w:r>
            <w:r>
              <w:rPr>
                <w:rFonts w:hint="default" w:ascii="Times New Roman" w:hAnsi="Times New Roman" w:cs="Times New Roman"/>
                <w:color w:val="000000"/>
                <w:highlight w:val="none"/>
                <w:vertAlign w:val="baseline"/>
                <w:lang w:val="en-US" w:eastAsia="zh-CN"/>
              </w:rPr>
              <w:t>hm</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lang w:val="en-US" w:eastAsia="zh-CN"/>
              </w:rPr>
              <w:t>，面积小于100</w:t>
            </w:r>
            <w:r>
              <w:rPr>
                <w:rFonts w:hint="default" w:ascii="Times New Roman" w:hAnsi="Times New Roman" w:cs="Times New Roman"/>
                <w:color w:val="000000"/>
                <w:highlight w:val="none"/>
                <w:vertAlign w:val="baseline"/>
                <w:lang w:val="en-US" w:eastAsia="zh-CN"/>
              </w:rPr>
              <w:t>hm</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lang w:val="en-US" w:eastAsia="zh-CN"/>
              </w:rPr>
              <w:t>，海洋环境评价等级为2级；项目拟建防波堤总长1770m，长度在0.5km~2km范围内，海洋环境评价等级为2级。涉及多种影响类型的建设项目，应分别判定评价等级，取其中最高等级作为建设项目评价等级。因此确定本项目海洋环境评价等级为2级。具体判断依据见</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REF _Ref16428 \h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3.15</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1</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val="en-US" w:eastAsia="zh-CN"/>
              </w:rPr>
              <w:t>。</w:t>
            </w:r>
          </w:p>
          <w:p w14:paraId="52C6AD62">
            <w:pPr>
              <w:pStyle w:val="11"/>
              <w:rPr>
                <w:rFonts w:hint="default" w:ascii="Times New Roman" w:hAnsi="Times New Roman" w:cs="Times New Roman"/>
                <w:color w:val="000000"/>
                <w:highlight w:val="none"/>
                <w:lang w:val="en-US" w:eastAsia="zh-CN"/>
              </w:rPr>
            </w:pPr>
            <w:bookmarkStart w:id="222" w:name="_Ref16428"/>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3.15</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表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1</w:t>
            </w:r>
            <w:r>
              <w:rPr>
                <w:rFonts w:hint="default" w:ascii="Times New Roman" w:hAnsi="Times New Roman" w:cs="Times New Roman"/>
                <w:color w:val="000000"/>
                <w:highlight w:val="none"/>
              </w:rPr>
              <w:fldChar w:fldCharType="end"/>
            </w:r>
            <w:bookmarkEnd w:id="222"/>
            <w:r>
              <w:rPr>
                <w:rFonts w:hint="default" w:ascii="Times New Roman" w:hAnsi="Times New Roman" w:cs="Times New Roman"/>
                <w:color w:val="000000"/>
                <w:highlight w:val="none"/>
                <w:lang w:val="en-US" w:eastAsia="zh-CN"/>
              </w:rPr>
              <w:t xml:space="preserve"> 建设项目海洋生态环境影响评价等级判定表</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70"/>
              <w:gridCol w:w="1182"/>
              <w:gridCol w:w="1431"/>
              <w:gridCol w:w="1431"/>
              <w:gridCol w:w="1431"/>
              <w:gridCol w:w="1443"/>
            </w:tblGrid>
            <w:tr w14:paraId="21F56A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trPr>
              <w:tc>
                <w:tcPr>
                  <w:tcW w:w="1661" w:type="pct"/>
                  <w:gridSpan w:val="2"/>
                  <w:noWrap w:val="0"/>
                  <w:vAlign w:val="center"/>
                  <mc:AlternateContent>
                    <mc:Choice Requires="wpsCustomData">
                      <wpsCustomData:diagonals>
                        <wpsCustomData:diagonal from="10000" to="30000">
                          <wpsCustomData:border w:val="single" w:color="auto" w:sz="4" w:space="0"/>
                        </wpsCustomData:diagonal>
                      </wpsCustomData:diagonals>
                    </mc:Choice>
                  </mc:AlternateContent>
                </w:tcPr>
                <w:p w14:paraId="371AE6E5">
                  <w:pPr>
                    <w:pStyle w:val="31"/>
                    <w:bidi w:val="0"/>
                    <w:snapToGrid w:val="0"/>
                    <w:jc w:val="center"/>
                    <w:rPr>
                      <w:rFonts w:hint="default" w:ascii="Times New Roman" w:hAnsi="Times New Roman" w:cs="Times New Roman"/>
                      <w:b/>
                      <w:bCs/>
                      <w:color w:val="000000"/>
                      <w:highlight w:val="none"/>
                      <w:vertAlign w:val="baseline"/>
                      <w:lang w:val="en-US" w:eastAsia="zh-CN"/>
                    </w:rPr>
                  </w:pPr>
                </w:p>
                <w:p w14:paraId="00D2C0C7">
                  <w:pPr>
                    <w:pStyle w:val="31"/>
                    <w:bidi w:val="0"/>
                    <w:snapToGrid w:val="0"/>
                    <w:jc w:val="center"/>
                    <mc:AlternateContent>
                      <mc:Choice Requires="wpsCustomData">
                        <wpsCustomData:diagonalParaType/>
                      </mc:Choice>
                    </mc:AlternateContent>
                    <w:rPr>
                      <w:rFonts w:hint="default" w:ascii="Times New Roman" w:hAnsi="Times New Roman" w:cs="Times New Roman"/>
                      <w:b/>
                      <w:bCs/>
                      <w:color w:val="000000"/>
                      <w:highlight w:val="none"/>
                      <w:vertAlign w:val="baseline"/>
                      <w:lang w:val="en-US" w:eastAsia="zh-CN"/>
                    </w:rPr>
                  </w:pPr>
                  <w:r>
                    <w:rPr>
                      <w:rFonts w:hint="default" w:ascii="Times New Roman" w:hAnsi="Times New Roman" w:cs="Times New Roman"/>
                      <w:b/>
                      <w:bCs/>
                      <w:color w:val="000000"/>
                      <w:highlight w:val="none"/>
                      <w:vertAlign w:val="baseline"/>
                      <w:lang w:val="en-US" w:eastAsia="zh-CN"/>
                    </w:rPr>
                    <w:t>影响类型</w:t>
                  </w:r>
                </w:p>
                <w:p w14:paraId="07379B5D">
                  <w:pPr>
                    <w:pStyle w:val="31"/>
                    <w:bidi w:val="0"/>
                    <w:jc w:val="center"/>
                    <w:rPr>
                      <w:rFonts w:hint="default" w:ascii="Times New Roman" w:hAnsi="Times New Roman" w:cs="Times New Roman"/>
                      <w:b/>
                      <w:bCs/>
                      <w:color w:val="000000"/>
                      <w:highlight w:val="none"/>
                      <w:vertAlign w:val="baseline"/>
                      <w:lang w:val="en-US" w:eastAsia="zh-CN"/>
                    </w:rPr>
                  </w:pPr>
                  <w:r>
                    <w:rPr>
                      <w:rFonts w:hint="default" w:ascii="Times New Roman" w:hAnsi="Times New Roman" w:cs="Times New Roman"/>
                      <w:b/>
                      <w:bCs/>
                      <w:color w:val="000000"/>
                      <w:highlight w:val="none"/>
                      <w:vertAlign w:val="baseline"/>
                      <w:lang w:val="en-US" w:eastAsia="zh-CN"/>
                    </w:rPr>
                    <w:t>评价等级</w:t>
                  </w:r>
                </w:p>
              </w:tc>
              <w:tc>
                <w:tcPr>
                  <w:tcW w:w="833" w:type="pct"/>
                  <w:noWrap w:val="0"/>
                  <w:vAlign w:val="center"/>
                </w:tcPr>
                <w:p w14:paraId="209D1271">
                  <w:pPr>
                    <w:pStyle w:val="31"/>
                    <w:bidi w:val="0"/>
                    <w:jc w:val="center"/>
                    <w:rPr>
                      <w:rFonts w:hint="default" w:ascii="Times New Roman" w:hAnsi="Times New Roman" w:cs="Times New Roman"/>
                      <w:b/>
                      <w:bCs/>
                      <w:color w:val="000000"/>
                      <w:highlight w:val="none"/>
                      <w:vertAlign w:val="baseline"/>
                      <w:lang w:val="en-US" w:eastAsia="zh-CN"/>
                    </w:rPr>
                  </w:pPr>
                  <w:r>
                    <w:rPr>
                      <w:rFonts w:hint="default" w:ascii="Times New Roman" w:hAnsi="Times New Roman" w:cs="Times New Roman"/>
                      <w:b/>
                      <w:bCs/>
                      <w:color w:val="000000"/>
                      <w:highlight w:val="none"/>
                      <w:vertAlign w:val="baseline"/>
                      <w:lang w:val="en-US" w:eastAsia="zh-CN"/>
                    </w:rPr>
                    <w:t>1</w:t>
                  </w:r>
                </w:p>
              </w:tc>
              <w:tc>
                <w:tcPr>
                  <w:tcW w:w="833" w:type="pct"/>
                  <w:noWrap w:val="0"/>
                  <w:vAlign w:val="center"/>
                </w:tcPr>
                <w:p w14:paraId="13415977">
                  <w:pPr>
                    <w:pStyle w:val="31"/>
                    <w:bidi w:val="0"/>
                    <w:jc w:val="center"/>
                    <w:rPr>
                      <w:rFonts w:hint="default" w:ascii="Times New Roman" w:hAnsi="Times New Roman" w:cs="Times New Roman"/>
                      <w:b/>
                      <w:bCs/>
                      <w:color w:val="000000"/>
                      <w:highlight w:val="none"/>
                      <w:vertAlign w:val="baseline"/>
                      <w:lang w:val="en-US" w:eastAsia="zh-CN"/>
                    </w:rPr>
                  </w:pPr>
                  <w:r>
                    <w:rPr>
                      <w:rFonts w:hint="default" w:ascii="Times New Roman" w:hAnsi="Times New Roman" w:cs="Times New Roman"/>
                      <w:b/>
                      <w:bCs/>
                      <w:color w:val="000000"/>
                      <w:highlight w:val="none"/>
                      <w:vertAlign w:val="baseline"/>
                      <w:lang w:val="en-US" w:eastAsia="zh-CN"/>
                    </w:rPr>
                    <w:t>2</w:t>
                  </w:r>
                </w:p>
              </w:tc>
              <w:tc>
                <w:tcPr>
                  <w:tcW w:w="833" w:type="pct"/>
                  <w:noWrap w:val="0"/>
                  <w:vAlign w:val="center"/>
                </w:tcPr>
                <w:p w14:paraId="5A5E4395">
                  <w:pPr>
                    <w:pStyle w:val="31"/>
                    <w:bidi w:val="0"/>
                    <w:jc w:val="center"/>
                    <w:rPr>
                      <w:rFonts w:hint="default" w:ascii="Times New Roman" w:hAnsi="Times New Roman" w:cs="Times New Roman"/>
                      <w:b/>
                      <w:bCs/>
                      <w:color w:val="000000"/>
                      <w:highlight w:val="none"/>
                      <w:vertAlign w:val="baseline"/>
                      <w:lang w:val="en-US" w:eastAsia="zh-CN"/>
                    </w:rPr>
                  </w:pPr>
                  <w:r>
                    <w:rPr>
                      <w:rFonts w:hint="default" w:ascii="Times New Roman" w:hAnsi="Times New Roman" w:cs="Times New Roman"/>
                      <w:b/>
                      <w:bCs/>
                      <w:color w:val="000000"/>
                      <w:highlight w:val="none"/>
                      <w:vertAlign w:val="baseline"/>
                      <w:lang w:val="en-US" w:eastAsia="zh-CN"/>
                    </w:rPr>
                    <w:t>3</w:t>
                  </w:r>
                </w:p>
              </w:tc>
              <w:tc>
                <w:tcPr>
                  <w:tcW w:w="839" w:type="pct"/>
                  <w:noWrap w:val="0"/>
                  <w:vAlign w:val="center"/>
                </w:tcPr>
                <w:p w14:paraId="54DEEC9C">
                  <w:pPr>
                    <w:pStyle w:val="31"/>
                    <w:bidi w:val="0"/>
                    <w:jc w:val="center"/>
                    <w:rPr>
                      <w:rFonts w:hint="default" w:ascii="Times New Roman" w:hAnsi="Times New Roman" w:cs="Times New Roman"/>
                      <w:b/>
                      <w:bCs/>
                      <w:color w:val="000000"/>
                      <w:highlight w:val="none"/>
                      <w:vertAlign w:val="baseline"/>
                      <w:lang w:val="en-US" w:eastAsia="zh-CN"/>
                    </w:rPr>
                  </w:pPr>
                  <w:r>
                    <w:rPr>
                      <w:rFonts w:hint="default" w:ascii="Times New Roman" w:hAnsi="Times New Roman" w:cs="Times New Roman"/>
                      <w:b/>
                      <w:bCs/>
                      <w:color w:val="000000"/>
                      <w:highlight w:val="none"/>
                      <w:vertAlign w:val="baseline"/>
                      <w:lang w:val="en-US" w:eastAsia="zh-CN"/>
                    </w:rPr>
                    <w:t>本项目情况</w:t>
                  </w:r>
                </w:p>
              </w:tc>
            </w:tr>
            <w:tr w14:paraId="54CBAC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61" w:type="pct"/>
                  <w:gridSpan w:val="2"/>
                  <w:shd w:val="clear" w:color="auto" w:fill="auto"/>
                  <w:noWrap w:val="0"/>
                  <w:vAlign w:val="center"/>
                </w:tcPr>
                <w:p w14:paraId="65579018">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水下开挖/回填量Q（10</w:t>
                  </w:r>
                  <w:r>
                    <w:rPr>
                      <w:rFonts w:hint="default" w:ascii="Times New Roman" w:hAnsi="Times New Roman" w:cs="Times New Roman"/>
                      <w:color w:val="000000"/>
                      <w:highlight w:val="none"/>
                      <w:vertAlign w:val="superscript"/>
                      <w:lang w:val="en-US" w:eastAsia="zh-CN"/>
                    </w:rPr>
                    <w:t>4</w:t>
                  </w:r>
                  <w:r>
                    <w:rPr>
                      <w:rFonts w:hint="default" w:ascii="Times New Roman" w:hAnsi="Times New Roman" w:cs="Times New Roman"/>
                      <w:color w:val="000000"/>
                      <w:highlight w:val="none"/>
                      <w:vertAlign w:val="baseline"/>
                      <w:lang w:val="en-US" w:eastAsia="zh-CN"/>
                    </w:rPr>
                    <w:t>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vertAlign w:val="baseline"/>
                      <w:lang w:val="en-US" w:eastAsia="zh-CN"/>
                    </w:rPr>
                    <w:t>）</w:t>
                  </w:r>
                  <w:r>
                    <w:rPr>
                      <w:rFonts w:hint="default" w:ascii="Times New Roman" w:hAnsi="Times New Roman" w:cs="Times New Roman"/>
                      <w:color w:val="000000"/>
                      <w:highlight w:val="none"/>
                      <w:vertAlign w:val="superscript"/>
                      <w:lang w:val="en-US" w:eastAsia="zh-CN"/>
                    </w:rPr>
                    <w:t>a</w:t>
                  </w:r>
                </w:p>
              </w:tc>
              <w:tc>
                <w:tcPr>
                  <w:tcW w:w="833" w:type="pct"/>
                  <w:shd w:val="clear" w:color="auto" w:fill="auto"/>
                  <w:noWrap w:val="0"/>
                  <w:vAlign w:val="center"/>
                </w:tcPr>
                <w:p w14:paraId="07991798">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Q≥500</w:t>
                  </w:r>
                </w:p>
              </w:tc>
              <w:tc>
                <w:tcPr>
                  <w:tcW w:w="833" w:type="pct"/>
                  <w:shd w:val="clear" w:color="auto" w:fill="auto"/>
                  <w:noWrap w:val="0"/>
                  <w:vAlign w:val="center"/>
                </w:tcPr>
                <w:p w14:paraId="0D83D9B1">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100≤Q&lt;500</w:t>
                  </w:r>
                </w:p>
              </w:tc>
              <w:tc>
                <w:tcPr>
                  <w:tcW w:w="833" w:type="pct"/>
                  <w:shd w:val="clear" w:color="auto" w:fill="BEBEBE"/>
                  <w:noWrap w:val="0"/>
                  <w:vAlign w:val="center"/>
                </w:tcPr>
                <w:p w14:paraId="2463EEC1">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Q&lt;100</w:t>
                  </w:r>
                </w:p>
              </w:tc>
              <w:tc>
                <w:tcPr>
                  <w:tcW w:w="839" w:type="pct"/>
                  <w:noWrap w:val="0"/>
                  <w:vAlign w:val="center"/>
                </w:tcPr>
                <w:p w14:paraId="6717487E">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lang w:val="en-US" w:eastAsia="zh-CN"/>
                    </w:rPr>
                    <w:t>本项目港池疏浚和基槽开挖量总共27.34万m</w:t>
                  </w:r>
                  <w:r>
                    <w:rPr>
                      <w:rFonts w:hint="default" w:ascii="Times New Roman" w:hAnsi="Times New Roman" w:cs="Times New Roman"/>
                      <w:color w:val="000000"/>
                      <w:highlight w:val="none"/>
                      <w:vertAlign w:val="superscript"/>
                      <w:lang w:val="en-US" w:eastAsia="zh-CN"/>
                    </w:rPr>
                    <w:t>3</w:t>
                  </w:r>
                </w:p>
              </w:tc>
            </w:tr>
            <w:tr w14:paraId="23ABFB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3" w:type="pct"/>
                  <w:vMerge w:val="restart"/>
                  <w:shd w:val="clear" w:color="auto" w:fill="auto"/>
                  <w:noWrap w:val="0"/>
                  <w:vAlign w:val="center"/>
                </w:tcPr>
                <w:p w14:paraId="509F1BF6">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用海面积S（hm</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vertAlign w:val="baseline"/>
                      <w:lang w:val="en-US" w:eastAsia="zh-CN"/>
                    </w:rPr>
                    <w:t>）</w:t>
                  </w:r>
                </w:p>
              </w:tc>
              <w:tc>
                <w:tcPr>
                  <w:tcW w:w="688" w:type="pct"/>
                  <w:shd w:val="clear" w:color="auto" w:fill="auto"/>
                  <w:noWrap w:val="0"/>
                  <w:vAlign w:val="center"/>
                </w:tcPr>
                <w:p w14:paraId="4F1B6461">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围海</w:t>
                  </w:r>
                </w:p>
              </w:tc>
              <w:tc>
                <w:tcPr>
                  <w:tcW w:w="833" w:type="pct"/>
                  <w:shd w:val="clear" w:color="auto" w:fill="auto"/>
                  <w:noWrap w:val="0"/>
                  <w:vAlign w:val="center"/>
                </w:tcPr>
                <w:p w14:paraId="29307512">
                  <w:pPr>
                    <w:pStyle w:val="31"/>
                    <w:bidi w:val="0"/>
                    <w:ind w:firstLine="0" w:firstLineChars="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S≥100</w:t>
                  </w:r>
                </w:p>
              </w:tc>
              <w:tc>
                <w:tcPr>
                  <w:tcW w:w="833" w:type="pct"/>
                  <w:shd w:val="clear" w:color="auto" w:fill="BEBEBE"/>
                  <w:noWrap w:val="0"/>
                  <w:vAlign w:val="center"/>
                </w:tcPr>
                <w:p w14:paraId="49F05B91">
                  <w:pPr>
                    <w:pStyle w:val="31"/>
                    <w:bidi w:val="0"/>
                    <w:ind w:firstLine="0" w:firstLineChars="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S&lt;100</w:t>
                  </w:r>
                </w:p>
              </w:tc>
              <w:tc>
                <w:tcPr>
                  <w:tcW w:w="833" w:type="pct"/>
                  <w:noWrap w:val="0"/>
                  <w:vAlign w:val="center"/>
                </w:tcPr>
                <w:p w14:paraId="5820F944">
                  <w:pPr>
                    <w:pStyle w:val="31"/>
                    <w:bidi w:val="0"/>
                    <w:ind w:firstLine="0" w:firstLineChars="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w:t>
                  </w:r>
                </w:p>
              </w:tc>
              <w:tc>
                <w:tcPr>
                  <w:tcW w:w="839" w:type="pct"/>
                  <w:vMerge w:val="restart"/>
                  <w:noWrap w:val="0"/>
                  <w:vAlign w:val="center"/>
                </w:tcPr>
                <w:p w14:paraId="54D2F50E">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本项目港池用海</w:t>
                  </w:r>
                  <w:r>
                    <w:rPr>
                      <w:rFonts w:hint="default" w:ascii="Times New Roman" w:hAnsi="Times New Roman" w:cs="Times New Roman"/>
                      <w:color w:val="000000"/>
                      <w:highlight w:val="none"/>
                      <w:lang w:val="en-US" w:eastAsia="zh-CN"/>
                    </w:rPr>
                    <w:t>59.2411</w:t>
                  </w:r>
                  <w:r>
                    <w:rPr>
                      <w:rFonts w:hint="default" w:ascii="Times New Roman" w:hAnsi="Times New Roman" w:cs="Times New Roman"/>
                      <w:color w:val="000000"/>
                      <w:highlight w:val="none"/>
                      <w:vertAlign w:val="baseline"/>
                      <w:lang w:val="en-US" w:eastAsia="zh-CN"/>
                    </w:rPr>
                    <w:t>hm</w:t>
                  </w:r>
                  <w:r>
                    <w:rPr>
                      <w:rFonts w:hint="default" w:ascii="Times New Roman" w:hAnsi="Times New Roman" w:cs="Times New Roman"/>
                      <w:color w:val="000000"/>
                      <w:highlight w:val="none"/>
                      <w:vertAlign w:val="superscript"/>
                      <w:lang w:val="en-US" w:eastAsia="zh-CN"/>
                    </w:rPr>
                    <w:t>2</w:t>
                  </w:r>
                </w:p>
              </w:tc>
            </w:tr>
            <w:tr w14:paraId="151936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3" w:type="pct"/>
                  <w:vMerge w:val="continue"/>
                  <w:noWrap w:val="0"/>
                  <w:vAlign w:val="center"/>
                </w:tcPr>
                <w:p w14:paraId="12A129FA">
                  <w:pPr>
                    <w:pStyle w:val="31"/>
                    <w:bidi w:val="0"/>
                    <w:jc w:val="center"/>
                    <w:rPr>
                      <w:rFonts w:hint="default" w:ascii="Times New Roman" w:hAnsi="Times New Roman" w:cs="Times New Roman"/>
                      <w:color w:val="000000"/>
                      <w:highlight w:val="none"/>
                      <w:vertAlign w:val="baseline"/>
                      <w:lang w:val="en-US" w:eastAsia="zh-CN"/>
                    </w:rPr>
                  </w:pPr>
                </w:p>
              </w:tc>
              <w:tc>
                <w:tcPr>
                  <w:tcW w:w="688" w:type="pct"/>
                  <w:noWrap w:val="0"/>
                  <w:vAlign w:val="center"/>
                </w:tcPr>
                <w:p w14:paraId="248CE08F">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填海</w:t>
                  </w:r>
                </w:p>
              </w:tc>
              <w:tc>
                <w:tcPr>
                  <w:tcW w:w="833" w:type="pct"/>
                  <w:noWrap w:val="0"/>
                  <w:vAlign w:val="center"/>
                </w:tcPr>
                <w:p w14:paraId="07855CBD">
                  <w:pPr>
                    <w:pStyle w:val="31"/>
                    <w:bidi w:val="0"/>
                    <w:ind w:firstLine="0" w:firstLineChars="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S≥50</w:t>
                  </w:r>
                </w:p>
              </w:tc>
              <w:tc>
                <w:tcPr>
                  <w:tcW w:w="833" w:type="pct"/>
                  <w:noWrap w:val="0"/>
                  <w:vAlign w:val="center"/>
                </w:tcPr>
                <w:p w14:paraId="26CAC203">
                  <w:pPr>
                    <w:pStyle w:val="31"/>
                    <w:bidi w:val="0"/>
                    <w:ind w:firstLine="0" w:firstLineChars="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S&lt;50</w:t>
                  </w:r>
                </w:p>
              </w:tc>
              <w:tc>
                <w:tcPr>
                  <w:tcW w:w="833" w:type="pct"/>
                  <w:noWrap w:val="0"/>
                  <w:vAlign w:val="center"/>
                </w:tcPr>
                <w:p w14:paraId="18291C81">
                  <w:pPr>
                    <w:pStyle w:val="31"/>
                    <w:bidi w:val="0"/>
                    <w:ind w:firstLine="0" w:firstLineChars="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w:t>
                  </w:r>
                </w:p>
              </w:tc>
              <w:tc>
                <w:tcPr>
                  <w:tcW w:w="839" w:type="pct"/>
                  <w:vMerge w:val="continue"/>
                  <w:noWrap w:val="0"/>
                  <w:vAlign w:val="center"/>
                </w:tcPr>
                <w:p w14:paraId="2418B760">
                  <w:pPr>
                    <w:pStyle w:val="31"/>
                    <w:bidi w:val="0"/>
                    <w:jc w:val="center"/>
                    <w:rPr>
                      <w:rFonts w:hint="default" w:ascii="Times New Roman" w:hAnsi="Times New Roman" w:cs="Times New Roman"/>
                      <w:color w:val="000000"/>
                      <w:highlight w:val="none"/>
                      <w:vertAlign w:val="baseline"/>
                      <w:lang w:val="en-US" w:eastAsia="zh-CN"/>
                    </w:rPr>
                  </w:pPr>
                </w:p>
              </w:tc>
            </w:tr>
            <w:tr w14:paraId="745A30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3" w:type="pct"/>
                  <w:vMerge w:val="continue"/>
                  <w:noWrap w:val="0"/>
                  <w:vAlign w:val="center"/>
                </w:tcPr>
                <w:p w14:paraId="0435B0BF">
                  <w:pPr>
                    <w:pStyle w:val="31"/>
                    <w:bidi w:val="0"/>
                    <w:jc w:val="center"/>
                    <w:rPr>
                      <w:rFonts w:hint="default" w:ascii="Times New Roman" w:hAnsi="Times New Roman" w:cs="Times New Roman"/>
                      <w:color w:val="000000"/>
                      <w:highlight w:val="none"/>
                      <w:vertAlign w:val="baseline"/>
                      <w:lang w:val="en-US" w:eastAsia="zh-CN"/>
                    </w:rPr>
                  </w:pPr>
                </w:p>
              </w:tc>
              <w:tc>
                <w:tcPr>
                  <w:tcW w:w="688" w:type="pct"/>
                  <w:noWrap w:val="0"/>
                  <w:vAlign w:val="center"/>
                </w:tcPr>
                <w:p w14:paraId="6FE79D7A">
                  <w:pPr>
                    <w:pStyle w:val="31"/>
                    <w:bidi w:val="0"/>
                    <w:ind w:firstLine="0" w:firstLineChars="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其他用海</w:t>
                  </w:r>
                  <w:r>
                    <w:rPr>
                      <w:rFonts w:hint="default" w:ascii="Times New Roman" w:hAnsi="Times New Roman" w:cs="Times New Roman"/>
                      <w:color w:val="000000"/>
                      <w:highlight w:val="none"/>
                      <w:vertAlign w:val="superscript"/>
                      <w:lang w:val="en-US" w:eastAsia="zh-CN"/>
                    </w:rPr>
                    <w:t>b</w:t>
                  </w:r>
                </w:p>
              </w:tc>
              <w:tc>
                <w:tcPr>
                  <w:tcW w:w="833" w:type="pct"/>
                  <w:noWrap w:val="0"/>
                  <w:vAlign w:val="center"/>
                </w:tcPr>
                <w:p w14:paraId="3F21349F">
                  <w:pPr>
                    <w:pStyle w:val="31"/>
                    <w:bidi w:val="0"/>
                    <w:ind w:firstLine="0" w:firstLineChars="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S≥200</w:t>
                  </w:r>
                </w:p>
              </w:tc>
              <w:tc>
                <w:tcPr>
                  <w:tcW w:w="833" w:type="pct"/>
                  <w:noWrap w:val="0"/>
                  <w:vAlign w:val="center"/>
                </w:tcPr>
                <w:p w14:paraId="1E00ED25">
                  <w:pPr>
                    <w:pStyle w:val="31"/>
                    <w:bidi w:val="0"/>
                    <w:ind w:firstLine="0" w:firstLineChars="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100≤S&lt;200</w:t>
                  </w:r>
                </w:p>
              </w:tc>
              <w:tc>
                <w:tcPr>
                  <w:tcW w:w="833" w:type="pct"/>
                  <w:noWrap w:val="0"/>
                  <w:vAlign w:val="center"/>
                </w:tcPr>
                <w:p w14:paraId="2ED8EAC7">
                  <w:pPr>
                    <w:pStyle w:val="31"/>
                    <w:bidi w:val="0"/>
                    <w:ind w:firstLine="0" w:firstLineChars="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S&lt;100</w:t>
                  </w:r>
                </w:p>
              </w:tc>
              <w:tc>
                <w:tcPr>
                  <w:tcW w:w="839" w:type="pct"/>
                  <w:vMerge w:val="continue"/>
                  <w:noWrap w:val="0"/>
                  <w:vAlign w:val="center"/>
                </w:tcPr>
                <w:p w14:paraId="4C016A23">
                  <w:pPr>
                    <w:pStyle w:val="31"/>
                    <w:bidi w:val="0"/>
                    <w:jc w:val="center"/>
                    <w:rPr>
                      <w:rFonts w:hint="default" w:ascii="Times New Roman" w:hAnsi="Times New Roman" w:cs="Times New Roman"/>
                      <w:color w:val="000000"/>
                      <w:highlight w:val="none"/>
                      <w:vertAlign w:val="baseline"/>
                      <w:lang w:val="en-US" w:eastAsia="zh-CN"/>
                    </w:rPr>
                  </w:pPr>
                </w:p>
              </w:tc>
            </w:tr>
            <w:tr w14:paraId="4544A1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3" w:type="pct"/>
                  <w:vMerge w:val="restart"/>
                  <w:noWrap w:val="0"/>
                  <w:vAlign w:val="center"/>
                </w:tcPr>
                <w:p w14:paraId="1178BF75">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线性水工构筑物轴线长度L（km）</w:t>
                  </w:r>
                </w:p>
              </w:tc>
              <w:tc>
                <w:tcPr>
                  <w:tcW w:w="688" w:type="pct"/>
                  <w:noWrap w:val="0"/>
                  <w:vAlign w:val="center"/>
                </w:tcPr>
                <w:p w14:paraId="319F8044">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透水</w:t>
                  </w:r>
                </w:p>
              </w:tc>
              <w:tc>
                <w:tcPr>
                  <w:tcW w:w="833" w:type="pct"/>
                  <w:noWrap w:val="0"/>
                  <w:vAlign w:val="center"/>
                </w:tcPr>
                <w:p w14:paraId="558DFFCE">
                  <w:pPr>
                    <w:pStyle w:val="31"/>
                    <w:bidi w:val="0"/>
                    <w:ind w:firstLine="0" w:firstLineChars="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L≥5</w:t>
                  </w:r>
                </w:p>
              </w:tc>
              <w:tc>
                <w:tcPr>
                  <w:tcW w:w="833" w:type="pct"/>
                  <w:noWrap w:val="0"/>
                  <w:vAlign w:val="center"/>
                </w:tcPr>
                <w:p w14:paraId="57D27C30">
                  <w:pPr>
                    <w:pStyle w:val="31"/>
                    <w:bidi w:val="0"/>
                    <w:ind w:firstLine="0" w:firstLineChars="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1≤L&lt;5</w:t>
                  </w:r>
                </w:p>
              </w:tc>
              <w:tc>
                <w:tcPr>
                  <w:tcW w:w="833" w:type="pct"/>
                  <w:noWrap w:val="0"/>
                  <w:vAlign w:val="center"/>
                </w:tcPr>
                <w:p w14:paraId="5374796E">
                  <w:pPr>
                    <w:pStyle w:val="31"/>
                    <w:bidi w:val="0"/>
                    <w:ind w:firstLine="0" w:firstLineChars="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L＜1</w:t>
                  </w:r>
                </w:p>
              </w:tc>
              <w:tc>
                <w:tcPr>
                  <w:tcW w:w="839" w:type="pct"/>
                  <w:vMerge w:val="restart"/>
                  <w:noWrap w:val="0"/>
                  <w:vAlign w:val="center"/>
                </w:tcPr>
                <w:p w14:paraId="16AFAC29">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lang w:val="en-US" w:eastAsia="zh-CN"/>
                    </w:rPr>
                    <w:t>本项目防波堤总长1770m，用海方式为非透水构筑物</w:t>
                  </w:r>
                </w:p>
              </w:tc>
            </w:tr>
            <w:tr w14:paraId="2F6D84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3" w:type="pct"/>
                  <w:vMerge w:val="continue"/>
                  <w:shd w:val="clear" w:color="auto" w:fill="auto"/>
                  <w:noWrap w:val="0"/>
                  <w:vAlign w:val="center"/>
                </w:tcPr>
                <w:p w14:paraId="387AEBEB">
                  <w:pPr>
                    <w:pStyle w:val="31"/>
                    <w:bidi w:val="0"/>
                    <w:jc w:val="center"/>
                    <w:rPr>
                      <w:rFonts w:hint="default" w:ascii="Times New Roman" w:hAnsi="Times New Roman" w:cs="Times New Roman"/>
                      <w:color w:val="000000"/>
                      <w:highlight w:val="none"/>
                      <w:vertAlign w:val="baseline"/>
                      <w:lang w:val="en-US" w:eastAsia="zh-CN"/>
                    </w:rPr>
                  </w:pPr>
                </w:p>
              </w:tc>
              <w:tc>
                <w:tcPr>
                  <w:tcW w:w="688" w:type="pct"/>
                  <w:shd w:val="clear" w:color="auto" w:fill="auto"/>
                  <w:noWrap w:val="0"/>
                  <w:vAlign w:val="center"/>
                </w:tcPr>
                <w:p w14:paraId="7FAA02F2">
                  <w:pPr>
                    <w:pStyle w:val="31"/>
                    <w:bidi w:val="0"/>
                    <w:ind w:firstLine="0" w:firstLineChars="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非透水</w:t>
                  </w:r>
                </w:p>
              </w:tc>
              <w:tc>
                <w:tcPr>
                  <w:tcW w:w="833" w:type="pct"/>
                  <w:shd w:val="clear" w:color="auto" w:fill="auto"/>
                  <w:noWrap w:val="0"/>
                  <w:vAlign w:val="center"/>
                </w:tcPr>
                <w:p w14:paraId="3CD46759">
                  <w:pPr>
                    <w:pStyle w:val="31"/>
                    <w:bidi w:val="0"/>
                    <w:ind w:firstLine="0" w:firstLineChars="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L≥2</w:t>
                  </w:r>
                </w:p>
              </w:tc>
              <w:tc>
                <w:tcPr>
                  <w:tcW w:w="833" w:type="pct"/>
                  <w:shd w:val="clear" w:color="auto" w:fill="BEBEBE"/>
                  <w:noWrap w:val="0"/>
                  <w:vAlign w:val="center"/>
                </w:tcPr>
                <w:p w14:paraId="4BBA5073">
                  <w:pPr>
                    <w:pStyle w:val="31"/>
                    <w:bidi w:val="0"/>
                    <w:ind w:firstLine="0" w:firstLineChars="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0.5≤L&lt;2</w:t>
                  </w:r>
                </w:p>
              </w:tc>
              <w:tc>
                <w:tcPr>
                  <w:tcW w:w="833" w:type="pct"/>
                  <w:noWrap w:val="0"/>
                  <w:vAlign w:val="center"/>
                </w:tcPr>
                <w:p w14:paraId="2FC6C91B">
                  <w:pPr>
                    <w:pStyle w:val="31"/>
                    <w:bidi w:val="0"/>
                    <w:ind w:firstLine="0" w:firstLineChars="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L&lt;0.5</w:t>
                  </w:r>
                </w:p>
              </w:tc>
              <w:tc>
                <w:tcPr>
                  <w:tcW w:w="839" w:type="pct"/>
                  <w:vMerge w:val="continue"/>
                  <w:noWrap w:val="0"/>
                  <w:vAlign w:val="center"/>
                </w:tcPr>
                <w:p w14:paraId="7D57E7C0">
                  <w:pPr>
                    <w:pStyle w:val="31"/>
                    <w:bidi w:val="0"/>
                    <w:jc w:val="center"/>
                    <w:rPr>
                      <w:rFonts w:hint="default" w:ascii="Times New Roman" w:hAnsi="Times New Roman" w:cs="Times New Roman"/>
                      <w:color w:val="000000"/>
                      <w:highlight w:val="none"/>
                      <w:vertAlign w:val="baseline"/>
                      <w:lang w:val="en-US" w:eastAsia="zh-CN"/>
                    </w:rPr>
                  </w:pPr>
                </w:p>
              </w:tc>
            </w:tr>
            <w:tr w14:paraId="47C6F5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6"/>
                  <w:noWrap w:val="0"/>
                  <w:vAlign w:val="center"/>
                </w:tcPr>
                <w:p w14:paraId="1C5899ED">
                  <w:pPr>
                    <w:pStyle w:val="31"/>
                    <w:bidi w:val="0"/>
                    <w:jc w:val="both"/>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备注：a.海底隧道按水下开挖（回填）量划分评价等级，采用盾构、钻爆方式施工的海底隧道，评价等级降低一级（最低为3级）；</w:t>
                  </w:r>
                </w:p>
                <w:p w14:paraId="6880E391">
                  <w:pPr>
                    <w:pStyle w:val="31"/>
                    <w:bidi w:val="0"/>
                    <w:jc w:val="both"/>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 xml:space="preserve">      b.其他用海主要指海上风电、海上太阳能发电、海水养殖等开放式用海建设项目；不投加饵料的海水养殖项目，评价等级为3级。</w:t>
                  </w:r>
                </w:p>
              </w:tc>
            </w:tr>
          </w:tbl>
          <w:p w14:paraId="67D7546F">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lang w:val="en-US" w:eastAsia="zh-CN"/>
              </w:rPr>
            </w:pPr>
            <w:bookmarkStart w:id="223" w:name="_Toc27471"/>
            <w:r>
              <w:rPr>
                <w:rFonts w:hint="eastAsia" w:cs="Times New Roman"/>
                <w:b/>
                <w:bCs/>
                <w:color w:val="000000"/>
                <w:highlight w:val="none"/>
                <w:lang w:val="en-US" w:eastAsia="zh-CN"/>
              </w:rPr>
              <w:t>（2）</w:t>
            </w:r>
            <w:r>
              <w:rPr>
                <w:rFonts w:hint="default" w:ascii="Times New Roman" w:hAnsi="Times New Roman" w:cs="Times New Roman"/>
                <w:b/>
                <w:bCs/>
                <w:color w:val="000000"/>
                <w:highlight w:val="none"/>
                <w:lang w:val="en-US" w:eastAsia="zh-CN"/>
              </w:rPr>
              <w:t>陆域生态环境</w:t>
            </w:r>
            <w:bookmarkEnd w:id="223"/>
          </w:p>
          <w:p w14:paraId="3D8A0B52">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根据《环境影响评价技术导则 生态影响》（HJ 19-2022）“6.1.4建设项目同时涉及陆生、水生生态影响时，可针对陆生生态、水生生态分别判定评价等级”、“6.1.7涉海工程评价等级判定参照GB/T19485”，因此，本项目陆域部分生态影响单独根据6.1.2原则确定评价等级。</w:t>
            </w:r>
          </w:p>
          <w:p w14:paraId="32B2E5A8">
            <w:pPr>
              <w:keepNext w:val="0"/>
              <w:keepLines w:val="0"/>
              <w:pageBreakBefore w:val="0"/>
              <w:widowControl w:val="0"/>
              <w:numPr>
                <w:ilvl w:val="0"/>
                <w:numId w:val="6"/>
              </w:numPr>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涉及国家公园、自然保护区、世界自然遗产、重要生境时，评价等级为一级；</w:t>
            </w:r>
          </w:p>
          <w:p w14:paraId="16818A1C">
            <w:pPr>
              <w:keepNext w:val="0"/>
              <w:keepLines w:val="0"/>
              <w:pageBreakBefore w:val="0"/>
              <w:widowControl w:val="0"/>
              <w:numPr>
                <w:ilvl w:val="0"/>
                <w:numId w:val="6"/>
              </w:numPr>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涉及自然公园时，评价等级为二级；</w:t>
            </w:r>
          </w:p>
          <w:p w14:paraId="56E2777E">
            <w:pPr>
              <w:keepNext w:val="0"/>
              <w:keepLines w:val="0"/>
              <w:pageBreakBefore w:val="0"/>
              <w:widowControl w:val="0"/>
              <w:numPr>
                <w:ilvl w:val="0"/>
                <w:numId w:val="6"/>
              </w:numPr>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涉及生态保护红线时，评价等级不低于二级；</w:t>
            </w:r>
          </w:p>
          <w:p w14:paraId="45014B50">
            <w:pPr>
              <w:keepNext w:val="0"/>
              <w:keepLines w:val="0"/>
              <w:pageBreakBefore w:val="0"/>
              <w:widowControl w:val="0"/>
              <w:numPr>
                <w:ilvl w:val="0"/>
                <w:numId w:val="6"/>
              </w:numPr>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根据HJ2.3判断属于水文要素影响型且地表水评价等级不低于二级的建设项目，生态影响评价等级不低于二级；</w:t>
            </w:r>
          </w:p>
          <w:p w14:paraId="6FD4CA36">
            <w:pPr>
              <w:keepNext w:val="0"/>
              <w:keepLines w:val="0"/>
              <w:pageBreakBefore w:val="0"/>
              <w:widowControl w:val="0"/>
              <w:numPr>
                <w:ilvl w:val="0"/>
                <w:numId w:val="6"/>
              </w:numPr>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根据HJ610、HJ964判断地下水水位或土壤影响范围内分布有天然林、公益林、湿地等生态保护目标的建设项目，生态影响评价等级不低于二级；</w:t>
            </w:r>
          </w:p>
          <w:p w14:paraId="4C4F505E">
            <w:pPr>
              <w:keepNext w:val="0"/>
              <w:keepLines w:val="0"/>
              <w:pageBreakBefore w:val="0"/>
              <w:widowControl w:val="0"/>
              <w:numPr>
                <w:ilvl w:val="0"/>
                <w:numId w:val="6"/>
              </w:numPr>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当工程占地规模大于20km</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lang w:val="en-US" w:eastAsia="zh-CN"/>
              </w:rPr>
              <w:t>时（包括永久和临时占用陆域和水域），评价等级不低于二级；改扩建项目的占地范围以新增占地（包括陆域和水域）确定；</w:t>
            </w:r>
          </w:p>
          <w:p w14:paraId="1DD4D926">
            <w:pPr>
              <w:keepNext w:val="0"/>
              <w:keepLines w:val="0"/>
              <w:pageBreakBefore w:val="0"/>
              <w:widowControl w:val="0"/>
              <w:numPr>
                <w:ilvl w:val="0"/>
                <w:numId w:val="6"/>
              </w:numPr>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除本条a）、b）、c）、d）、e）、f）以外的情况，评价等级为三级；</w:t>
            </w:r>
          </w:p>
          <w:p w14:paraId="7329FB6D">
            <w:pPr>
              <w:keepNext w:val="0"/>
              <w:keepLines w:val="0"/>
              <w:pageBreakBefore w:val="0"/>
              <w:widowControl w:val="0"/>
              <w:numPr>
                <w:ilvl w:val="0"/>
                <w:numId w:val="6"/>
              </w:numPr>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当评价等级判定同时符合上述多种情况时，应采用其中最高的评价等级。</w:t>
            </w:r>
          </w:p>
          <w:p w14:paraId="4256C3E0">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本项目新增陆域面积为23.49万m</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lang w:val="en-US" w:eastAsia="zh-CN"/>
              </w:rPr>
              <w:t>，新增用海面积为89.8406万m</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lang w:val="en-US" w:eastAsia="zh-CN"/>
              </w:rPr>
              <w:t>，合计小于20km</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vertAlign w:val="baseline"/>
                <w:lang w:val="en-US" w:eastAsia="zh-CN"/>
              </w:rPr>
              <w:t>（即</w:t>
            </w:r>
            <w:r>
              <w:rPr>
                <w:rFonts w:hint="default" w:ascii="Times New Roman" w:hAnsi="Times New Roman" w:cs="Times New Roman"/>
                <w:color w:val="000000"/>
                <w:highlight w:val="none"/>
                <w:lang w:val="en-US" w:eastAsia="zh-CN"/>
              </w:rPr>
              <w:t>2000万m</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vertAlign w:val="baseline"/>
                <w:lang w:val="en-US" w:eastAsia="zh-CN"/>
              </w:rPr>
              <w:t>），项目红线范围</w:t>
            </w:r>
            <w:r>
              <w:rPr>
                <w:rFonts w:hint="default" w:ascii="Times New Roman" w:hAnsi="Times New Roman" w:cs="Times New Roman"/>
                <w:color w:val="000000"/>
                <w:highlight w:val="none"/>
                <w:lang w:val="en-US" w:eastAsia="zh-CN"/>
              </w:rPr>
              <w:t>不涉及国家公园、自然保护区、世界自然遗产、重要生境、自然公园以及生态保护红线，但项目陆域用地红线占用</w:t>
            </w:r>
            <w:r>
              <w:rPr>
                <w:rFonts w:hint="eastAsia" w:cs="Times New Roman"/>
                <w:color w:val="000000"/>
                <w:highlight w:val="none"/>
                <w:lang w:val="en-US" w:eastAsia="zh-CN"/>
              </w:rPr>
              <w:t>一级</w:t>
            </w:r>
            <w:r>
              <w:rPr>
                <w:rFonts w:hint="default" w:ascii="Times New Roman" w:hAnsi="Times New Roman" w:cs="Times New Roman"/>
                <w:color w:val="000000"/>
                <w:highlight w:val="none"/>
                <w:lang w:val="en-US" w:eastAsia="zh-CN"/>
              </w:rPr>
              <w:t>生态公益林地9.1446hm</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lang w:val="en-US" w:eastAsia="zh-CN"/>
              </w:rPr>
              <w:t>、省级生态公益林地11.2876hm</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lang w:val="en-US" w:eastAsia="zh-CN"/>
              </w:rPr>
              <w:t>，生态影响评价等级不低于二级。</w:t>
            </w:r>
          </w:p>
          <w:p w14:paraId="5B12F9E1">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因此，本项目陆域生态环境影响评价等级为二级。</w:t>
            </w:r>
          </w:p>
          <w:p w14:paraId="6F3F18DE">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lang w:val="en-US" w:eastAsia="zh-CN"/>
              </w:rPr>
            </w:pPr>
            <w:bookmarkStart w:id="224" w:name="_Toc2589"/>
            <w:r>
              <w:rPr>
                <w:rFonts w:hint="eastAsia" w:cs="Times New Roman"/>
                <w:b/>
                <w:bCs/>
                <w:color w:val="000000"/>
                <w:highlight w:val="none"/>
                <w:lang w:val="en-US" w:eastAsia="zh-CN"/>
              </w:rPr>
              <w:t>（3）</w:t>
            </w:r>
            <w:r>
              <w:rPr>
                <w:rFonts w:hint="default" w:ascii="Times New Roman" w:hAnsi="Times New Roman" w:cs="Times New Roman"/>
                <w:b/>
                <w:bCs/>
                <w:color w:val="000000"/>
                <w:highlight w:val="none"/>
                <w:lang w:val="en-US" w:eastAsia="zh-CN"/>
              </w:rPr>
              <w:t>大气环境</w:t>
            </w:r>
            <w:bookmarkEnd w:id="224"/>
          </w:p>
          <w:p w14:paraId="2DA0542B">
            <w:pPr>
              <w:keepNext w:val="0"/>
              <w:keepLines w:val="0"/>
              <w:pageBreakBefore w:val="0"/>
              <w:widowControl w:val="0"/>
              <w:kinsoku/>
              <w:wordWrap/>
              <w:overflowPunct/>
              <w:topLinePunct w:val="0"/>
              <w:autoSpaceDE/>
              <w:autoSpaceDN/>
              <w:bidi w:val="0"/>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本项目属于生态影响型项目，施工期主要大气污染物为施工扬尘、施工机械尾气，污染因子较为简单</w:t>
            </w:r>
            <w:r>
              <w:rPr>
                <w:rFonts w:hint="eastAsia" w:cs="Times New Roman"/>
                <w:color w:val="000000"/>
                <w:highlight w:val="none"/>
                <w:lang w:val="en-US" w:eastAsia="zh-CN"/>
              </w:rPr>
              <w:t>且</w:t>
            </w:r>
            <w:r>
              <w:rPr>
                <w:rFonts w:hint="default" w:ascii="Times New Roman" w:hAnsi="Times New Roman" w:cs="Times New Roman"/>
                <w:color w:val="000000"/>
                <w:highlight w:val="none"/>
                <w:lang w:val="en-US" w:eastAsia="zh-CN"/>
              </w:rPr>
              <w:t>多为间歇性污染源，随着施工期的结束，影响会逐渐消失，污染程度较小。运营期主要为车辆和船舶等流动性运输设备的尾气污染，以及港区固体废弃物、污水处理站产生的恶臭气体。现针对港区固体废弃物、污水处理站产生的恶臭气体排放进行大气环境影响评价等级判定。</w:t>
            </w:r>
          </w:p>
          <w:p w14:paraId="2D578106">
            <w:pPr>
              <w:keepNext w:val="0"/>
              <w:keepLines w:val="0"/>
              <w:pageBreakBefore w:val="0"/>
              <w:widowControl w:val="0"/>
              <w:kinsoku/>
              <w:wordWrap/>
              <w:overflowPunct/>
              <w:topLinePunct w:val="0"/>
              <w:autoSpaceDE/>
              <w:autoSpaceDN/>
              <w:bidi w:val="0"/>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①P</w:t>
            </w:r>
            <w:r>
              <w:rPr>
                <w:rFonts w:hint="default" w:ascii="Times New Roman" w:hAnsi="Times New Roman" w:cs="Times New Roman"/>
                <w:color w:val="000000"/>
                <w:highlight w:val="none"/>
                <w:vertAlign w:val="subscript"/>
                <w:lang w:val="en-US" w:eastAsia="zh-CN"/>
              </w:rPr>
              <w:t>max</w:t>
            </w:r>
            <w:r>
              <w:rPr>
                <w:rFonts w:hint="default" w:ascii="Times New Roman" w:hAnsi="Times New Roman" w:cs="Times New Roman"/>
                <w:color w:val="000000"/>
                <w:highlight w:val="none"/>
                <w:lang w:val="en-US" w:eastAsia="zh-CN"/>
              </w:rPr>
              <w:t>及D</w:t>
            </w:r>
            <w:r>
              <w:rPr>
                <w:rFonts w:hint="default" w:ascii="Times New Roman" w:hAnsi="Times New Roman" w:cs="Times New Roman"/>
                <w:color w:val="000000"/>
                <w:highlight w:val="none"/>
                <w:vertAlign w:val="subscript"/>
                <w:lang w:val="en-US" w:eastAsia="zh-CN"/>
              </w:rPr>
              <w:t>10%</w:t>
            </w:r>
            <w:r>
              <w:rPr>
                <w:rFonts w:hint="default" w:ascii="Times New Roman" w:hAnsi="Times New Roman" w:cs="Times New Roman"/>
                <w:color w:val="000000"/>
                <w:highlight w:val="none"/>
                <w:lang w:val="en-US" w:eastAsia="zh-CN"/>
              </w:rPr>
              <w:t>的确定</w:t>
            </w:r>
          </w:p>
          <w:p w14:paraId="30BD7E01">
            <w:pPr>
              <w:keepNext w:val="0"/>
              <w:keepLines w:val="0"/>
              <w:pageBreakBefore w:val="0"/>
              <w:widowControl w:val="0"/>
              <w:kinsoku/>
              <w:wordWrap/>
              <w:overflowPunct/>
              <w:topLinePunct w:val="0"/>
              <w:autoSpaceDE/>
              <w:autoSpaceDN/>
              <w:bidi w:val="0"/>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根据《环境影响评价技术导则</w:t>
            </w:r>
            <w:r>
              <w:rPr>
                <w:rFonts w:hint="default" w:ascii="Times New Roman" w:hAnsi="Times New Roman" w:eastAsia="宋体" w:cs="Times New Roman"/>
                <w:color w:val="000000"/>
                <w:highlight w:val="none"/>
                <w:lang w:val="en-US" w:eastAsia="zh-CN"/>
              </w:rPr>
              <w:t>—</w:t>
            </w:r>
            <w:r>
              <w:rPr>
                <w:rFonts w:hint="default" w:ascii="Times New Roman" w:hAnsi="Times New Roman" w:cs="Times New Roman"/>
                <w:color w:val="000000"/>
                <w:highlight w:val="none"/>
              </w:rPr>
              <w:t>大气环境》（HJ2.2-2018），最大地面浓度占标率Pi计算公式如下：</w:t>
            </w:r>
          </w:p>
          <w:p w14:paraId="196CD56A">
            <w:pPr>
              <w:keepNext w:val="0"/>
              <w:keepLines w:val="0"/>
              <w:pageBreakBefore w:val="0"/>
              <w:widowControl w:val="0"/>
              <w:kinsoku/>
              <w:wordWrap/>
              <w:overflowPunct/>
              <w:topLinePunct w:val="0"/>
              <w:autoSpaceDE/>
              <w:autoSpaceDN/>
              <w:bidi w:val="0"/>
              <w:adjustRightInd w:val="0"/>
              <w:snapToGrid w:val="0"/>
              <w:ind w:firstLine="480" w:firstLineChars="200"/>
              <w:jc w:val="center"/>
              <w:textAlignment w:val="auto"/>
              <w:rPr>
                <w:rFonts w:hint="default" w:ascii="Times New Roman" w:hAnsi="Times New Roman" w:cs="Times New Roman"/>
                <w:color w:val="000000"/>
                <w:highlight w:val="none"/>
              </w:rPr>
            </w:pPr>
            <w:r>
              <w:rPr>
                <w:rFonts w:hint="default" w:ascii="Times New Roman" w:hAnsi="Times New Roman" w:cs="Times New Roman"/>
                <w:color w:val="000000"/>
                <w:position w:val="-24"/>
                <w:highlight w:val="none"/>
              </w:rPr>
              <w:object>
                <v:shape id="_x0000_i1025" o:spt="75" type="#_x0000_t75" style="height:31pt;width:80pt;" o:ole="t" filled="f" o:preferrelative="t" stroked="f" coordsize="21600,21600">
                  <v:path/>
                  <v:fill on="f" focussize="0,0"/>
                  <v:stroke on="f"/>
                  <v:imagedata r:id="rId20" o:title=""/>
                  <o:lock v:ext="edit" aspectratio="t"/>
                  <w10:wrap type="none"/>
                  <w10:anchorlock/>
                </v:shape>
                <o:OLEObject Type="Embed" ProgID="Equation.KSEE3" ShapeID="_x0000_i1025" DrawAspect="Content" ObjectID="_1468075725" r:id="rId19">
                  <o:LockedField>false</o:LockedField>
                </o:OLEObject>
              </w:object>
            </w:r>
          </w:p>
          <w:p w14:paraId="287A6EE2">
            <w:pPr>
              <w:keepNext w:val="0"/>
              <w:keepLines w:val="0"/>
              <w:pageBreakBefore w:val="0"/>
              <w:widowControl w:val="0"/>
              <w:kinsoku/>
              <w:wordWrap/>
              <w:overflowPunct/>
              <w:topLinePunct w:val="0"/>
              <w:autoSpaceDE/>
              <w:autoSpaceDN/>
              <w:bidi w:val="0"/>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式中：Pi—第i个污染物的最大地面空气质量浓度占标率，%；</w:t>
            </w:r>
          </w:p>
          <w:p w14:paraId="6405B314">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Ci—采用估算模型计算出第i个污染物的最大1h地面空气质量浓度，ug/m</w:t>
            </w:r>
            <w:r>
              <w:rPr>
                <w:rFonts w:hint="default" w:ascii="Times New Roman" w:hAnsi="Times New Roman" w:cs="Times New Roman"/>
                <w:color w:val="000000"/>
                <w:highlight w:val="none"/>
                <w:vertAlign w:val="superscript"/>
              </w:rPr>
              <w:t>3</w:t>
            </w:r>
            <w:r>
              <w:rPr>
                <w:rFonts w:hint="default" w:ascii="Times New Roman" w:hAnsi="Times New Roman" w:cs="Times New Roman"/>
                <w:color w:val="000000"/>
                <w:highlight w:val="none"/>
              </w:rPr>
              <w:t>；</w:t>
            </w:r>
          </w:p>
          <w:p w14:paraId="371661ED">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C</w:t>
            </w:r>
            <w:r>
              <w:rPr>
                <w:rFonts w:hint="default" w:ascii="Times New Roman" w:hAnsi="Times New Roman" w:cs="Times New Roman"/>
                <w:color w:val="000000"/>
                <w:highlight w:val="none"/>
                <w:vertAlign w:val="subscript"/>
              </w:rPr>
              <w:t>0i</w:t>
            </w:r>
            <w:r>
              <w:rPr>
                <w:rFonts w:hint="default" w:ascii="Times New Roman" w:hAnsi="Times New Roman" w:cs="Times New Roman"/>
                <w:color w:val="000000"/>
                <w:highlight w:val="none"/>
              </w:rPr>
              <w:t>—第i个污染物的环境空气质量浓度标准，ug/m</w:t>
            </w:r>
            <w:r>
              <w:rPr>
                <w:rFonts w:hint="default" w:ascii="Times New Roman" w:hAnsi="Times New Roman" w:cs="Times New Roman"/>
                <w:color w:val="000000"/>
                <w:highlight w:val="none"/>
                <w:vertAlign w:val="superscript"/>
              </w:rPr>
              <w:t>3</w:t>
            </w:r>
            <w:r>
              <w:rPr>
                <w:rFonts w:hint="default" w:ascii="Times New Roman" w:hAnsi="Times New Roman" w:cs="Times New Roman"/>
                <w:color w:val="000000"/>
                <w:highlight w:val="none"/>
              </w:rPr>
              <w:t>。</w:t>
            </w:r>
          </w:p>
          <w:p w14:paraId="32A0193A">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D</w:t>
            </w:r>
            <w:r>
              <w:rPr>
                <w:rFonts w:hint="default" w:ascii="Times New Roman" w:hAnsi="Times New Roman" w:cs="Times New Roman"/>
                <w:color w:val="000000"/>
                <w:highlight w:val="none"/>
                <w:vertAlign w:val="subscript"/>
              </w:rPr>
              <w:t>10%</w:t>
            </w:r>
            <w:r>
              <w:rPr>
                <w:rFonts w:hint="default" w:ascii="Times New Roman" w:hAnsi="Times New Roman" w:cs="Times New Roman"/>
                <w:color w:val="000000"/>
                <w:highlight w:val="none"/>
              </w:rPr>
              <w:t>—第i个污染物的地面空气质量浓度达到标准值的10%时所对应最远距离。</w:t>
            </w:r>
          </w:p>
          <w:p w14:paraId="179892DB">
            <w:pPr>
              <w:keepNext w:val="0"/>
              <w:keepLines w:val="0"/>
              <w:pageBreakBefore w:val="0"/>
              <w:widowControl w:val="0"/>
              <w:kinsoku/>
              <w:wordWrap/>
              <w:overflowPunct/>
              <w:topLinePunct w:val="0"/>
              <w:autoSpaceDE/>
              <w:autoSpaceDN/>
              <w:bidi w:val="0"/>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②评价等级判别表</w:t>
            </w:r>
          </w:p>
          <w:p w14:paraId="5A55A0BA">
            <w:pPr>
              <w:keepNext w:val="0"/>
              <w:keepLines w:val="0"/>
              <w:pageBreakBefore w:val="0"/>
              <w:widowControl w:val="0"/>
              <w:kinsoku/>
              <w:wordWrap/>
              <w:overflowPunct/>
              <w:topLinePunct w:val="0"/>
              <w:autoSpaceDE/>
              <w:autoSpaceDN/>
              <w:bidi w:val="0"/>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根据《环境影响评价技术导则 大气环境》（HJ2.2-2018），评价等级判别表见</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REF _Ref14948 \h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3.15</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2</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val="en-US" w:eastAsia="zh-CN"/>
              </w:rPr>
              <w:t>。</w:t>
            </w:r>
          </w:p>
          <w:p w14:paraId="707604CD">
            <w:pPr>
              <w:pStyle w:val="30"/>
              <w:bidi w:val="0"/>
              <w:rPr>
                <w:rFonts w:hint="default" w:ascii="Times New Roman" w:hAnsi="Times New Roman" w:cs="Times New Roman"/>
                <w:color w:val="000000"/>
                <w:highlight w:val="none"/>
                <w:lang w:val="en-US" w:eastAsia="zh-CN"/>
              </w:rPr>
            </w:pPr>
            <w:bookmarkStart w:id="225" w:name="_Ref14948"/>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3.15</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表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2</w:t>
            </w:r>
            <w:r>
              <w:rPr>
                <w:rFonts w:hint="default" w:ascii="Times New Roman" w:hAnsi="Times New Roman" w:cs="Times New Roman"/>
                <w:color w:val="000000"/>
                <w:highlight w:val="none"/>
              </w:rPr>
              <w:fldChar w:fldCharType="end"/>
            </w:r>
            <w:bookmarkEnd w:id="225"/>
            <w:r>
              <w:rPr>
                <w:rFonts w:hint="default" w:ascii="Times New Roman" w:hAnsi="Times New Roman" w:cs="Times New Roman"/>
                <w:color w:val="000000"/>
                <w:highlight w:val="none"/>
                <w:lang w:val="en-US" w:eastAsia="zh-CN"/>
              </w:rPr>
              <w:t xml:space="preserve"> 评价等级判别表</w:t>
            </w:r>
          </w:p>
          <w:tbl>
            <w:tblPr>
              <w:tblStyle w:val="2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826"/>
              <w:gridCol w:w="4762"/>
            </w:tblGrid>
            <w:tr w14:paraId="6F38F9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2227" w:type="pct"/>
                  <w:noWrap w:val="0"/>
                  <w:vAlign w:val="center"/>
                </w:tcPr>
                <w:p w14:paraId="1785BF60">
                  <w:pPr>
                    <w:pStyle w:val="31"/>
                    <w:bidi w:val="0"/>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rPr>
                    <w:t>评价工作等级</w:t>
                  </w:r>
                </w:p>
              </w:tc>
              <w:tc>
                <w:tcPr>
                  <w:tcW w:w="2772" w:type="pct"/>
                  <w:noWrap w:val="0"/>
                  <w:vAlign w:val="center"/>
                </w:tcPr>
                <w:p w14:paraId="43A63D20">
                  <w:pPr>
                    <w:pStyle w:val="31"/>
                    <w:bidi w:val="0"/>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rPr>
                    <w:t>评价工作分级判据</w:t>
                  </w:r>
                </w:p>
              </w:tc>
            </w:tr>
            <w:tr w14:paraId="6B3DBF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27" w:type="pct"/>
                  <w:noWrap w:val="0"/>
                  <w:vAlign w:val="center"/>
                </w:tcPr>
                <w:p w14:paraId="04F444BE">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一级评价</w:t>
                  </w:r>
                </w:p>
              </w:tc>
              <w:tc>
                <w:tcPr>
                  <w:tcW w:w="2772" w:type="pct"/>
                  <w:noWrap w:val="0"/>
                  <w:vAlign w:val="center"/>
                </w:tcPr>
                <w:p w14:paraId="76DB37D5">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Pmax≥10%</w:t>
                  </w:r>
                </w:p>
              </w:tc>
            </w:tr>
            <w:tr w14:paraId="059F4F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27" w:type="pct"/>
                  <w:noWrap w:val="0"/>
                  <w:vAlign w:val="center"/>
                </w:tcPr>
                <w:p w14:paraId="545019EC">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二级评价</w:t>
                  </w:r>
                </w:p>
              </w:tc>
              <w:tc>
                <w:tcPr>
                  <w:tcW w:w="2772" w:type="pct"/>
                  <w:noWrap w:val="0"/>
                  <w:vAlign w:val="center"/>
                </w:tcPr>
                <w:p w14:paraId="0670DE85">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1%≤Pmax＜10%</w:t>
                  </w:r>
                </w:p>
              </w:tc>
            </w:tr>
            <w:tr w14:paraId="3B6FF2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27" w:type="pct"/>
                  <w:noWrap w:val="0"/>
                  <w:vAlign w:val="center"/>
                </w:tcPr>
                <w:p w14:paraId="2C05281E">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三级评价</w:t>
                  </w:r>
                </w:p>
              </w:tc>
              <w:tc>
                <w:tcPr>
                  <w:tcW w:w="2772" w:type="pct"/>
                  <w:noWrap w:val="0"/>
                  <w:vAlign w:val="center"/>
                </w:tcPr>
                <w:p w14:paraId="0CDED55E">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Pmax＜1%</w:t>
                  </w:r>
                </w:p>
              </w:tc>
            </w:tr>
          </w:tbl>
          <w:p w14:paraId="067334EA">
            <w:pPr>
              <w:keepNext w:val="0"/>
              <w:keepLines w:val="0"/>
              <w:pageBreakBefore w:val="0"/>
              <w:widowControl w:val="0"/>
              <w:kinsoku/>
              <w:wordWrap/>
              <w:overflowPunct/>
              <w:topLinePunct w:val="0"/>
              <w:autoSpaceDE/>
              <w:autoSpaceDN/>
              <w:bidi w:val="0"/>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③估算模型参数</w:t>
            </w:r>
          </w:p>
          <w:p w14:paraId="6B7C9242">
            <w:pPr>
              <w:keepNext w:val="0"/>
              <w:keepLines w:val="0"/>
              <w:pageBreakBefore w:val="0"/>
              <w:widowControl w:val="0"/>
              <w:kinsoku/>
              <w:wordWrap/>
              <w:overflowPunct/>
              <w:topLinePunct w:val="0"/>
              <w:autoSpaceDE/>
              <w:autoSpaceDN/>
              <w:bidi w:val="0"/>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估算模型参数表见</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REF _Ref15284 \h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3.15</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3</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val="en-US" w:eastAsia="zh-CN"/>
              </w:rPr>
              <w:t>。</w:t>
            </w:r>
          </w:p>
          <w:p w14:paraId="16747551">
            <w:pPr>
              <w:pStyle w:val="30"/>
              <w:bidi w:val="0"/>
              <w:rPr>
                <w:rFonts w:hint="default" w:ascii="Times New Roman" w:hAnsi="Times New Roman" w:cs="Times New Roman"/>
                <w:color w:val="000000"/>
                <w:highlight w:val="none"/>
                <w:lang w:val="en-US" w:eastAsia="zh-CN"/>
              </w:rPr>
            </w:pPr>
            <w:bookmarkStart w:id="226" w:name="_Ref15284"/>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3.15</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表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w:t>
            </w:r>
            <w:r>
              <w:rPr>
                <w:rFonts w:hint="default" w:ascii="Times New Roman" w:hAnsi="Times New Roman" w:cs="Times New Roman"/>
                <w:color w:val="000000"/>
                <w:highlight w:val="none"/>
              </w:rPr>
              <w:fldChar w:fldCharType="end"/>
            </w:r>
            <w:bookmarkEnd w:id="226"/>
            <w:r>
              <w:rPr>
                <w:rFonts w:hint="default" w:ascii="Times New Roman" w:hAnsi="Times New Roman" w:cs="Times New Roman"/>
                <w:color w:val="000000"/>
                <w:highlight w:val="none"/>
                <w:lang w:val="en-US" w:eastAsia="zh-CN"/>
              </w:rPr>
              <w:t xml:space="preserve"> 估算模型参数表</w:t>
            </w:r>
          </w:p>
          <w:tbl>
            <w:tblPr>
              <w:tblStyle w:val="21"/>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74"/>
              <w:gridCol w:w="3025"/>
              <w:gridCol w:w="2788"/>
            </w:tblGrid>
            <w:tr w14:paraId="01877D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376" w:type="pct"/>
                  <w:gridSpan w:val="2"/>
                  <w:noWrap w:val="0"/>
                  <w:vAlign w:val="center"/>
                </w:tcPr>
                <w:p w14:paraId="6E00FBF5">
                  <w:pPr>
                    <w:pStyle w:val="31"/>
                    <w:bidi w:val="0"/>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rPr>
                    <w:t>参数</w:t>
                  </w:r>
                </w:p>
              </w:tc>
              <w:tc>
                <w:tcPr>
                  <w:tcW w:w="1623" w:type="pct"/>
                  <w:noWrap w:val="0"/>
                  <w:vAlign w:val="center"/>
                </w:tcPr>
                <w:p w14:paraId="3B005BA6">
                  <w:pPr>
                    <w:pStyle w:val="31"/>
                    <w:bidi w:val="0"/>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rPr>
                    <w:t>取值</w:t>
                  </w:r>
                </w:p>
              </w:tc>
            </w:tr>
            <w:tr w14:paraId="5DCC71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15" w:type="pct"/>
                  <w:vMerge w:val="restart"/>
                  <w:noWrap w:val="0"/>
                  <w:vAlign w:val="center"/>
                </w:tcPr>
                <w:p w14:paraId="126A0575">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城市/农村选项</w:t>
                  </w:r>
                </w:p>
              </w:tc>
              <w:tc>
                <w:tcPr>
                  <w:tcW w:w="1760" w:type="pct"/>
                  <w:noWrap w:val="0"/>
                  <w:vAlign w:val="center"/>
                </w:tcPr>
                <w:p w14:paraId="16F0576A">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城市/农村</w:t>
                  </w:r>
                </w:p>
              </w:tc>
              <w:tc>
                <w:tcPr>
                  <w:tcW w:w="1623" w:type="pct"/>
                  <w:noWrap w:val="0"/>
                  <w:vAlign w:val="center"/>
                </w:tcPr>
                <w:p w14:paraId="3E42C9B2">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农村</w:t>
                  </w:r>
                </w:p>
              </w:tc>
            </w:tr>
            <w:tr w14:paraId="5B81B8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15" w:type="pct"/>
                  <w:vMerge w:val="continue"/>
                  <w:noWrap w:val="0"/>
                  <w:vAlign w:val="center"/>
                </w:tcPr>
                <w:p w14:paraId="2F3E2E2B">
                  <w:pPr>
                    <w:pStyle w:val="31"/>
                    <w:bidi w:val="0"/>
                    <w:rPr>
                      <w:rFonts w:hint="default" w:ascii="Times New Roman" w:hAnsi="Times New Roman" w:cs="Times New Roman"/>
                      <w:color w:val="000000"/>
                      <w:highlight w:val="none"/>
                    </w:rPr>
                  </w:pPr>
                </w:p>
              </w:tc>
              <w:tc>
                <w:tcPr>
                  <w:tcW w:w="1760" w:type="pct"/>
                  <w:noWrap w:val="0"/>
                  <w:vAlign w:val="center"/>
                </w:tcPr>
                <w:p w14:paraId="54EF552D">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人口数（城市选项时）</w:t>
                  </w:r>
                </w:p>
              </w:tc>
              <w:tc>
                <w:tcPr>
                  <w:tcW w:w="1623" w:type="pct"/>
                  <w:noWrap w:val="0"/>
                  <w:vAlign w:val="center"/>
                </w:tcPr>
                <w:p w14:paraId="549BD82E">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w:t>
                  </w:r>
                </w:p>
              </w:tc>
            </w:tr>
            <w:tr w14:paraId="026CB3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76" w:type="pct"/>
                  <w:gridSpan w:val="2"/>
                  <w:noWrap w:val="0"/>
                  <w:vAlign w:val="center"/>
                </w:tcPr>
                <w:p w14:paraId="24E5CC55">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最高环境温度/℃</w:t>
                  </w:r>
                </w:p>
              </w:tc>
              <w:tc>
                <w:tcPr>
                  <w:tcW w:w="1623" w:type="pct"/>
                  <w:noWrap w:val="0"/>
                  <w:vAlign w:val="center"/>
                </w:tcPr>
                <w:p w14:paraId="78621FC8">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39.4</w:t>
                  </w:r>
                </w:p>
              </w:tc>
            </w:tr>
            <w:tr w14:paraId="533E12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76" w:type="pct"/>
                  <w:gridSpan w:val="2"/>
                  <w:noWrap w:val="0"/>
                  <w:vAlign w:val="center"/>
                </w:tcPr>
                <w:p w14:paraId="42766688">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最低环境温度/℃</w:t>
                  </w:r>
                </w:p>
              </w:tc>
              <w:tc>
                <w:tcPr>
                  <w:tcW w:w="1623" w:type="pct"/>
                  <w:noWrap w:val="0"/>
                  <w:vAlign w:val="center"/>
                </w:tcPr>
                <w:p w14:paraId="56D4792D">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-0.6</w:t>
                  </w:r>
                </w:p>
              </w:tc>
            </w:tr>
            <w:tr w14:paraId="225FDD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76" w:type="pct"/>
                  <w:gridSpan w:val="2"/>
                  <w:noWrap w:val="0"/>
                  <w:vAlign w:val="center"/>
                </w:tcPr>
                <w:p w14:paraId="25379BDC">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土地使用类型</w:t>
                  </w:r>
                </w:p>
              </w:tc>
              <w:tc>
                <w:tcPr>
                  <w:tcW w:w="1623" w:type="pct"/>
                  <w:noWrap w:val="0"/>
                  <w:vAlign w:val="center"/>
                </w:tcPr>
                <w:p w14:paraId="606D909A">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水面</w:t>
                  </w:r>
                </w:p>
              </w:tc>
            </w:tr>
            <w:tr w14:paraId="1BDF7E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76" w:type="pct"/>
                  <w:gridSpan w:val="2"/>
                  <w:noWrap w:val="0"/>
                  <w:vAlign w:val="center"/>
                </w:tcPr>
                <w:p w14:paraId="64E33DA6">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区域湿度条件</w:t>
                  </w:r>
                </w:p>
              </w:tc>
              <w:tc>
                <w:tcPr>
                  <w:tcW w:w="1623" w:type="pct"/>
                  <w:noWrap w:val="0"/>
                  <w:vAlign w:val="center"/>
                </w:tcPr>
                <w:p w14:paraId="17816DA2">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潮湿地区</w:t>
                  </w:r>
                </w:p>
              </w:tc>
            </w:tr>
            <w:tr w14:paraId="17A0FB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15" w:type="pct"/>
                  <w:vMerge w:val="restart"/>
                  <w:noWrap w:val="0"/>
                  <w:vAlign w:val="center"/>
                </w:tcPr>
                <w:p w14:paraId="69C3F176">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是否考虑地形</w:t>
                  </w:r>
                </w:p>
              </w:tc>
              <w:tc>
                <w:tcPr>
                  <w:tcW w:w="1760" w:type="pct"/>
                  <w:noWrap w:val="0"/>
                  <w:vAlign w:val="center"/>
                </w:tcPr>
                <w:p w14:paraId="64330DB1">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考虑地形</w:t>
                  </w:r>
                </w:p>
              </w:tc>
              <w:tc>
                <w:tcPr>
                  <w:tcW w:w="1623" w:type="pct"/>
                  <w:noWrap w:val="0"/>
                  <w:vAlign w:val="center"/>
                </w:tcPr>
                <w:p w14:paraId="12963365">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sym w:font="Wingdings 2" w:char="0052"/>
                  </w:r>
                  <w:r>
                    <w:rPr>
                      <w:rFonts w:hint="default" w:ascii="Times New Roman" w:hAnsi="Times New Roman" w:cs="Times New Roman"/>
                      <w:color w:val="000000"/>
                      <w:highlight w:val="none"/>
                    </w:rPr>
                    <w:t xml:space="preserve">是    </w:t>
                  </w:r>
                  <w:r>
                    <w:rPr>
                      <w:rFonts w:hint="default" w:ascii="Times New Roman" w:hAnsi="Times New Roman" w:cs="Times New Roman"/>
                      <w:color w:val="000000"/>
                      <w:highlight w:val="none"/>
                    </w:rPr>
                    <w:sym w:font="Wingdings 2" w:char="00A3"/>
                  </w:r>
                  <w:r>
                    <w:rPr>
                      <w:rFonts w:hint="default" w:ascii="Times New Roman" w:hAnsi="Times New Roman" w:cs="Times New Roman"/>
                      <w:color w:val="000000"/>
                      <w:highlight w:val="none"/>
                    </w:rPr>
                    <w:t xml:space="preserve"> 否</w:t>
                  </w:r>
                </w:p>
              </w:tc>
            </w:tr>
            <w:tr w14:paraId="59D225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15" w:type="pct"/>
                  <w:vMerge w:val="continue"/>
                  <w:noWrap w:val="0"/>
                  <w:vAlign w:val="center"/>
                </w:tcPr>
                <w:p w14:paraId="75C030C2">
                  <w:pPr>
                    <w:pStyle w:val="31"/>
                    <w:bidi w:val="0"/>
                    <w:rPr>
                      <w:rFonts w:hint="default" w:ascii="Times New Roman" w:hAnsi="Times New Roman" w:cs="Times New Roman"/>
                      <w:color w:val="000000"/>
                      <w:highlight w:val="none"/>
                    </w:rPr>
                  </w:pPr>
                </w:p>
              </w:tc>
              <w:tc>
                <w:tcPr>
                  <w:tcW w:w="1760" w:type="pct"/>
                  <w:noWrap w:val="0"/>
                  <w:vAlign w:val="center"/>
                </w:tcPr>
                <w:p w14:paraId="75E9F937">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地形数据分辨率/m</w:t>
                  </w:r>
                </w:p>
              </w:tc>
              <w:tc>
                <w:tcPr>
                  <w:tcW w:w="1623" w:type="pct"/>
                  <w:noWrap w:val="0"/>
                  <w:vAlign w:val="center"/>
                </w:tcPr>
                <w:p w14:paraId="4D9658B6">
                  <w:pPr>
                    <w:pStyle w:val="31"/>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90</w:t>
                  </w:r>
                </w:p>
              </w:tc>
            </w:tr>
            <w:tr w14:paraId="1581FF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15" w:type="pct"/>
                  <w:vMerge w:val="restart"/>
                  <w:noWrap w:val="0"/>
                  <w:vAlign w:val="center"/>
                </w:tcPr>
                <w:p w14:paraId="309AB77F">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是否考虑岸线熏烟</w:t>
                  </w:r>
                </w:p>
              </w:tc>
              <w:tc>
                <w:tcPr>
                  <w:tcW w:w="1760" w:type="pct"/>
                  <w:noWrap w:val="0"/>
                  <w:vAlign w:val="center"/>
                </w:tcPr>
                <w:p w14:paraId="7C3C810E">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考虑岸线熏烟</w:t>
                  </w:r>
                </w:p>
              </w:tc>
              <w:tc>
                <w:tcPr>
                  <w:tcW w:w="1623" w:type="pct"/>
                  <w:noWrap w:val="0"/>
                  <w:vAlign w:val="center"/>
                </w:tcPr>
                <w:p w14:paraId="7BE972A5">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sym w:font="Wingdings 2" w:char="0052"/>
                  </w:r>
                  <w:r>
                    <w:rPr>
                      <w:rFonts w:hint="default" w:ascii="Times New Roman" w:hAnsi="Times New Roman" w:cs="Times New Roman"/>
                      <w:color w:val="000000"/>
                      <w:highlight w:val="none"/>
                    </w:rPr>
                    <w:t xml:space="preserve">是    </w:t>
                  </w:r>
                  <w:r>
                    <w:rPr>
                      <w:rFonts w:hint="default" w:ascii="Times New Roman" w:hAnsi="Times New Roman" w:cs="Times New Roman"/>
                      <w:color w:val="000000"/>
                      <w:highlight w:val="none"/>
                    </w:rPr>
                    <w:sym w:font="Wingdings 2" w:char="00A3"/>
                  </w:r>
                  <w:r>
                    <w:rPr>
                      <w:rFonts w:hint="default" w:ascii="Times New Roman" w:hAnsi="Times New Roman" w:cs="Times New Roman"/>
                      <w:color w:val="000000"/>
                      <w:highlight w:val="none"/>
                    </w:rPr>
                    <w:t xml:space="preserve"> 否</w:t>
                  </w:r>
                </w:p>
              </w:tc>
            </w:tr>
            <w:tr w14:paraId="3C0375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15" w:type="pct"/>
                  <w:vMerge w:val="continue"/>
                  <w:noWrap w:val="0"/>
                  <w:vAlign w:val="center"/>
                </w:tcPr>
                <w:p w14:paraId="03475F88">
                  <w:pPr>
                    <w:pStyle w:val="31"/>
                    <w:bidi w:val="0"/>
                    <w:rPr>
                      <w:rFonts w:hint="default" w:ascii="Times New Roman" w:hAnsi="Times New Roman" w:cs="Times New Roman"/>
                      <w:color w:val="000000"/>
                      <w:highlight w:val="none"/>
                    </w:rPr>
                  </w:pPr>
                </w:p>
              </w:tc>
              <w:tc>
                <w:tcPr>
                  <w:tcW w:w="1760" w:type="pct"/>
                  <w:noWrap w:val="0"/>
                  <w:vAlign w:val="center"/>
                </w:tcPr>
                <w:p w14:paraId="411ED00B">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岸线距离/km</w:t>
                  </w:r>
                </w:p>
              </w:tc>
              <w:tc>
                <w:tcPr>
                  <w:tcW w:w="1623" w:type="pct"/>
                  <w:noWrap w:val="0"/>
                  <w:vAlign w:val="center"/>
                </w:tcPr>
                <w:p w14:paraId="1D52244C">
                  <w:pPr>
                    <w:pStyle w:val="31"/>
                    <w:bidi w:val="0"/>
                    <w:rPr>
                      <w:rFonts w:hint="default" w:ascii="Times New Roman" w:hAnsi="Times New Roman" w:eastAsia="宋体" w:cs="Times New Roman"/>
                      <w:color w:val="000000"/>
                      <w:highlight w:val="none"/>
                      <w:lang w:eastAsia="zh-CN"/>
                    </w:rPr>
                  </w:pPr>
                  <w:r>
                    <w:rPr>
                      <w:rFonts w:hint="default" w:ascii="Times New Roman" w:hAnsi="Times New Roman" w:cs="Times New Roman"/>
                      <w:color w:val="000000"/>
                      <w:highlight w:val="none"/>
                      <w:lang w:val="en-US" w:eastAsia="zh-CN"/>
                    </w:rPr>
                    <w:t>0</w:t>
                  </w:r>
                </w:p>
              </w:tc>
            </w:tr>
            <w:tr w14:paraId="72BF34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15" w:type="pct"/>
                  <w:vMerge w:val="continue"/>
                  <w:noWrap w:val="0"/>
                  <w:vAlign w:val="center"/>
                </w:tcPr>
                <w:p w14:paraId="6D57ADC4">
                  <w:pPr>
                    <w:pStyle w:val="31"/>
                    <w:bidi w:val="0"/>
                    <w:rPr>
                      <w:rFonts w:hint="default" w:ascii="Times New Roman" w:hAnsi="Times New Roman" w:cs="Times New Roman"/>
                      <w:color w:val="000000"/>
                      <w:highlight w:val="none"/>
                    </w:rPr>
                  </w:pPr>
                </w:p>
              </w:tc>
              <w:tc>
                <w:tcPr>
                  <w:tcW w:w="1760" w:type="pct"/>
                  <w:noWrap w:val="0"/>
                  <w:vAlign w:val="center"/>
                </w:tcPr>
                <w:p w14:paraId="1AA826E3">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岸线方向/°</w:t>
                  </w:r>
                </w:p>
              </w:tc>
              <w:tc>
                <w:tcPr>
                  <w:tcW w:w="1623" w:type="pct"/>
                  <w:noWrap w:val="0"/>
                  <w:vAlign w:val="center"/>
                </w:tcPr>
                <w:p w14:paraId="10E08AB8">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w:t>
                  </w:r>
                </w:p>
              </w:tc>
            </w:tr>
          </w:tbl>
          <w:p w14:paraId="05A0F00A">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④污染源参数</w:t>
            </w:r>
          </w:p>
          <w:p w14:paraId="1516BC75">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根据大气环境影响分析，运营期新建</w:t>
            </w:r>
            <w:r>
              <w:rPr>
                <w:rFonts w:hint="default" w:ascii="Times New Roman" w:hAnsi="Times New Roman" w:cs="Times New Roman"/>
                <w:b w:val="0"/>
                <w:bCs w:val="0"/>
                <w:color w:val="000000"/>
                <w:highlight w:val="none"/>
                <w:lang w:val="en-US" w:eastAsia="zh-CN"/>
              </w:rPr>
              <w:t>码头卸渔区固体废弃物</w:t>
            </w:r>
            <w:r>
              <w:rPr>
                <w:rFonts w:hint="default" w:ascii="Times New Roman" w:hAnsi="Times New Roman" w:cs="Times New Roman"/>
                <w:b w:val="0"/>
                <w:bCs w:val="0"/>
                <w:color w:val="000000"/>
                <w:highlight w:val="none"/>
                <w:lang w:eastAsia="zh-CN"/>
              </w:rPr>
              <w:t>NH</w:t>
            </w:r>
            <w:r>
              <w:rPr>
                <w:rFonts w:hint="default" w:ascii="Times New Roman" w:hAnsi="Times New Roman" w:cs="Times New Roman"/>
                <w:b w:val="0"/>
                <w:bCs w:val="0"/>
                <w:color w:val="000000"/>
                <w:highlight w:val="none"/>
                <w:vertAlign w:val="subscript"/>
                <w:lang w:eastAsia="zh-CN"/>
              </w:rPr>
              <w:t>3</w:t>
            </w:r>
            <w:r>
              <w:rPr>
                <w:rFonts w:hint="default" w:ascii="Times New Roman" w:hAnsi="Times New Roman" w:cs="Times New Roman"/>
                <w:b w:val="0"/>
                <w:bCs w:val="0"/>
                <w:color w:val="000000"/>
                <w:highlight w:val="none"/>
                <w:lang w:eastAsia="zh-CN"/>
              </w:rPr>
              <w:t>排放量为</w:t>
            </w:r>
            <w:r>
              <w:rPr>
                <w:rFonts w:hint="default" w:ascii="Times New Roman" w:hAnsi="Times New Roman" w:cs="Times New Roman"/>
                <w:b w:val="0"/>
                <w:bCs w:val="0"/>
                <w:color w:val="000000"/>
                <w:highlight w:val="none"/>
                <w:lang w:val="en-US" w:eastAsia="zh-CN"/>
              </w:rPr>
              <w:t>0.00088kg</w:t>
            </w:r>
            <w:r>
              <w:rPr>
                <w:rFonts w:hint="default" w:ascii="Times New Roman" w:hAnsi="Times New Roman" w:cs="Times New Roman"/>
                <w:b w:val="0"/>
                <w:bCs w:val="0"/>
                <w:color w:val="000000"/>
                <w:highlight w:val="none"/>
                <w:lang w:eastAsia="zh-CN"/>
              </w:rPr>
              <w:t>/</w:t>
            </w:r>
            <w:r>
              <w:rPr>
                <w:rFonts w:hint="default" w:ascii="Times New Roman" w:hAnsi="Times New Roman" w:cs="Times New Roman"/>
                <w:b w:val="0"/>
                <w:bCs w:val="0"/>
                <w:color w:val="000000"/>
                <w:highlight w:val="none"/>
                <w:lang w:val="en-US" w:eastAsia="zh-CN"/>
              </w:rPr>
              <w:t>h</w:t>
            </w:r>
            <w:r>
              <w:rPr>
                <w:rFonts w:hint="default" w:ascii="Times New Roman" w:hAnsi="Times New Roman" w:cs="Times New Roman"/>
                <w:b w:val="0"/>
                <w:bCs w:val="0"/>
                <w:color w:val="000000"/>
                <w:highlight w:val="none"/>
                <w:lang w:eastAsia="zh-CN"/>
              </w:rPr>
              <w:t>，</w:t>
            </w:r>
            <w:r>
              <w:rPr>
                <w:rFonts w:hint="default" w:ascii="Times New Roman" w:hAnsi="Times New Roman" w:cs="Times New Roman"/>
                <w:b w:val="0"/>
                <w:bCs w:val="0"/>
                <w:color w:val="000000"/>
                <w:highlight w:val="none"/>
              </w:rPr>
              <w:t>H</w:t>
            </w:r>
            <w:r>
              <w:rPr>
                <w:rFonts w:hint="default" w:ascii="Times New Roman" w:hAnsi="Times New Roman" w:cs="Times New Roman"/>
                <w:b w:val="0"/>
                <w:bCs w:val="0"/>
                <w:color w:val="000000"/>
                <w:highlight w:val="none"/>
                <w:vertAlign w:val="subscript"/>
              </w:rPr>
              <w:t>2</w:t>
            </w:r>
            <w:r>
              <w:rPr>
                <w:rFonts w:hint="default" w:ascii="Times New Roman" w:hAnsi="Times New Roman" w:cs="Times New Roman"/>
                <w:b w:val="0"/>
                <w:bCs w:val="0"/>
                <w:color w:val="000000"/>
                <w:highlight w:val="none"/>
              </w:rPr>
              <w:t>S</w:t>
            </w:r>
            <w:r>
              <w:rPr>
                <w:rFonts w:hint="default" w:ascii="Times New Roman" w:hAnsi="Times New Roman" w:cs="Times New Roman"/>
                <w:b w:val="0"/>
                <w:bCs w:val="0"/>
                <w:color w:val="000000"/>
                <w:highlight w:val="none"/>
                <w:lang w:val="en-US" w:eastAsia="zh-CN"/>
              </w:rPr>
              <w:t>排放量</w:t>
            </w:r>
            <w:r>
              <w:rPr>
                <w:rFonts w:hint="default" w:ascii="Times New Roman" w:hAnsi="Times New Roman" w:cs="Times New Roman"/>
                <w:b w:val="0"/>
                <w:bCs w:val="0"/>
                <w:color w:val="000000"/>
                <w:highlight w:val="none"/>
              </w:rPr>
              <w:t>为</w:t>
            </w:r>
            <w:r>
              <w:rPr>
                <w:rFonts w:hint="default" w:ascii="Times New Roman" w:hAnsi="Times New Roman" w:cs="Times New Roman"/>
                <w:color w:val="000000"/>
                <w:highlight w:val="none"/>
                <w:lang w:val="en-US" w:eastAsia="zh-CN"/>
              </w:rPr>
              <w:t>0.00009</w:t>
            </w:r>
            <w:r>
              <w:rPr>
                <w:rFonts w:hint="default" w:ascii="Times New Roman" w:hAnsi="Times New Roman" w:cs="Times New Roman"/>
                <w:b w:val="0"/>
                <w:bCs w:val="0"/>
                <w:color w:val="000000"/>
                <w:highlight w:val="none"/>
                <w:lang w:val="en-US" w:eastAsia="zh-CN"/>
              </w:rPr>
              <w:t>kg</w:t>
            </w:r>
            <w:r>
              <w:rPr>
                <w:rFonts w:hint="default" w:ascii="Times New Roman" w:hAnsi="Times New Roman" w:cs="Times New Roman"/>
                <w:b w:val="0"/>
                <w:bCs w:val="0"/>
                <w:color w:val="000000"/>
                <w:highlight w:val="none"/>
                <w:lang w:eastAsia="zh-CN"/>
              </w:rPr>
              <w:t>/</w:t>
            </w:r>
            <w:r>
              <w:rPr>
                <w:rFonts w:hint="default" w:ascii="Times New Roman" w:hAnsi="Times New Roman" w:cs="Times New Roman"/>
                <w:b w:val="0"/>
                <w:bCs w:val="0"/>
                <w:color w:val="000000"/>
                <w:highlight w:val="none"/>
                <w:lang w:val="en-US" w:eastAsia="zh-CN"/>
              </w:rPr>
              <w:t>h；新建污水处理站</w:t>
            </w:r>
            <w:r>
              <w:rPr>
                <w:rFonts w:hint="default" w:ascii="Times New Roman" w:hAnsi="Times New Roman" w:cs="Times New Roman"/>
                <w:b w:val="0"/>
                <w:bCs w:val="0"/>
                <w:color w:val="000000"/>
                <w:highlight w:val="none"/>
                <w:lang w:eastAsia="zh-CN"/>
              </w:rPr>
              <w:t>NH</w:t>
            </w:r>
            <w:r>
              <w:rPr>
                <w:rFonts w:hint="default" w:ascii="Times New Roman" w:hAnsi="Times New Roman" w:cs="Times New Roman"/>
                <w:b w:val="0"/>
                <w:bCs w:val="0"/>
                <w:color w:val="000000"/>
                <w:highlight w:val="none"/>
                <w:vertAlign w:val="subscript"/>
                <w:lang w:eastAsia="zh-CN"/>
              </w:rPr>
              <w:t>3</w:t>
            </w:r>
            <w:r>
              <w:rPr>
                <w:rFonts w:hint="default" w:ascii="Times New Roman" w:hAnsi="Times New Roman" w:cs="Times New Roman"/>
                <w:b w:val="0"/>
                <w:bCs w:val="0"/>
                <w:color w:val="000000"/>
                <w:highlight w:val="none"/>
                <w:lang w:eastAsia="zh-CN"/>
              </w:rPr>
              <w:t>排放量为</w:t>
            </w:r>
            <w:r>
              <w:rPr>
                <w:rFonts w:hint="default" w:ascii="Times New Roman" w:hAnsi="Times New Roman" w:cs="Times New Roman"/>
                <w:color w:val="000000"/>
                <w:highlight w:val="none"/>
                <w:lang w:val="en-US" w:eastAsia="zh-CN"/>
              </w:rPr>
              <w:t>0.00107</w:t>
            </w:r>
            <w:r>
              <w:rPr>
                <w:rFonts w:hint="default" w:ascii="Times New Roman" w:hAnsi="Times New Roman" w:cs="Times New Roman"/>
                <w:b w:val="0"/>
                <w:bCs w:val="0"/>
                <w:color w:val="000000"/>
                <w:highlight w:val="none"/>
                <w:lang w:val="en-US" w:eastAsia="zh-CN"/>
              </w:rPr>
              <w:t>kg/h，</w:t>
            </w:r>
            <w:r>
              <w:rPr>
                <w:rFonts w:hint="default" w:ascii="Times New Roman" w:hAnsi="Times New Roman" w:cs="Times New Roman"/>
                <w:b w:val="0"/>
                <w:bCs w:val="0"/>
                <w:color w:val="000000"/>
                <w:highlight w:val="none"/>
              </w:rPr>
              <w:t>H</w:t>
            </w:r>
            <w:r>
              <w:rPr>
                <w:rFonts w:hint="default" w:ascii="Times New Roman" w:hAnsi="Times New Roman" w:cs="Times New Roman"/>
                <w:b w:val="0"/>
                <w:bCs w:val="0"/>
                <w:color w:val="000000"/>
                <w:highlight w:val="none"/>
                <w:vertAlign w:val="subscript"/>
              </w:rPr>
              <w:t>2</w:t>
            </w:r>
            <w:r>
              <w:rPr>
                <w:rFonts w:hint="default" w:ascii="Times New Roman" w:hAnsi="Times New Roman" w:cs="Times New Roman"/>
                <w:b w:val="0"/>
                <w:bCs w:val="0"/>
                <w:color w:val="000000"/>
                <w:highlight w:val="none"/>
              </w:rPr>
              <w:t>S</w:t>
            </w:r>
            <w:r>
              <w:rPr>
                <w:rFonts w:hint="default" w:ascii="Times New Roman" w:hAnsi="Times New Roman" w:cs="Times New Roman"/>
                <w:b w:val="0"/>
                <w:bCs w:val="0"/>
                <w:color w:val="000000"/>
                <w:highlight w:val="none"/>
                <w:lang w:val="en-US" w:eastAsia="zh-CN"/>
              </w:rPr>
              <w:t>排放量</w:t>
            </w:r>
            <w:r>
              <w:rPr>
                <w:rFonts w:hint="default" w:ascii="Times New Roman" w:hAnsi="Times New Roman" w:cs="Times New Roman"/>
                <w:b w:val="0"/>
                <w:bCs w:val="0"/>
                <w:color w:val="000000"/>
                <w:highlight w:val="none"/>
              </w:rPr>
              <w:t>为</w:t>
            </w:r>
            <w:r>
              <w:rPr>
                <w:rFonts w:hint="default" w:ascii="Times New Roman" w:hAnsi="Times New Roman" w:cs="Times New Roman"/>
                <w:color w:val="000000"/>
                <w:highlight w:val="none"/>
                <w:lang w:val="en-US" w:eastAsia="zh-CN"/>
              </w:rPr>
              <w:t>0.00004</w:t>
            </w:r>
            <w:r>
              <w:rPr>
                <w:rFonts w:hint="default" w:ascii="Times New Roman" w:hAnsi="Times New Roman" w:cs="Times New Roman"/>
                <w:b w:val="0"/>
                <w:bCs w:val="0"/>
                <w:color w:val="000000"/>
                <w:highlight w:val="none"/>
                <w:lang w:val="en-US" w:eastAsia="zh-CN"/>
              </w:rPr>
              <w:t>kg/h，均为面源污染。</w:t>
            </w:r>
          </w:p>
          <w:p w14:paraId="142619B9">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⑤大气环境评价工作等级确定</w:t>
            </w:r>
          </w:p>
          <w:p w14:paraId="4FD51D98">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本项目运营期正常排放的污染物的P</w:t>
            </w:r>
            <w:r>
              <w:rPr>
                <w:rFonts w:hint="default" w:ascii="Times New Roman" w:hAnsi="Times New Roman" w:cs="Times New Roman"/>
                <w:color w:val="000000"/>
                <w:highlight w:val="none"/>
                <w:vertAlign w:val="subscript"/>
                <w:lang w:val="en-US" w:eastAsia="zh-CN"/>
              </w:rPr>
              <w:t>max</w:t>
            </w:r>
            <w:r>
              <w:rPr>
                <w:rFonts w:hint="default" w:ascii="Times New Roman" w:hAnsi="Times New Roman" w:cs="Times New Roman"/>
                <w:color w:val="000000"/>
                <w:highlight w:val="none"/>
                <w:lang w:val="en-US" w:eastAsia="zh-CN"/>
              </w:rPr>
              <w:t>和D</w:t>
            </w:r>
            <w:r>
              <w:rPr>
                <w:rFonts w:hint="default" w:ascii="Times New Roman" w:hAnsi="Times New Roman" w:cs="Times New Roman"/>
                <w:color w:val="000000"/>
                <w:highlight w:val="none"/>
                <w:vertAlign w:val="subscript"/>
                <w:lang w:val="en-US" w:eastAsia="zh-CN"/>
              </w:rPr>
              <w:t>10%</w:t>
            </w:r>
            <w:r>
              <w:rPr>
                <w:rFonts w:hint="default" w:ascii="Times New Roman" w:hAnsi="Times New Roman" w:cs="Times New Roman"/>
                <w:color w:val="000000"/>
                <w:highlight w:val="none"/>
                <w:lang w:val="en-US" w:eastAsia="zh-CN"/>
              </w:rPr>
              <w:t>预测结果见</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REF _Ref30684 \h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3.15</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4</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val="en-US" w:eastAsia="zh-CN"/>
              </w:rPr>
              <w:t>。</w:t>
            </w:r>
          </w:p>
          <w:p w14:paraId="05482923">
            <w:pPr>
              <w:pStyle w:val="30"/>
              <w:bidi w:val="0"/>
              <w:rPr>
                <w:rFonts w:hint="default" w:ascii="Times New Roman" w:hAnsi="Times New Roman" w:cs="Times New Roman"/>
                <w:color w:val="000000"/>
                <w:highlight w:val="none"/>
                <w:lang w:val="en-US" w:eastAsia="zh-CN"/>
              </w:rPr>
            </w:pPr>
            <w:bookmarkStart w:id="227" w:name="_Ref30684"/>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3.15</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表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w:t>
            </w:r>
            <w:r>
              <w:rPr>
                <w:rFonts w:hint="default" w:ascii="Times New Roman" w:hAnsi="Times New Roman" w:cs="Times New Roman"/>
                <w:color w:val="000000"/>
                <w:highlight w:val="none"/>
              </w:rPr>
              <w:fldChar w:fldCharType="end"/>
            </w:r>
            <w:bookmarkEnd w:id="227"/>
            <w:r>
              <w:rPr>
                <w:rFonts w:hint="default" w:ascii="Times New Roman" w:hAnsi="Times New Roman" w:cs="Times New Roman"/>
                <w:color w:val="000000"/>
                <w:highlight w:val="none"/>
                <w:lang w:val="en-US" w:eastAsia="zh-CN"/>
              </w:rPr>
              <w:t xml:space="preserve">  P</w:t>
            </w:r>
            <w:r>
              <w:rPr>
                <w:rFonts w:hint="default" w:ascii="Times New Roman" w:hAnsi="Times New Roman" w:cs="Times New Roman"/>
                <w:color w:val="000000"/>
                <w:highlight w:val="none"/>
                <w:vertAlign w:val="subscript"/>
                <w:lang w:val="en-US" w:eastAsia="zh-CN"/>
              </w:rPr>
              <w:t>max</w:t>
            </w:r>
            <w:r>
              <w:rPr>
                <w:rFonts w:hint="default" w:ascii="Times New Roman" w:hAnsi="Times New Roman" w:cs="Times New Roman"/>
                <w:color w:val="000000"/>
                <w:highlight w:val="none"/>
                <w:lang w:val="en-US" w:eastAsia="zh-CN"/>
              </w:rPr>
              <w:t>和D</w:t>
            </w:r>
            <w:r>
              <w:rPr>
                <w:rFonts w:hint="default" w:ascii="Times New Roman" w:hAnsi="Times New Roman" w:cs="Times New Roman"/>
                <w:color w:val="000000"/>
                <w:highlight w:val="none"/>
                <w:vertAlign w:val="subscript"/>
                <w:lang w:val="en-US" w:eastAsia="zh-CN"/>
              </w:rPr>
              <w:t>10%</w:t>
            </w:r>
            <w:r>
              <w:rPr>
                <w:rFonts w:hint="default" w:ascii="Times New Roman" w:hAnsi="Times New Roman" w:cs="Times New Roman"/>
                <w:color w:val="000000"/>
                <w:highlight w:val="none"/>
                <w:lang w:val="en-US" w:eastAsia="zh-CN"/>
              </w:rPr>
              <w:t>预测结果一览表</w:t>
            </w:r>
          </w:p>
          <w:tbl>
            <w:tblPr>
              <w:tblStyle w:val="22"/>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00"/>
              <w:gridCol w:w="1259"/>
              <w:gridCol w:w="1431"/>
              <w:gridCol w:w="1431"/>
              <w:gridCol w:w="1431"/>
              <w:gridCol w:w="1431"/>
            </w:tblGrid>
            <w:tr w14:paraId="075D6C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32" w:type="pct"/>
                  <w:noWrap w:val="0"/>
                  <w:vAlign w:val="center"/>
                </w:tcPr>
                <w:p w14:paraId="596EC692">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无组织排放源</w:t>
                  </w:r>
                </w:p>
              </w:tc>
              <w:tc>
                <w:tcPr>
                  <w:tcW w:w="733" w:type="pct"/>
                  <w:noWrap w:val="0"/>
                  <w:vAlign w:val="center"/>
                </w:tcPr>
                <w:p w14:paraId="68DFCC91">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预测因子</w:t>
                  </w:r>
                </w:p>
              </w:tc>
              <w:tc>
                <w:tcPr>
                  <w:tcW w:w="833" w:type="pct"/>
                  <w:noWrap w:val="0"/>
                  <w:vAlign w:val="center"/>
                </w:tcPr>
                <w:p w14:paraId="1D3B9205">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评价标准（mg/m</w:t>
                  </w:r>
                  <w:r>
                    <w:rPr>
                      <w:rFonts w:hint="default" w:ascii="Times New Roman" w:hAnsi="Times New Roman" w:cs="Times New Roman"/>
                      <w:b/>
                      <w:bCs/>
                      <w:color w:val="000000"/>
                      <w:highlight w:val="none"/>
                      <w:vertAlign w:val="superscript"/>
                      <w:lang w:val="en-US" w:eastAsia="zh-CN"/>
                    </w:rPr>
                    <w:t>3</w:t>
                  </w:r>
                  <w:r>
                    <w:rPr>
                      <w:rFonts w:hint="default" w:ascii="Times New Roman" w:hAnsi="Times New Roman" w:cs="Times New Roman"/>
                      <w:b/>
                      <w:bCs/>
                      <w:color w:val="000000"/>
                      <w:highlight w:val="none"/>
                      <w:lang w:val="en-US" w:eastAsia="zh-CN"/>
                    </w:rPr>
                    <w:t>）</w:t>
                  </w:r>
                </w:p>
              </w:tc>
              <w:tc>
                <w:tcPr>
                  <w:tcW w:w="833" w:type="pct"/>
                  <w:noWrap w:val="0"/>
                  <w:vAlign w:val="center"/>
                </w:tcPr>
                <w:p w14:paraId="5CA23BDE">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C</w:t>
                  </w:r>
                  <w:r>
                    <w:rPr>
                      <w:rFonts w:hint="default" w:ascii="Times New Roman" w:hAnsi="Times New Roman" w:cs="Times New Roman"/>
                      <w:b/>
                      <w:bCs/>
                      <w:color w:val="000000"/>
                      <w:highlight w:val="none"/>
                      <w:vertAlign w:val="subscript"/>
                      <w:lang w:val="en-US" w:eastAsia="zh-CN"/>
                    </w:rPr>
                    <w:t>max</w:t>
                  </w:r>
                  <w:r>
                    <w:rPr>
                      <w:rFonts w:hint="default" w:ascii="Times New Roman" w:hAnsi="Times New Roman" w:cs="Times New Roman"/>
                      <w:b/>
                      <w:bCs/>
                      <w:color w:val="000000"/>
                      <w:highlight w:val="none"/>
                      <w:lang w:val="en-US" w:eastAsia="zh-CN"/>
                    </w:rPr>
                    <w:t>（mg/m</w:t>
                  </w:r>
                  <w:r>
                    <w:rPr>
                      <w:rFonts w:hint="default" w:ascii="Times New Roman" w:hAnsi="Times New Roman" w:cs="Times New Roman"/>
                      <w:b/>
                      <w:bCs/>
                      <w:color w:val="000000"/>
                      <w:highlight w:val="none"/>
                      <w:vertAlign w:val="superscript"/>
                      <w:lang w:val="en-US" w:eastAsia="zh-CN"/>
                    </w:rPr>
                    <w:t>3</w:t>
                  </w:r>
                  <w:r>
                    <w:rPr>
                      <w:rFonts w:hint="default" w:ascii="Times New Roman" w:hAnsi="Times New Roman" w:cs="Times New Roman"/>
                      <w:b/>
                      <w:bCs/>
                      <w:color w:val="000000"/>
                      <w:highlight w:val="none"/>
                      <w:lang w:val="en-US" w:eastAsia="zh-CN"/>
                    </w:rPr>
                    <w:t>）</w:t>
                  </w:r>
                </w:p>
              </w:tc>
              <w:tc>
                <w:tcPr>
                  <w:tcW w:w="833" w:type="pct"/>
                  <w:noWrap w:val="0"/>
                  <w:vAlign w:val="center"/>
                </w:tcPr>
                <w:p w14:paraId="147F21E8">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P</w:t>
                  </w:r>
                  <w:r>
                    <w:rPr>
                      <w:rFonts w:hint="default" w:ascii="Times New Roman" w:hAnsi="Times New Roman" w:cs="Times New Roman"/>
                      <w:b/>
                      <w:bCs/>
                      <w:color w:val="000000"/>
                      <w:highlight w:val="none"/>
                      <w:vertAlign w:val="subscript"/>
                      <w:lang w:val="en-US" w:eastAsia="zh-CN"/>
                    </w:rPr>
                    <w:t>max</w:t>
                  </w:r>
                  <w:r>
                    <w:rPr>
                      <w:rFonts w:hint="default" w:ascii="Times New Roman" w:hAnsi="Times New Roman" w:cs="Times New Roman"/>
                      <w:b/>
                      <w:bCs/>
                      <w:color w:val="000000"/>
                      <w:highlight w:val="none"/>
                      <w:lang w:val="en-US" w:eastAsia="zh-CN"/>
                    </w:rPr>
                    <w:t>（%）</w:t>
                  </w:r>
                </w:p>
              </w:tc>
              <w:tc>
                <w:tcPr>
                  <w:tcW w:w="833" w:type="pct"/>
                  <w:noWrap w:val="0"/>
                  <w:vAlign w:val="center"/>
                </w:tcPr>
                <w:p w14:paraId="255A492F">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D10%（m）</w:t>
                  </w:r>
                </w:p>
              </w:tc>
            </w:tr>
            <w:tr w14:paraId="43D7F2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32" w:type="pct"/>
                  <w:vMerge w:val="restart"/>
                  <w:noWrap w:val="0"/>
                  <w:vAlign w:val="center"/>
                </w:tcPr>
                <w:p w14:paraId="32CE73D4">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新建码头</w:t>
                  </w:r>
                </w:p>
              </w:tc>
              <w:tc>
                <w:tcPr>
                  <w:tcW w:w="733" w:type="pct"/>
                  <w:noWrap w:val="0"/>
                  <w:vAlign w:val="center"/>
                </w:tcPr>
                <w:p w14:paraId="60FBDAE1">
                  <w:pPr>
                    <w:pStyle w:val="31"/>
                    <w:bidi w:val="0"/>
                    <w:jc w:val="center"/>
                    <w:rPr>
                      <w:rFonts w:hint="default" w:ascii="Times New Roman" w:hAnsi="Times New Roman" w:cs="Times New Roman"/>
                      <w:b w:val="0"/>
                      <w:bCs w:val="0"/>
                      <w:color w:val="000000"/>
                      <w:highlight w:val="none"/>
                      <w:lang w:val="en-US" w:eastAsia="zh-CN"/>
                    </w:rPr>
                  </w:pPr>
                  <w:r>
                    <w:rPr>
                      <w:rFonts w:hint="default" w:ascii="Times New Roman" w:hAnsi="Times New Roman" w:cs="Times New Roman"/>
                      <w:b w:val="0"/>
                      <w:bCs w:val="0"/>
                      <w:color w:val="000000"/>
                      <w:highlight w:val="none"/>
                      <w:lang w:val="en-US" w:eastAsia="zh-CN"/>
                    </w:rPr>
                    <w:t>NH</w:t>
                  </w:r>
                  <w:r>
                    <w:rPr>
                      <w:rFonts w:hint="default" w:ascii="Times New Roman" w:hAnsi="Times New Roman" w:cs="Times New Roman"/>
                      <w:b w:val="0"/>
                      <w:bCs w:val="0"/>
                      <w:color w:val="000000"/>
                      <w:highlight w:val="none"/>
                      <w:vertAlign w:val="subscript"/>
                      <w:lang w:val="en-US" w:eastAsia="zh-CN"/>
                    </w:rPr>
                    <w:t>3</w:t>
                  </w:r>
                </w:p>
              </w:tc>
              <w:tc>
                <w:tcPr>
                  <w:tcW w:w="833" w:type="pct"/>
                  <w:noWrap w:val="0"/>
                  <w:vAlign w:val="center"/>
                </w:tcPr>
                <w:p w14:paraId="305E1CC6">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0.2</w:t>
                  </w:r>
                </w:p>
              </w:tc>
              <w:tc>
                <w:tcPr>
                  <w:tcW w:w="1540" w:type="dxa"/>
                  <w:noWrap w:val="0"/>
                  <w:vAlign w:val="center"/>
                </w:tcPr>
                <w:p w14:paraId="751E4773">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0.00260</w:t>
                  </w:r>
                </w:p>
              </w:tc>
              <w:tc>
                <w:tcPr>
                  <w:tcW w:w="1540" w:type="dxa"/>
                  <w:noWrap w:val="0"/>
                  <w:vAlign w:val="center"/>
                </w:tcPr>
                <w:p w14:paraId="5C59B6E2">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1.30</w:t>
                  </w:r>
                </w:p>
              </w:tc>
              <w:tc>
                <w:tcPr>
                  <w:tcW w:w="833" w:type="pct"/>
                  <w:noWrap w:val="0"/>
                  <w:vAlign w:val="center"/>
                </w:tcPr>
                <w:p w14:paraId="046C4E71">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w:t>
                  </w:r>
                </w:p>
              </w:tc>
            </w:tr>
            <w:tr w14:paraId="33864F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32" w:type="pct"/>
                  <w:vMerge w:val="continue"/>
                  <w:noWrap w:val="0"/>
                  <w:vAlign w:val="center"/>
                </w:tcPr>
                <w:p w14:paraId="0CC3A7FD">
                  <w:pPr>
                    <w:pStyle w:val="31"/>
                    <w:bidi w:val="0"/>
                    <w:ind w:firstLine="0" w:firstLineChars="0"/>
                    <w:jc w:val="center"/>
                    <w:rPr>
                      <w:rFonts w:hint="default" w:ascii="Times New Roman" w:hAnsi="Times New Roman" w:cs="Times New Roman"/>
                      <w:color w:val="000000"/>
                      <w:highlight w:val="none"/>
                      <w:lang w:val="en-US" w:eastAsia="zh-CN"/>
                    </w:rPr>
                  </w:pPr>
                </w:p>
              </w:tc>
              <w:tc>
                <w:tcPr>
                  <w:tcW w:w="733" w:type="pct"/>
                  <w:noWrap w:val="0"/>
                  <w:vAlign w:val="center"/>
                </w:tcPr>
                <w:p w14:paraId="17AF53FB">
                  <w:pPr>
                    <w:pStyle w:val="31"/>
                    <w:bidi w:val="0"/>
                    <w:jc w:val="center"/>
                    <w:rPr>
                      <w:rFonts w:hint="default" w:ascii="Times New Roman" w:hAnsi="Times New Roman" w:cs="Times New Roman"/>
                      <w:b w:val="0"/>
                      <w:bCs w:val="0"/>
                      <w:color w:val="000000"/>
                      <w:highlight w:val="none"/>
                      <w:lang w:val="en-US" w:eastAsia="zh-CN"/>
                    </w:rPr>
                  </w:pPr>
                  <w:r>
                    <w:rPr>
                      <w:rFonts w:hint="default" w:ascii="Times New Roman" w:hAnsi="Times New Roman" w:cs="Times New Roman"/>
                      <w:b w:val="0"/>
                      <w:bCs w:val="0"/>
                      <w:color w:val="000000"/>
                      <w:highlight w:val="none"/>
                      <w:lang w:val="en-US" w:eastAsia="zh-CN"/>
                    </w:rPr>
                    <w:t>H</w:t>
                  </w:r>
                  <w:r>
                    <w:rPr>
                      <w:rFonts w:hint="default" w:ascii="Times New Roman" w:hAnsi="Times New Roman" w:cs="Times New Roman"/>
                      <w:b w:val="0"/>
                      <w:bCs w:val="0"/>
                      <w:color w:val="000000"/>
                      <w:highlight w:val="none"/>
                      <w:vertAlign w:val="subscript"/>
                      <w:lang w:val="en-US" w:eastAsia="zh-CN"/>
                    </w:rPr>
                    <w:t>2</w:t>
                  </w:r>
                  <w:r>
                    <w:rPr>
                      <w:rFonts w:hint="default" w:ascii="Times New Roman" w:hAnsi="Times New Roman" w:cs="Times New Roman"/>
                      <w:b w:val="0"/>
                      <w:bCs w:val="0"/>
                      <w:color w:val="000000"/>
                      <w:highlight w:val="none"/>
                      <w:lang w:val="en-US" w:eastAsia="zh-CN"/>
                    </w:rPr>
                    <w:t>S</w:t>
                  </w:r>
                </w:p>
              </w:tc>
              <w:tc>
                <w:tcPr>
                  <w:tcW w:w="833" w:type="pct"/>
                  <w:noWrap w:val="0"/>
                  <w:vAlign w:val="center"/>
                </w:tcPr>
                <w:p w14:paraId="4675D34D">
                  <w:pPr>
                    <w:pStyle w:val="31"/>
                    <w:bidi w:val="0"/>
                    <w:ind w:firstLine="0" w:firstLineChars="0"/>
                    <w:jc w:val="center"/>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0.01</w:t>
                  </w:r>
                </w:p>
              </w:tc>
              <w:tc>
                <w:tcPr>
                  <w:tcW w:w="1540" w:type="dxa"/>
                  <w:noWrap w:val="0"/>
                  <w:vAlign w:val="center"/>
                </w:tcPr>
                <w:p w14:paraId="6D1DE249">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0.000244</w:t>
                  </w:r>
                </w:p>
              </w:tc>
              <w:tc>
                <w:tcPr>
                  <w:tcW w:w="1540" w:type="dxa"/>
                  <w:noWrap w:val="0"/>
                  <w:vAlign w:val="center"/>
                </w:tcPr>
                <w:p w14:paraId="1A6B8C70">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2.44</w:t>
                  </w:r>
                </w:p>
              </w:tc>
              <w:tc>
                <w:tcPr>
                  <w:tcW w:w="833" w:type="pct"/>
                  <w:noWrap w:val="0"/>
                  <w:vAlign w:val="center"/>
                </w:tcPr>
                <w:p w14:paraId="1D288D3E">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w:t>
                  </w:r>
                </w:p>
              </w:tc>
            </w:tr>
            <w:tr w14:paraId="0B12B2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32" w:type="pct"/>
                  <w:vMerge w:val="restart"/>
                  <w:noWrap w:val="0"/>
                  <w:vAlign w:val="center"/>
                </w:tcPr>
                <w:p w14:paraId="3CB58C65">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新建卸渔区</w:t>
                  </w:r>
                </w:p>
              </w:tc>
              <w:tc>
                <w:tcPr>
                  <w:tcW w:w="733" w:type="pct"/>
                  <w:noWrap w:val="0"/>
                  <w:vAlign w:val="center"/>
                </w:tcPr>
                <w:p w14:paraId="1909396C">
                  <w:pPr>
                    <w:pStyle w:val="31"/>
                    <w:bidi w:val="0"/>
                    <w:jc w:val="center"/>
                    <w:rPr>
                      <w:rFonts w:hint="default" w:ascii="Times New Roman" w:hAnsi="Times New Roman" w:cs="Times New Roman"/>
                      <w:b w:val="0"/>
                      <w:bCs w:val="0"/>
                      <w:color w:val="000000"/>
                      <w:highlight w:val="none"/>
                      <w:lang w:val="en-US" w:eastAsia="zh-CN"/>
                    </w:rPr>
                  </w:pPr>
                  <w:r>
                    <w:rPr>
                      <w:rFonts w:hint="default" w:ascii="Times New Roman" w:hAnsi="Times New Roman" w:cs="Times New Roman"/>
                      <w:b w:val="0"/>
                      <w:bCs w:val="0"/>
                      <w:color w:val="000000"/>
                      <w:highlight w:val="none"/>
                      <w:lang w:val="en-US" w:eastAsia="zh-CN"/>
                    </w:rPr>
                    <w:t>NH</w:t>
                  </w:r>
                  <w:r>
                    <w:rPr>
                      <w:rFonts w:hint="default" w:ascii="Times New Roman" w:hAnsi="Times New Roman" w:cs="Times New Roman"/>
                      <w:b w:val="0"/>
                      <w:bCs w:val="0"/>
                      <w:color w:val="000000"/>
                      <w:highlight w:val="none"/>
                      <w:vertAlign w:val="subscript"/>
                      <w:lang w:val="en-US" w:eastAsia="zh-CN"/>
                    </w:rPr>
                    <w:t>3</w:t>
                  </w:r>
                </w:p>
              </w:tc>
              <w:tc>
                <w:tcPr>
                  <w:tcW w:w="833" w:type="pct"/>
                  <w:noWrap w:val="0"/>
                  <w:vAlign w:val="center"/>
                </w:tcPr>
                <w:p w14:paraId="0AAD235C">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0.2</w:t>
                  </w:r>
                </w:p>
              </w:tc>
              <w:tc>
                <w:tcPr>
                  <w:tcW w:w="1540" w:type="dxa"/>
                  <w:noWrap w:val="0"/>
                  <w:vAlign w:val="center"/>
                </w:tcPr>
                <w:p w14:paraId="1E25CDCE">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0.00354</w:t>
                  </w:r>
                </w:p>
              </w:tc>
              <w:tc>
                <w:tcPr>
                  <w:tcW w:w="1540" w:type="dxa"/>
                  <w:noWrap w:val="0"/>
                  <w:vAlign w:val="center"/>
                </w:tcPr>
                <w:p w14:paraId="7F34F386">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1.77</w:t>
                  </w:r>
                </w:p>
              </w:tc>
              <w:tc>
                <w:tcPr>
                  <w:tcW w:w="833" w:type="pct"/>
                  <w:noWrap w:val="0"/>
                  <w:vAlign w:val="center"/>
                </w:tcPr>
                <w:p w14:paraId="37B935DE">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w:t>
                  </w:r>
                </w:p>
              </w:tc>
            </w:tr>
            <w:tr w14:paraId="5AF9C5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32" w:type="pct"/>
                  <w:vMerge w:val="continue"/>
                  <w:noWrap w:val="0"/>
                  <w:vAlign w:val="center"/>
                </w:tcPr>
                <w:p w14:paraId="3B82AA87">
                  <w:pPr>
                    <w:pStyle w:val="31"/>
                    <w:bidi w:val="0"/>
                    <w:ind w:firstLine="0" w:firstLineChars="0"/>
                    <w:jc w:val="center"/>
                    <w:rPr>
                      <w:rFonts w:hint="default" w:ascii="Times New Roman" w:hAnsi="Times New Roman" w:cs="Times New Roman"/>
                      <w:color w:val="000000"/>
                      <w:highlight w:val="none"/>
                      <w:lang w:val="en-US" w:eastAsia="zh-CN"/>
                    </w:rPr>
                  </w:pPr>
                </w:p>
              </w:tc>
              <w:tc>
                <w:tcPr>
                  <w:tcW w:w="733" w:type="pct"/>
                  <w:noWrap w:val="0"/>
                  <w:vAlign w:val="center"/>
                </w:tcPr>
                <w:p w14:paraId="0BE03292">
                  <w:pPr>
                    <w:pStyle w:val="31"/>
                    <w:bidi w:val="0"/>
                    <w:jc w:val="center"/>
                    <w:rPr>
                      <w:rFonts w:hint="default" w:ascii="Times New Roman" w:hAnsi="Times New Roman" w:cs="Times New Roman"/>
                      <w:b w:val="0"/>
                      <w:bCs w:val="0"/>
                      <w:color w:val="000000"/>
                      <w:highlight w:val="none"/>
                      <w:lang w:val="en-US" w:eastAsia="zh-CN"/>
                    </w:rPr>
                  </w:pPr>
                  <w:r>
                    <w:rPr>
                      <w:rFonts w:hint="default" w:ascii="Times New Roman" w:hAnsi="Times New Roman" w:cs="Times New Roman"/>
                      <w:b w:val="0"/>
                      <w:bCs w:val="0"/>
                      <w:color w:val="000000"/>
                      <w:highlight w:val="none"/>
                      <w:lang w:val="en-US" w:eastAsia="zh-CN"/>
                    </w:rPr>
                    <w:t>H</w:t>
                  </w:r>
                  <w:r>
                    <w:rPr>
                      <w:rFonts w:hint="default" w:ascii="Times New Roman" w:hAnsi="Times New Roman" w:cs="Times New Roman"/>
                      <w:b w:val="0"/>
                      <w:bCs w:val="0"/>
                      <w:color w:val="000000"/>
                      <w:highlight w:val="none"/>
                      <w:vertAlign w:val="subscript"/>
                      <w:lang w:val="en-US" w:eastAsia="zh-CN"/>
                    </w:rPr>
                    <w:t>2</w:t>
                  </w:r>
                  <w:r>
                    <w:rPr>
                      <w:rFonts w:hint="default" w:ascii="Times New Roman" w:hAnsi="Times New Roman" w:cs="Times New Roman"/>
                      <w:b w:val="0"/>
                      <w:bCs w:val="0"/>
                      <w:color w:val="000000"/>
                      <w:highlight w:val="none"/>
                      <w:lang w:val="en-US" w:eastAsia="zh-CN"/>
                    </w:rPr>
                    <w:t>S</w:t>
                  </w:r>
                </w:p>
              </w:tc>
              <w:tc>
                <w:tcPr>
                  <w:tcW w:w="833" w:type="pct"/>
                  <w:noWrap w:val="0"/>
                  <w:vAlign w:val="center"/>
                </w:tcPr>
                <w:p w14:paraId="77BF35D7">
                  <w:pPr>
                    <w:pStyle w:val="31"/>
                    <w:bidi w:val="0"/>
                    <w:ind w:firstLine="0" w:firstLineChars="0"/>
                    <w:jc w:val="center"/>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0.01</w:t>
                  </w:r>
                </w:p>
              </w:tc>
              <w:tc>
                <w:tcPr>
                  <w:tcW w:w="1540" w:type="dxa"/>
                  <w:noWrap w:val="0"/>
                  <w:vAlign w:val="center"/>
                </w:tcPr>
                <w:p w14:paraId="7498671F">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0.000379</w:t>
                  </w:r>
                </w:p>
              </w:tc>
              <w:tc>
                <w:tcPr>
                  <w:tcW w:w="1540" w:type="dxa"/>
                  <w:noWrap w:val="0"/>
                  <w:vAlign w:val="center"/>
                </w:tcPr>
                <w:p w14:paraId="2DD4EB6A">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3.79</w:t>
                  </w:r>
                </w:p>
              </w:tc>
              <w:tc>
                <w:tcPr>
                  <w:tcW w:w="833" w:type="pct"/>
                  <w:noWrap w:val="0"/>
                  <w:vAlign w:val="center"/>
                </w:tcPr>
                <w:p w14:paraId="7B5009E9">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w:t>
                  </w:r>
                </w:p>
              </w:tc>
            </w:tr>
            <w:tr w14:paraId="3E6238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32" w:type="pct"/>
                  <w:vMerge w:val="restart"/>
                  <w:shd w:val="clear" w:color="auto" w:fill="auto"/>
                  <w:noWrap w:val="0"/>
                  <w:vAlign w:val="center"/>
                </w:tcPr>
                <w:p w14:paraId="7EA9592E">
                  <w:pPr>
                    <w:pStyle w:val="31"/>
                    <w:bidi w:val="0"/>
                    <w:jc w:val="center"/>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新建污水处理站</w:t>
                  </w:r>
                </w:p>
              </w:tc>
              <w:tc>
                <w:tcPr>
                  <w:tcW w:w="733" w:type="pct"/>
                  <w:shd w:val="clear" w:color="auto" w:fill="auto"/>
                  <w:noWrap w:val="0"/>
                  <w:vAlign w:val="center"/>
                </w:tcPr>
                <w:p w14:paraId="70B18BA5">
                  <w:pPr>
                    <w:pStyle w:val="31"/>
                    <w:bidi w:val="0"/>
                    <w:ind w:firstLine="0" w:firstLineChars="0"/>
                    <w:jc w:val="center"/>
                    <w:rPr>
                      <w:rFonts w:hint="default" w:ascii="Times New Roman" w:hAnsi="Times New Roman" w:cs="Times New Roman"/>
                      <w:color w:val="000000"/>
                      <w:highlight w:val="none"/>
                      <w:lang w:eastAsia="zh-CN"/>
                    </w:rPr>
                  </w:pPr>
                  <w:r>
                    <w:rPr>
                      <w:rFonts w:hint="default" w:ascii="Times New Roman" w:hAnsi="Times New Roman" w:cs="Times New Roman"/>
                      <w:b w:val="0"/>
                      <w:bCs w:val="0"/>
                      <w:color w:val="000000"/>
                      <w:highlight w:val="none"/>
                      <w:lang w:val="en-US" w:eastAsia="zh-CN"/>
                    </w:rPr>
                    <w:t>NH</w:t>
                  </w:r>
                  <w:r>
                    <w:rPr>
                      <w:rFonts w:hint="default" w:ascii="Times New Roman" w:hAnsi="Times New Roman" w:cs="Times New Roman"/>
                      <w:b w:val="0"/>
                      <w:bCs w:val="0"/>
                      <w:color w:val="000000"/>
                      <w:highlight w:val="none"/>
                      <w:vertAlign w:val="subscript"/>
                      <w:lang w:val="en-US" w:eastAsia="zh-CN"/>
                    </w:rPr>
                    <w:t>3</w:t>
                  </w:r>
                </w:p>
              </w:tc>
              <w:tc>
                <w:tcPr>
                  <w:tcW w:w="833" w:type="pct"/>
                  <w:shd w:val="clear" w:color="auto" w:fill="auto"/>
                  <w:noWrap w:val="0"/>
                  <w:vAlign w:val="center"/>
                </w:tcPr>
                <w:p w14:paraId="3B416DEB">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0.2</w:t>
                  </w:r>
                </w:p>
              </w:tc>
              <w:tc>
                <w:tcPr>
                  <w:tcW w:w="1540" w:type="dxa"/>
                  <w:shd w:val="clear" w:color="auto" w:fill="auto"/>
                  <w:noWrap w:val="0"/>
                  <w:vAlign w:val="center"/>
                </w:tcPr>
                <w:p w14:paraId="4BE2690B">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0.0148</w:t>
                  </w:r>
                </w:p>
              </w:tc>
              <w:tc>
                <w:tcPr>
                  <w:tcW w:w="1540" w:type="dxa"/>
                  <w:shd w:val="clear" w:color="auto" w:fill="A4A4A4"/>
                  <w:noWrap w:val="0"/>
                  <w:vAlign w:val="center"/>
                </w:tcPr>
                <w:p w14:paraId="6642F0F0">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7.39</w:t>
                  </w:r>
                </w:p>
              </w:tc>
              <w:tc>
                <w:tcPr>
                  <w:tcW w:w="833" w:type="pct"/>
                  <w:noWrap w:val="0"/>
                  <w:vAlign w:val="center"/>
                </w:tcPr>
                <w:p w14:paraId="7B660A0B">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w:t>
                  </w:r>
                </w:p>
              </w:tc>
            </w:tr>
            <w:tr w14:paraId="7424B8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32" w:type="pct"/>
                  <w:vMerge w:val="continue"/>
                  <w:noWrap w:val="0"/>
                  <w:vAlign w:val="center"/>
                </w:tcPr>
                <w:p w14:paraId="6B4524C9">
                  <w:pPr>
                    <w:pStyle w:val="31"/>
                    <w:bidi w:val="0"/>
                    <w:jc w:val="center"/>
                    <w:rPr>
                      <w:rFonts w:hint="default" w:ascii="Times New Roman" w:hAnsi="Times New Roman" w:cs="Times New Roman"/>
                      <w:color w:val="000000"/>
                      <w:highlight w:val="none"/>
                      <w:lang w:eastAsia="zh-CN"/>
                    </w:rPr>
                  </w:pPr>
                </w:p>
              </w:tc>
              <w:tc>
                <w:tcPr>
                  <w:tcW w:w="733" w:type="pct"/>
                  <w:noWrap w:val="0"/>
                  <w:vAlign w:val="center"/>
                </w:tcPr>
                <w:p w14:paraId="33018FC7">
                  <w:pPr>
                    <w:pStyle w:val="31"/>
                    <w:bidi w:val="0"/>
                    <w:ind w:firstLine="0" w:firstLineChars="0"/>
                    <w:jc w:val="center"/>
                    <w:rPr>
                      <w:rFonts w:hint="default" w:ascii="Times New Roman" w:hAnsi="Times New Roman" w:cs="Times New Roman"/>
                      <w:color w:val="000000"/>
                      <w:highlight w:val="none"/>
                      <w:lang w:eastAsia="zh-CN"/>
                    </w:rPr>
                  </w:pPr>
                  <w:r>
                    <w:rPr>
                      <w:rFonts w:hint="default" w:ascii="Times New Roman" w:hAnsi="Times New Roman" w:cs="Times New Roman"/>
                      <w:b w:val="0"/>
                      <w:bCs w:val="0"/>
                      <w:color w:val="000000"/>
                      <w:highlight w:val="none"/>
                      <w:lang w:val="en-US" w:eastAsia="zh-CN"/>
                    </w:rPr>
                    <w:t>H</w:t>
                  </w:r>
                  <w:r>
                    <w:rPr>
                      <w:rFonts w:hint="default" w:ascii="Times New Roman" w:hAnsi="Times New Roman" w:cs="Times New Roman"/>
                      <w:b w:val="0"/>
                      <w:bCs w:val="0"/>
                      <w:color w:val="000000"/>
                      <w:highlight w:val="none"/>
                      <w:vertAlign w:val="subscript"/>
                      <w:lang w:val="en-US" w:eastAsia="zh-CN"/>
                    </w:rPr>
                    <w:t>2</w:t>
                  </w:r>
                  <w:r>
                    <w:rPr>
                      <w:rFonts w:hint="default" w:ascii="Times New Roman" w:hAnsi="Times New Roman" w:cs="Times New Roman"/>
                      <w:b w:val="0"/>
                      <w:bCs w:val="0"/>
                      <w:color w:val="000000"/>
                      <w:highlight w:val="none"/>
                      <w:lang w:val="en-US" w:eastAsia="zh-CN"/>
                    </w:rPr>
                    <w:t>S</w:t>
                  </w:r>
                </w:p>
              </w:tc>
              <w:tc>
                <w:tcPr>
                  <w:tcW w:w="833" w:type="pct"/>
                  <w:noWrap w:val="0"/>
                  <w:vAlign w:val="center"/>
                </w:tcPr>
                <w:p w14:paraId="2031D0DC">
                  <w:pPr>
                    <w:pStyle w:val="31"/>
                    <w:bidi w:val="0"/>
                    <w:ind w:firstLine="0" w:firstLineChars="0"/>
                    <w:jc w:val="center"/>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0.01</w:t>
                  </w:r>
                </w:p>
              </w:tc>
              <w:tc>
                <w:tcPr>
                  <w:tcW w:w="1540" w:type="dxa"/>
                  <w:noWrap w:val="0"/>
                  <w:vAlign w:val="center"/>
                </w:tcPr>
                <w:p w14:paraId="3D4A7C9A">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0.000553</w:t>
                  </w:r>
                </w:p>
              </w:tc>
              <w:tc>
                <w:tcPr>
                  <w:tcW w:w="1540" w:type="dxa"/>
                  <w:noWrap w:val="0"/>
                  <w:vAlign w:val="center"/>
                </w:tcPr>
                <w:p w14:paraId="1D14A38C">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5.53</w:t>
                  </w:r>
                </w:p>
              </w:tc>
              <w:tc>
                <w:tcPr>
                  <w:tcW w:w="833" w:type="pct"/>
                  <w:noWrap w:val="0"/>
                  <w:vAlign w:val="center"/>
                </w:tcPr>
                <w:p w14:paraId="49628C17">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w:t>
                  </w:r>
                </w:p>
              </w:tc>
            </w:tr>
          </w:tbl>
          <w:p w14:paraId="4E8AC7F9">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本工程P</w:t>
            </w:r>
            <w:r>
              <w:rPr>
                <w:rFonts w:hint="default" w:ascii="Times New Roman" w:hAnsi="Times New Roman" w:cs="Times New Roman"/>
                <w:color w:val="000000"/>
                <w:highlight w:val="none"/>
                <w:vertAlign w:val="subscript"/>
                <w:lang w:val="en-US" w:eastAsia="zh-CN"/>
              </w:rPr>
              <w:t>max</w:t>
            </w:r>
            <w:r>
              <w:rPr>
                <w:rFonts w:hint="default" w:ascii="Times New Roman" w:hAnsi="Times New Roman" w:cs="Times New Roman"/>
                <w:color w:val="000000"/>
                <w:highlight w:val="none"/>
                <w:lang w:val="en-US" w:eastAsia="zh-CN"/>
              </w:rPr>
              <w:t>最大值出现为新建污水处理站面源排放的</w:t>
            </w:r>
            <w:r>
              <w:rPr>
                <w:rFonts w:hint="default" w:ascii="Times New Roman" w:hAnsi="Times New Roman" w:cs="Times New Roman"/>
                <w:b w:val="0"/>
                <w:bCs w:val="0"/>
                <w:color w:val="000000"/>
                <w:highlight w:val="none"/>
                <w:lang w:val="en-US" w:eastAsia="zh-CN"/>
              </w:rPr>
              <w:t>NH</w:t>
            </w:r>
            <w:r>
              <w:rPr>
                <w:rFonts w:hint="default" w:ascii="Times New Roman" w:hAnsi="Times New Roman" w:cs="Times New Roman"/>
                <w:b w:val="0"/>
                <w:bCs w:val="0"/>
                <w:color w:val="000000"/>
                <w:highlight w:val="none"/>
                <w:vertAlign w:val="subscript"/>
                <w:lang w:val="en-US" w:eastAsia="zh-CN"/>
              </w:rPr>
              <w:t>3</w:t>
            </w:r>
            <w:r>
              <w:rPr>
                <w:rFonts w:hint="default" w:ascii="Times New Roman" w:hAnsi="Times New Roman" w:cs="Times New Roman"/>
                <w:color w:val="000000"/>
                <w:highlight w:val="none"/>
                <w:lang w:val="en-US" w:eastAsia="zh-CN"/>
              </w:rPr>
              <w:t>：P</w:t>
            </w:r>
            <w:r>
              <w:rPr>
                <w:rFonts w:hint="default" w:ascii="Times New Roman" w:hAnsi="Times New Roman" w:cs="Times New Roman"/>
                <w:color w:val="000000"/>
                <w:highlight w:val="none"/>
                <w:vertAlign w:val="subscript"/>
                <w:lang w:val="en-US" w:eastAsia="zh-CN"/>
              </w:rPr>
              <w:t>max</w:t>
            </w:r>
            <w:r>
              <w:rPr>
                <w:rFonts w:hint="default" w:ascii="Times New Roman" w:hAnsi="Times New Roman" w:cs="Times New Roman"/>
                <w:color w:val="000000"/>
                <w:highlight w:val="none"/>
                <w:lang w:val="en-US" w:eastAsia="zh-CN"/>
              </w:rPr>
              <w:t>值为7.39%，根据《环境影响评价技术导则 大气环境》（HJ2.2-2018）分级判据，确定本工程大气环境影响评价工作等级为二级。按照《环境影响评价技术导则 大气环境》（HJ2.2-2018），二级评价项目不进行进一步预测与评价，只对污染物排放量进行核算。</w:t>
            </w:r>
          </w:p>
          <w:p w14:paraId="776099E4">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lang w:val="en-US" w:eastAsia="zh-CN"/>
              </w:rPr>
            </w:pPr>
            <w:bookmarkStart w:id="228" w:name="_Toc18801"/>
            <w:r>
              <w:rPr>
                <w:rFonts w:hint="eastAsia" w:cs="Times New Roman"/>
                <w:b/>
                <w:bCs/>
                <w:color w:val="000000"/>
                <w:highlight w:val="none"/>
                <w:lang w:val="en-US" w:eastAsia="zh-CN"/>
              </w:rPr>
              <w:t>（4）</w:t>
            </w:r>
            <w:r>
              <w:rPr>
                <w:rFonts w:hint="default" w:ascii="Times New Roman" w:hAnsi="Times New Roman" w:cs="Times New Roman"/>
                <w:b/>
                <w:bCs/>
                <w:color w:val="000000"/>
                <w:highlight w:val="none"/>
                <w:lang w:val="en-US" w:eastAsia="zh-CN"/>
              </w:rPr>
              <w:t>声环境</w:t>
            </w:r>
            <w:bookmarkEnd w:id="228"/>
          </w:p>
          <w:p w14:paraId="4CC094E2">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本项目施工期主要噪声源为施工船舶、施工机械所产生的噪声，运营期主要噪声源为装卸作业噪声、船舶噪声及货物集疏运产生的交通噪声。根据《环境影响评价技术导则 声环境》（HJ 2.4-2021）关于评价工作等级划分原则，“建设项目所处的声环境功能区为GB 3096规定的1类、2类地区，或建设项目建设前后评价范围内声环境保护目标噪声级增量达3dB(A)～5dB(A)，或受噪声影响人口数量增加较多时，按二级评价”。</w:t>
            </w:r>
          </w:p>
          <w:p w14:paraId="68375448">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本项目所在区域为《声环境质量标准》（GB3096-2008）中的2类功能区，项目建成投产后周边敏感点噪声预测量小于3.0dB，受影响人口变化不大。因此，本项目声环境评价等级为二级。</w:t>
            </w:r>
          </w:p>
          <w:p w14:paraId="591183FA">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lang w:val="en-US" w:eastAsia="zh-CN"/>
              </w:rPr>
            </w:pPr>
            <w:bookmarkStart w:id="229" w:name="_Toc28396"/>
            <w:r>
              <w:rPr>
                <w:rFonts w:hint="eastAsia" w:cs="Times New Roman"/>
                <w:b/>
                <w:bCs/>
                <w:color w:val="000000"/>
                <w:highlight w:val="none"/>
                <w:lang w:val="en-US" w:eastAsia="zh-CN"/>
              </w:rPr>
              <w:t>（5）</w:t>
            </w:r>
            <w:r>
              <w:rPr>
                <w:rFonts w:hint="default" w:ascii="Times New Roman" w:hAnsi="Times New Roman" w:cs="Times New Roman"/>
                <w:b/>
                <w:bCs/>
                <w:color w:val="000000"/>
                <w:highlight w:val="none"/>
                <w:lang w:val="en-US" w:eastAsia="zh-CN"/>
              </w:rPr>
              <w:t>地表水环境</w:t>
            </w:r>
            <w:bookmarkEnd w:id="229"/>
          </w:p>
          <w:p w14:paraId="4C338B2C">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rPr>
              <w:t>本项目具有水污染影响和水文要素影响两种特点，因此本评价按水污染影响型和水文要素影响型分别判定评价等级。</w:t>
            </w:r>
          </w:p>
          <w:p w14:paraId="6A34F2FA">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根据《环境影响评价技术导则 地表水环境》（HJ 2.3-2018），本项目港区污水收集经污水处理设施处理后回用，不外排。因此本项目废污水均不直接排入水环境，对照《环境影响评价技术导则 地表水环境》（HJ 2.3-2018），本项目水污染影响评价等级为三级B，具体判定依据见</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REF _Ref30391 \h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3.15</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5</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val="en-US" w:eastAsia="zh-CN"/>
              </w:rPr>
              <w:t>。</w:t>
            </w:r>
          </w:p>
          <w:p w14:paraId="731440C4">
            <w:pPr>
              <w:pStyle w:val="30"/>
              <w:bidi w:val="0"/>
              <w:rPr>
                <w:rFonts w:hint="default" w:ascii="Times New Roman" w:hAnsi="Times New Roman" w:cs="Times New Roman"/>
                <w:color w:val="000000"/>
                <w:highlight w:val="none"/>
                <w:lang w:val="en-US" w:eastAsia="zh-CN"/>
              </w:rPr>
            </w:pPr>
            <w:bookmarkStart w:id="230" w:name="_Ref30391"/>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3.15</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表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5</w:t>
            </w:r>
            <w:r>
              <w:rPr>
                <w:rFonts w:hint="default" w:ascii="Times New Roman" w:hAnsi="Times New Roman" w:cs="Times New Roman"/>
                <w:color w:val="000000"/>
                <w:highlight w:val="none"/>
              </w:rPr>
              <w:fldChar w:fldCharType="end"/>
            </w:r>
            <w:bookmarkEnd w:id="230"/>
            <w:r>
              <w:rPr>
                <w:rFonts w:hint="default" w:ascii="Times New Roman" w:hAnsi="Times New Roman" w:cs="Times New Roman"/>
                <w:color w:val="000000"/>
                <w:highlight w:val="none"/>
                <w:lang w:val="en-US" w:eastAsia="zh-CN"/>
              </w:rPr>
              <w:t xml:space="preserve"> 水污染影响型建设项目评价等级判定表</w:t>
            </w:r>
          </w:p>
          <w:tbl>
            <w:tblPr>
              <w:tblStyle w:val="22"/>
              <w:tblW w:w="863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43"/>
              <w:gridCol w:w="2827"/>
              <w:gridCol w:w="3969"/>
            </w:tblGrid>
            <w:tr w14:paraId="3D95AB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43" w:type="dxa"/>
                  <w:vMerge w:val="restart"/>
                  <w:noWrap w:val="0"/>
                  <w:vAlign w:val="center"/>
                </w:tcPr>
                <w:p w14:paraId="5D983A1B">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评价等级</w:t>
                  </w:r>
                </w:p>
              </w:tc>
              <w:tc>
                <w:tcPr>
                  <w:tcW w:w="6796" w:type="dxa"/>
                  <w:gridSpan w:val="2"/>
                  <w:noWrap w:val="0"/>
                  <w:vAlign w:val="center"/>
                </w:tcPr>
                <w:p w14:paraId="0597EA45">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判定依据</w:t>
                  </w:r>
                </w:p>
              </w:tc>
            </w:tr>
            <w:tr w14:paraId="0E6702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43" w:type="dxa"/>
                  <w:vMerge w:val="continue"/>
                  <w:noWrap w:val="0"/>
                  <w:vAlign w:val="center"/>
                </w:tcPr>
                <w:p w14:paraId="5898B162">
                  <w:pPr>
                    <w:pStyle w:val="31"/>
                    <w:bidi w:val="0"/>
                    <w:jc w:val="center"/>
                    <w:rPr>
                      <w:rFonts w:hint="default" w:ascii="Times New Roman" w:hAnsi="Times New Roman" w:cs="Times New Roman"/>
                      <w:b/>
                      <w:bCs/>
                      <w:color w:val="000000"/>
                      <w:highlight w:val="none"/>
                      <w:lang w:val="en-US" w:eastAsia="zh-CN"/>
                    </w:rPr>
                  </w:pPr>
                </w:p>
              </w:tc>
              <w:tc>
                <w:tcPr>
                  <w:tcW w:w="2827" w:type="dxa"/>
                  <w:noWrap w:val="0"/>
                  <w:vAlign w:val="center"/>
                </w:tcPr>
                <w:p w14:paraId="696C755F">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排放方式</w:t>
                  </w:r>
                </w:p>
              </w:tc>
              <w:tc>
                <w:tcPr>
                  <w:tcW w:w="3969" w:type="dxa"/>
                  <w:noWrap w:val="0"/>
                  <w:vAlign w:val="center"/>
                </w:tcPr>
                <w:p w14:paraId="63D878EA">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废水排放量</w:t>
                  </w:r>
                  <w:r>
                    <w:rPr>
                      <w:rFonts w:hint="default" w:ascii="Times New Roman" w:hAnsi="Times New Roman" w:cs="Times New Roman"/>
                      <w:b/>
                      <w:bCs/>
                      <w:i/>
                      <w:iCs/>
                      <w:color w:val="000000"/>
                      <w:highlight w:val="none"/>
                      <w:lang w:val="en-US" w:eastAsia="zh-CN"/>
                    </w:rPr>
                    <w:t>Q</w:t>
                  </w:r>
                  <w:r>
                    <w:rPr>
                      <w:rFonts w:hint="default" w:ascii="Times New Roman" w:hAnsi="Times New Roman" w:cs="Times New Roman"/>
                      <w:b/>
                      <w:bCs/>
                      <w:color w:val="000000"/>
                      <w:highlight w:val="none"/>
                      <w:lang w:val="en-US" w:eastAsia="zh-CN"/>
                    </w:rPr>
                    <w:t>/（m</w:t>
                  </w:r>
                  <w:r>
                    <w:rPr>
                      <w:rFonts w:hint="default" w:ascii="Times New Roman" w:hAnsi="Times New Roman" w:cs="Times New Roman"/>
                      <w:b/>
                      <w:bCs/>
                      <w:color w:val="000000"/>
                      <w:highlight w:val="none"/>
                      <w:vertAlign w:val="superscript"/>
                      <w:lang w:val="en-US" w:eastAsia="zh-CN"/>
                    </w:rPr>
                    <w:t>3</w:t>
                  </w:r>
                  <w:r>
                    <w:rPr>
                      <w:rFonts w:hint="default" w:ascii="Times New Roman" w:hAnsi="Times New Roman" w:cs="Times New Roman"/>
                      <w:b/>
                      <w:bCs/>
                      <w:color w:val="000000"/>
                      <w:highlight w:val="none"/>
                      <w:lang w:val="en-US" w:eastAsia="zh-CN"/>
                    </w:rPr>
                    <w:t>/d）；</w:t>
                  </w:r>
                </w:p>
                <w:p w14:paraId="5973A0D3">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水污染物当量数</w:t>
                  </w:r>
                  <w:r>
                    <w:rPr>
                      <w:rFonts w:hint="default" w:ascii="Times New Roman" w:hAnsi="Times New Roman" w:cs="Times New Roman"/>
                      <w:b/>
                      <w:bCs/>
                      <w:i/>
                      <w:iCs/>
                      <w:color w:val="000000"/>
                      <w:highlight w:val="none"/>
                      <w:lang w:val="en-US" w:eastAsia="zh-CN"/>
                    </w:rPr>
                    <w:t>W</w:t>
                  </w:r>
                  <w:r>
                    <w:rPr>
                      <w:rFonts w:hint="default" w:ascii="Times New Roman" w:hAnsi="Times New Roman" w:cs="Times New Roman"/>
                      <w:b/>
                      <w:bCs/>
                      <w:color w:val="000000"/>
                      <w:highlight w:val="none"/>
                      <w:lang w:val="en-US" w:eastAsia="zh-CN"/>
                    </w:rPr>
                    <w:t>/（量纲一）</w:t>
                  </w:r>
                </w:p>
              </w:tc>
            </w:tr>
            <w:tr w14:paraId="5D43A7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43" w:type="dxa"/>
                  <w:noWrap w:val="0"/>
                  <w:vAlign w:val="center"/>
                </w:tcPr>
                <w:p w14:paraId="24C8A84F">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一级</w:t>
                  </w:r>
                </w:p>
              </w:tc>
              <w:tc>
                <w:tcPr>
                  <w:tcW w:w="2827" w:type="dxa"/>
                  <w:noWrap w:val="0"/>
                  <w:vAlign w:val="center"/>
                </w:tcPr>
                <w:p w14:paraId="06DA9C20">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直接排放</w:t>
                  </w:r>
                </w:p>
              </w:tc>
              <w:tc>
                <w:tcPr>
                  <w:tcW w:w="3969" w:type="dxa"/>
                  <w:noWrap w:val="0"/>
                  <w:vAlign w:val="center"/>
                </w:tcPr>
                <w:p w14:paraId="47B57A76">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i/>
                      <w:iCs/>
                      <w:color w:val="000000"/>
                      <w:highlight w:val="none"/>
                      <w:lang w:val="en-US" w:eastAsia="zh-CN"/>
                    </w:rPr>
                    <w:t>Q</w:t>
                  </w:r>
                  <w:r>
                    <w:rPr>
                      <w:rFonts w:hint="default" w:ascii="Times New Roman" w:hAnsi="Times New Roman" w:cs="Times New Roman"/>
                      <w:color w:val="000000"/>
                      <w:highlight w:val="none"/>
                      <w:lang w:val="en-US" w:eastAsia="zh-CN"/>
                    </w:rPr>
                    <w:t>≥20000或</w:t>
                  </w:r>
                  <w:r>
                    <w:rPr>
                      <w:rFonts w:hint="default" w:ascii="Times New Roman" w:hAnsi="Times New Roman" w:cs="Times New Roman"/>
                      <w:i/>
                      <w:iCs/>
                      <w:color w:val="000000"/>
                      <w:highlight w:val="none"/>
                      <w:lang w:val="en-US" w:eastAsia="zh-CN"/>
                    </w:rPr>
                    <w:t>W</w:t>
                  </w:r>
                  <w:r>
                    <w:rPr>
                      <w:rFonts w:hint="default" w:ascii="Times New Roman" w:hAnsi="Times New Roman" w:cs="Times New Roman"/>
                      <w:color w:val="000000"/>
                      <w:highlight w:val="none"/>
                      <w:lang w:val="en-US" w:eastAsia="zh-CN"/>
                    </w:rPr>
                    <w:t>≥600000</w:t>
                  </w:r>
                </w:p>
              </w:tc>
            </w:tr>
            <w:tr w14:paraId="7334AC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43" w:type="dxa"/>
                  <w:noWrap w:val="0"/>
                  <w:vAlign w:val="center"/>
                </w:tcPr>
                <w:p w14:paraId="210EB35B">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二级</w:t>
                  </w:r>
                </w:p>
              </w:tc>
              <w:tc>
                <w:tcPr>
                  <w:tcW w:w="2827" w:type="dxa"/>
                  <w:noWrap w:val="0"/>
                  <w:vAlign w:val="center"/>
                </w:tcPr>
                <w:p w14:paraId="7F22F419">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直接排放</w:t>
                  </w:r>
                </w:p>
              </w:tc>
              <w:tc>
                <w:tcPr>
                  <w:tcW w:w="3969" w:type="dxa"/>
                  <w:noWrap w:val="0"/>
                  <w:vAlign w:val="center"/>
                </w:tcPr>
                <w:p w14:paraId="53B1617F">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其他</w:t>
                  </w:r>
                </w:p>
              </w:tc>
            </w:tr>
            <w:tr w14:paraId="4F850F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43" w:type="dxa"/>
                  <w:noWrap w:val="0"/>
                  <w:vAlign w:val="center"/>
                </w:tcPr>
                <w:p w14:paraId="623D665A">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三级A</w:t>
                  </w:r>
                </w:p>
              </w:tc>
              <w:tc>
                <w:tcPr>
                  <w:tcW w:w="2827" w:type="dxa"/>
                  <w:noWrap w:val="0"/>
                  <w:vAlign w:val="center"/>
                </w:tcPr>
                <w:p w14:paraId="649B0F86">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直接排放</w:t>
                  </w:r>
                </w:p>
              </w:tc>
              <w:tc>
                <w:tcPr>
                  <w:tcW w:w="3969" w:type="dxa"/>
                  <w:noWrap w:val="0"/>
                  <w:vAlign w:val="center"/>
                </w:tcPr>
                <w:p w14:paraId="7D3BD7FC">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i/>
                      <w:iCs/>
                      <w:color w:val="000000"/>
                      <w:highlight w:val="none"/>
                      <w:lang w:val="en-US" w:eastAsia="zh-CN"/>
                    </w:rPr>
                    <w:t>Q</w:t>
                  </w:r>
                  <w:r>
                    <w:rPr>
                      <w:rFonts w:hint="default" w:ascii="Times New Roman" w:hAnsi="Times New Roman" w:cs="Times New Roman"/>
                      <w:color w:val="000000"/>
                      <w:highlight w:val="none"/>
                      <w:lang w:val="en-US" w:eastAsia="zh-CN"/>
                    </w:rPr>
                    <w:t>&lt;200且</w:t>
                  </w:r>
                  <w:r>
                    <w:rPr>
                      <w:rFonts w:hint="default" w:ascii="Times New Roman" w:hAnsi="Times New Roman" w:cs="Times New Roman"/>
                      <w:i/>
                      <w:iCs/>
                      <w:color w:val="000000"/>
                      <w:highlight w:val="none"/>
                      <w:lang w:val="en-US" w:eastAsia="zh-CN"/>
                    </w:rPr>
                    <w:t>W</w:t>
                  </w:r>
                  <w:r>
                    <w:rPr>
                      <w:rFonts w:hint="default" w:ascii="Times New Roman" w:hAnsi="Times New Roman" w:cs="Times New Roman"/>
                      <w:color w:val="000000"/>
                      <w:highlight w:val="none"/>
                      <w:lang w:val="en-US" w:eastAsia="zh-CN"/>
                    </w:rPr>
                    <w:t>&lt;6000</w:t>
                  </w:r>
                </w:p>
              </w:tc>
            </w:tr>
            <w:tr w14:paraId="22BC61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43" w:type="dxa"/>
                  <w:shd w:val="clear" w:color="auto" w:fill="BEBEBE"/>
                  <w:noWrap w:val="0"/>
                  <w:vAlign w:val="center"/>
                </w:tcPr>
                <w:p w14:paraId="3EEB16B7">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三级B</w:t>
                  </w:r>
                </w:p>
              </w:tc>
              <w:tc>
                <w:tcPr>
                  <w:tcW w:w="2827" w:type="dxa"/>
                  <w:shd w:val="clear" w:color="auto" w:fill="BEBEBE"/>
                  <w:noWrap w:val="0"/>
                  <w:vAlign w:val="center"/>
                </w:tcPr>
                <w:p w14:paraId="518FE8CB">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间接排放</w:t>
                  </w:r>
                </w:p>
              </w:tc>
              <w:tc>
                <w:tcPr>
                  <w:tcW w:w="3969" w:type="dxa"/>
                  <w:shd w:val="clear" w:color="auto" w:fill="BEBEBE"/>
                  <w:noWrap w:val="0"/>
                  <w:vAlign w:val="center"/>
                </w:tcPr>
                <w:p w14:paraId="73E10F5F">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w:t>
                  </w:r>
                </w:p>
              </w:tc>
            </w:tr>
          </w:tbl>
          <w:p w14:paraId="0D7A4CDA">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从本项目水文要素影响方面评价，评价等级划分应根据水温、径流与受影响地表水域等三类水文要素的影响程度进行判定，本项目地处近岸海域，项目建设不会对水温和径流产生影响，因此应根据受影响水域进行等级判定。</w:t>
            </w:r>
          </w:p>
          <w:p w14:paraId="0CB534FD">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本项目防波堤构筑物垂直投影面积为30.5995hm</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lang w:val="en-US" w:eastAsia="zh-CN"/>
              </w:rPr>
              <w:t>，疏浚坡底面积1.47hm</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lang w:val="en-US" w:eastAsia="zh-CN"/>
              </w:rPr>
              <w:t>。根据《环境影响评价技术导则 地表水环境》（HJ 2.3-2018）表2的等级判断要求，本项目位于近岸海域，垂直投影范围及外扩范围A</w:t>
            </w:r>
            <w:r>
              <w:rPr>
                <w:rFonts w:hint="default" w:ascii="Times New Roman" w:hAnsi="Times New Roman" w:cs="Times New Roman"/>
                <w:color w:val="000000"/>
                <w:highlight w:val="none"/>
                <w:vertAlign w:val="subscript"/>
                <w:lang w:val="en-US" w:eastAsia="zh-CN"/>
              </w:rPr>
              <w:t>1</w:t>
            </w:r>
            <w:r>
              <w:rPr>
                <w:rFonts w:hint="default" w:ascii="Times New Roman" w:hAnsi="Times New Roman" w:cs="Times New Roman"/>
                <w:color w:val="000000"/>
                <w:highlight w:val="none"/>
                <w:lang w:val="en-US" w:eastAsia="zh-CN"/>
              </w:rPr>
              <w:t>为0.3060km</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lang w:val="en-US" w:eastAsia="zh-CN"/>
              </w:rPr>
              <w:t>，0.5&gt;A</w:t>
            </w:r>
            <w:r>
              <w:rPr>
                <w:rFonts w:hint="default" w:ascii="Times New Roman" w:hAnsi="Times New Roman" w:cs="Times New Roman"/>
                <w:color w:val="000000"/>
                <w:highlight w:val="none"/>
                <w:vertAlign w:val="subscript"/>
                <w:lang w:val="en-US" w:eastAsia="zh-CN"/>
              </w:rPr>
              <w:t>1</w:t>
            </w:r>
            <w:r>
              <w:rPr>
                <w:rFonts w:hint="default" w:ascii="Times New Roman" w:hAnsi="Times New Roman" w:cs="Times New Roman"/>
                <w:color w:val="000000"/>
                <w:highlight w:val="none"/>
                <w:lang w:val="en-US" w:eastAsia="zh-CN"/>
              </w:rPr>
              <w:t>&gt;0.15，扰动水底面积A</w:t>
            </w:r>
            <w:r>
              <w:rPr>
                <w:rFonts w:hint="default" w:ascii="Times New Roman" w:hAnsi="Times New Roman" w:cs="Times New Roman"/>
                <w:color w:val="000000"/>
                <w:highlight w:val="none"/>
                <w:vertAlign w:val="subscript"/>
                <w:lang w:val="en-US" w:eastAsia="zh-CN"/>
              </w:rPr>
              <w:t>2</w:t>
            </w:r>
            <w:r>
              <w:rPr>
                <w:rFonts w:hint="default" w:ascii="Times New Roman" w:hAnsi="Times New Roman" w:cs="Times New Roman"/>
                <w:color w:val="000000"/>
                <w:highlight w:val="none"/>
                <w:lang w:val="en-US" w:eastAsia="zh-CN"/>
              </w:rPr>
              <w:t>为（0.3060+0.0147）km</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lang w:val="en-US" w:eastAsia="zh-CN"/>
              </w:rPr>
              <w:t>=0.3207km</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lang w:val="en-US" w:eastAsia="zh-CN"/>
              </w:rPr>
              <w:t>&lt;0.5，水文要素影响评价等级应为二级，具体判定依据详见</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REF _Ref895 \h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3.15</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6</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val="en-US" w:eastAsia="zh-CN"/>
              </w:rPr>
              <w:t>。</w:t>
            </w:r>
          </w:p>
          <w:p w14:paraId="4052BFCA">
            <w:pPr>
              <w:pStyle w:val="30"/>
              <w:bidi w:val="0"/>
              <w:rPr>
                <w:rFonts w:hint="default" w:ascii="Times New Roman" w:hAnsi="Times New Roman" w:cs="Times New Roman"/>
                <w:color w:val="000000"/>
                <w:highlight w:val="none"/>
              </w:rPr>
            </w:pPr>
            <w:bookmarkStart w:id="231" w:name="_Ref895"/>
          </w:p>
          <w:p w14:paraId="1F85AA2A">
            <w:pPr>
              <w:pStyle w:val="30"/>
              <w:bidi w:val="0"/>
              <w:rPr>
                <w:rFonts w:hint="default" w:ascii="Times New Roman" w:hAnsi="Times New Roman" w:cs="Times New Roman"/>
                <w:color w:val="000000"/>
                <w:highlight w:val="none"/>
              </w:rPr>
            </w:pPr>
          </w:p>
          <w:p w14:paraId="1EB82E69">
            <w:pPr>
              <w:pStyle w:val="30"/>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3.15</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表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6</w:t>
            </w:r>
            <w:r>
              <w:rPr>
                <w:rFonts w:hint="default" w:ascii="Times New Roman" w:hAnsi="Times New Roman" w:cs="Times New Roman"/>
                <w:color w:val="000000"/>
                <w:highlight w:val="none"/>
              </w:rPr>
              <w:fldChar w:fldCharType="end"/>
            </w:r>
            <w:bookmarkEnd w:id="231"/>
            <w:r>
              <w:rPr>
                <w:rFonts w:hint="default" w:ascii="Times New Roman" w:hAnsi="Times New Roman" w:cs="Times New Roman"/>
                <w:color w:val="000000"/>
                <w:highlight w:val="none"/>
                <w:lang w:val="en-US" w:eastAsia="zh-CN"/>
              </w:rPr>
              <w:t xml:space="preserve"> 水文要素影响型建设项目评价等级判定表</w:t>
            </w:r>
          </w:p>
          <w:tbl>
            <w:tblPr>
              <w:tblStyle w:val="22"/>
              <w:tblW w:w="861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9"/>
              <w:gridCol w:w="1552"/>
              <w:gridCol w:w="1729"/>
              <w:gridCol w:w="1458"/>
              <w:gridCol w:w="3201"/>
            </w:tblGrid>
            <w:tr w14:paraId="1E1BE7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9" w:hRule="atLeast"/>
              </w:trPr>
              <w:tc>
                <w:tcPr>
                  <w:tcW w:w="679" w:type="dxa"/>
                  <w:vMerge w:val="restart"/>
                  <w:noWrap w:val="0"/>
                  <w:vAlign w:val="center"/>
                </w:tcPr>
                <w:p w14:paraId="5E739E7D">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评价等级</w:t>
                  </w:r>
                </w:p>
              </w:tc>
              <w:tc>
                <w:tcPr>
                  <w:tcW w:w="1552" w:type="dxa"/>
                  <w:noWrap w:val="0"/>
                  <w:vAlign w:val="center"/>
                </w:tcPr>
                <w:p w14:paraId="46BCA7E4">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水温</w:t>
                  </w:r>
                </w:p>
              </w:tc>
              <w:tc>
                <w:tcPr>
                  <w:tcW w:w="3187" w:type="dxa"/>
                  <w:gridSpan w:val="2"/>
                  <w:noWrap w:val="0"/>
                  <w:vAlign w:val="center"/>
                </w:tcPr>
                <w:p w14:paraId="7BD1061B">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径流</w:t>
                  </w:r>
                </w:p>
              </w:tc>
              <w:tc>
                <w:tcPr>
                  <w:tcW w:w="3201" w:type="dxa"/>
                  <w:noWrap w:val="0"/>
                  <w:vAlign w:val="center"/>
                </w:tcPr>
                <w:p w14:paraId="4C6E7AF9">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受影响地表水域</w:t>
                  </w:r>
                </w:p>
              </w:tc>
            </w:tr>
            <w:tr w14:paraId="6C3A9A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2" w:hRule="atLeast"/>
              </w:trPr>
              <w:tc>
                <w:tcPr>
                  <w:tcW w:w="679" w:type="dxa"/>
                  <w:vMerge w:val="continue"/>
                  <w:noWrap w:val="0"/>
                  <w:vAlign w:val="center"/>
                </w:tcPr>
                <w:p w14:paraId="096762AB">
                  <w:pPr>
                    <w:pStyle w:val="31"/>
                    <w:bidi w:val="0"/>
                    <w:jc w:val="center"/>
                    <w:rPr>
                      <w:rFonts w:hint="default" w:ascii="Times New Roman" w:hAnsi="Times New Roman" w:cs="Times New Roman"/>
                      <w:b/>
                      <w:bCs/>
                      <w:color w:val="000000"/>
                      <w:highlight w:val="none"/>
                      <w:lang w:val="en-US" w:eastAsia="zh-CN"/>
                    </w:rPr>
                  </w:pPr>
                </w:p>
              </w:tc>
              <w:tc>
                <w:tcPr>
                  <w:tcW w:w="1552" w:type="dxa"/>
                  <w:vMerge w:val="restart"/>
                  <w:noWrap w:val="0"/>
                  <w:vAlign w:val="center"/>
                </w:tcPr>
                <w:p w14:paraId="09734F48">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年径流量与总</w:t>
                  </w:r>
                </w:p>
                <w:p w14:paraId="122ED684">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库容之比α</w:t>
                  </w:r>
                </w:p>
              </w:tc>
              <w:tc>
                <w:tcPr>
                  <w:tcW w:w="1729" w:type="dxa"/>
                  <w:vMerge w:val="restart"/>
                  <w:noWrap w:val="0"/>
                  <w:vAlign w:val="center"/>
                </w:tcPr>
                <w:p w14:paraId="2E2FD1AF">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兴利库容占年径流量百分比β/%</w:t>
                  </w:r>
                </w:p>
              </w:tc>
              <w:tc>
                <w:tcPr>
                  <w:tcW w:w="1458" w:type="dxa"/>
                  <w:vMerge w:val="restart"/>
                  <w:noWrap w:val="0"/>
                  <w:vAlign w:val="center"/>
                </w:tcPr>
                <w:p w14:paraId="5711DE5D">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取水量占多年平均径流量百分比γ/%</w:t>
                  </w:r>
                </w:p>
              </w:tc>
              <w:tc>
                <w:tcPr>
                  <w:tcW w:w="3201" w:type="dxa"/>
                  <w:noWrap w:val="0"/>
                  <w:vAlign w:val="center"/>
                </w:tcPr>
                <w:p w14:paraId="4840CC22">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工程垂直投影面积及外扩范围A</w:t>
                  </w:r>
                  <w:r>
                    <w:rPr>
                      <w:rFonts w:hint="default" w:ascii="Times New Roman" w:hAnsi="Times New Roman" w:cs="Times New Roman"/>
                      <w:b/>
                      <w:bCs/>
                      <w:color w:val="000000"/>
                      <w:highlight w:val="none"/>
                      <w:vertAlign w:val="subscript"/>
                      <w:lang w:val="en-US" w:eastAsia="zh-CN"/>
                    </w:rPr>
                    <w:t>1</w:t>
                  </w:r>
                  <w:r>
                    <w:rPr>
                      <w:rFonts w:hint="default" w:ascii="Times New Roman" w:hAnsi="Times New Roman" w:cs="Times New Roman"/>
                      <w:b/>
                      <w:bCs/>
                      <w:color w:val="000000"/>
                      <w:highlight w:val="none"/>
                      <w:lang w:val="en-US" w:eastAsia="zh-CN"/>
                    </w:rPr>
                    <w:t>/km</w:t>
                  </w:r>
                  <w:r>
                    <w:rPr>
                      <w:rFonts w:hint="default" w:ascii="Times New Roman" w:hAnsi="Times New Roman" w:cs="Times New Roman"/>
                      <w:b/>
                      <w:bCs/>
                      <w:color w:val="000000"/>
                      <w:highlight w:val="none"/>
                      <w:vertAlign w:val="superscript"/>
                      <w:lang w:val="en-US" w:eastAsia="zh-CN"/>
                    </w:rPr>
                    <w:t>2</w:t>
                  </w:r>
                  <w:r>
                    <w:rPr>
                      <w:rFonts w:hint="default" w:ascii="Times New Roman" w:hAnsi="Times New Roman" w:cs="Times New Roman"/>
                      <w:b/>
                      <w:bCs/>
                      <w:color w:val="000000"/>
                      <w:highlight w:val="none"/>
                      <w:lang w:val="en-US" w:eastAsia="zh-CN"/>
                    </w:rPr>
                    <w:t>；工程扰动水底面积A</w:t>
                  </w:r>
                  <w:r>
                    <w:rPr>
                      <w:rFonts w:hint="default" w:ascii="Times New Roman" w:hAnsi="Times New Roman" w:cs="Times New Roman"/>
                      <w:b/>
                      <w:bCs/>
                      <w:color w:val="000000"/>
                      <w:highlight w:val="none"/>
                      <w:vertAlign w:val="subscript"/>
                      <w:lang w:val="en-US" w:eastAsia="zh-CN"/>
                    </w:rPr>
                    <w:t>2</w:t>
                  </w:r>
                  <w:r>
                    <w:rPr>
                      <w:rFonts w:hint="default" w:ascii="Times New Roman" w:hAnsi="Times New Roman" w:cs="Times New Roman"/>
                      <w:b/>
                      <w:bCs/>
                      <w:color w:val="000000"/>
                      <w:highlight w:val="none"/>
                      <w:lang w:val="en-US" w:eastAsia="zh-CN"/>
                    </w:rPr>
                    <w:t>/km</w:t>
                  </w:r>
                  <w:r>
                    <w:rPr>
                      <w:rFonts w:hint="default" w:ascii="Times New Roman" w:hAnsi="Times New Roman" w:cs="Times New Roman"/>
                      <w:b/>
                      <w:bCs/>
                      <w:color w:val="000000"/>
                      <w:highlight w:val="none"/>
                      <w:vertAlign w:val="superscript"/>
                      <w:lang w:val="en-US" w:eastAsia="zh-CN"/>
                    </w:rPr>
                    <w:t>2</w:t>
                  </w:r>
                </w:p>
              </w:tc>
            </w:tr>
            <w:tr w14:paraId="6C3C67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9" w:hRule="atLeast"/>
              </w:trPr>
              <w:tc>
                <w:tcPr>
                  <w:tcW w:w="679" w:type="dxa"/>
                  <w:vMerge w:val="continue"/>
                  <w:noWrap w:val="0"/>
                  <w:vAlign w:val="center"/>
                </w:tcPr>
                <w:p w14:paraId="0513DA35">
                  <w:pPr>
                    <w:pStyle w:val="31"/>
                    <w:bidi w:val="0"/>
                    <w:jc w:val="center"/>
                    <w:rPr>
                      <w:rFonts w:hint="default" w:ascii="Times New Roman" w:hAnsi="Times New Roman" w:cs="Times New Roman"/>
                      <w:b/>
                      <w:bCs/>
                      <w:color w:val="000000"/>
                      <w:highlight w:val="none"/>
                      <w:lang w:val="en-US" w:eastAsia="zh-CN"/>
                    </w:rPr>
                  </w:pPr>
                </w:p>
              </w:tc>
              <w:tc>
                <w:tcPr>
                  <w:tcW w:w="1552" w:type="dxa"/>
                  <w:vMerge w:val="continue"/>
                  <w:noWrap w:val="0"/>
                  <w:vAlign w:val="center"/>
                </w:tcPr>
                <w:p w14:paraId="71F736F1">
                  <w:pPr>
                    <w:pStyle w:val="31"/>
                    <w:bidi w:val="0"/>
                    <w:jc w:val="center"/>
                    <w:rPr>
                      <w:rFonts w:hint="default" w:ascii="Times New Roman" w:hAnsi="Times New Roman" w:cs="Times New Roman"/>
                      <w:b/>
                      <w:bCs/>
                      <w:color w:val="000000"/>
                      <w:highlight w:val="none"/>
                      <w:lang w:val="en-US" w:eastAsia="zh-CN"/>
                    </w:rPr>
                  </w:pPr>
                </w:p>
              </w:tc>
              <w:tc>
                <w:tcPr>
                  <w:tcW w:w="1729" w:type="dxa"/>
                  <w:vMerge w:val="continue"/>
                  <w:noWrap w:val="0"/>
                  <w:vAlign w:val="center"/>
                </w:tcPr>
                <w:p w14:paraId="538990C5">
                  <w:pPr>
                    <w:pStyle w:val="31"/>
                    <w:bidi w:val="0"/>
                    <w:jc w:val="center"/>
                    <w:rPr>
                      <w:rFonts w:hint="default" w:ascii="Times New Roman" w:hAnsi="Times New Roman" w:cs="Times New Roman"/>
                      <w:b/>
                      <w:bCs/>
                      <w:color w:val="000000"/>
                      <w:highlight w:val="none"/>
                      <w:lang w:val="en-US" w:eastAsia="zh-CN"/>
                    </w:rPr>
                  </w:pPr>
                </w:p>
              </w:tc>
              <w:tc>
                <w:tcPr>
                  <w:tcW w:w="1458" w:type="dxa"/>
                  <w:vMerge w:val="continue"/>
                  <w:noWrap w:val="0"/>
                  <w:vAlign w:val="center"/>
                </w:tcPr>
                <w:p w14:paraId="4DC7AEBC">
                  <w:pPr>
                    <w:pStyle w:val="31"/>
                    <w:bidi w:val="0"/>
                    <w:jc w:val="center"/>
                    <w:rPr>
                      <w:rFonts w:hint="default" w:ascii="Times New Roman" w:hAnsi="Times New Roman" w:cs="Times New Roman"/>
                      <w:b/>
                      <w:bCs/>
                      <w:color w:val="000000"/>
                      <w:highlight w:val="none"/>
                      <w:lang w:val="en-US" w:eastAsia="zh-CN"/>
                    </w:rPr>
                  </w:pPr>
                </w:p>
              </w:tc>
              <w:tc>
                <w:tcPr>
                  <w:tcW w:w="3201" w:type="dxa"/>
                  <w:noWrap w:val="0"/>
                  <w:vAlign w:val="center"/>
                </w:tcPr>
                <w:p w14:paraId="19C442F0">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入海河口、近岸海域</w:t>
                  </w:r>
                </w:p>
              </w:tc>
            </w:tr>
            <w:tr w14:paraId="6BA9DC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2" w:hRule="atLeast"/>
              </w:trPr>
              <w:tc>
                <w:tcPr>
                  <w:tcW w:w="679" w:type="dxa"/>
                  <w:noWrap w:val="0"/>
                  <w:vAlign w:val="center"/>
                </w:tcPr>
                <w:p w14:paraId="7C54095E">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一级</w:t>
                  </w:r>
                </w:p>
              </w:tc>
              <w:tc>
                <w:tcPr>
                  <w:tcW w:w="1552" w:type="dxa"/>
                  <w:noWrap w:val="0"/>
                  <w:vAlign w:val="center"/>
                </w:tcPr>
                <w:p w14:paraId="4E8E287F">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α≤10；或稳定分层</w:t>
                  </w:r>
                </w:p>
              </w:tc>
              <w:tc>
                <w:tcPr>
                  <w:tcW w:w="1729" w:type="dxa"/>
                  <w:noWrap w:val="0"/>
                  <w:vAlign w:val="center"/>
                </w:tcPr>
                <w:p w14:paraId="77AB57A2">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β≥20；或完全年调节与多年调节</w:t>
                  </w:r>
                </w:p>
              </w:tc>
              <w:tc>
                <w:tcPr>
                  <w:tcW w:w="1458" w:type="dxa"/>
                  <w:noWrap w:val="0"/>
                  <w:vAlign w:val="center"/>
                </w:tcPr>
                <w:p w14:paraId="4FE39A4A">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γ≥30</w:t>
                  </w:r>
                </w:p>
              </w:tc>
              <w:tc>
                <w:tcPr>
                  <w:tcW w:w="3201" w:type="dxa"/>
                  <w:noWrap w:val="0"/>
                  <w:vAlign w:val="center"/>
                </w:tcPr>
                <w:p w14:paraId="58693914">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A</w:t>
                  </w:r>
                  <w:r>
                    <w:rPr>
                      <w:rFonts w:hint="default" w:ascii="Times New Roman" w:hAnsi="Times New Roman" w:cs="Times New Roman"/>
                      <w:color w:val="000000"/>
                      <w:highlight w:val="none"/>
                      <w:vertAlign w:val="subscript"/>
                      <w:lang w:val="en-US" w:eastAsia="zh-CN"/>
                    </w:rPr>
                    <w:t>1</w:t>
                  </w:r>
                  <w:r>
                    <w:rPr>
                      <w:rFonts w:hint="default" w:ascii="Times New Roman" w:hAnsi="Times New Roman" w:cs="Times New Roman"/>
                      <w:color w:val="000000"/>
                      <w:highlight w:val="none"/>
                      <w:lang w:val="en-US" w:eastAsia="zh-CN"/>
                    </w:rPr>
                    <w:t>≥0.5；或A</w:t>
                  </w:r>
                  <w:r>
                    <w:rPr>
                      <w:rFonts w:hint="default" w:ascii="Times New Roman" w:hAnsi="Times New Roman" w:cs="Times New Roman"/>
                      <w:color w:val="000000"/>
                      <w:highlight w:val="none"/>
                      <w:vertAlign w:val="subscript"/>
                      <w:lang w:val="en-US" w:eastAsia="zh-CN"/>
                    </w:rPr>
                    <w:t>2</w:t>
                  </w:r>
                  <w:r>
                    <w:rPr>
                      <w:rFonts w:hint="default" w:ascii="Times New Roman" w:hAnsi="Times New Roman" w:cs="Times New Roman"/>
                      <w:color w:val="000000"/>
                      <w:highlight w:val="none"/>
                      <w:lang w:val="en-US" w:eastAsia="zh-CN"/>
                    </w:rPr>
                    <w:t>≥3</w:t>
                  </w:r>
                </w:p>
              </w:tc>
            </w:tr>
            <w:tr w14:paraId="5AD482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2" w:hRule="atLeast"/>
              </w:trPr>
              <w:tc>
                <w:tcPr>
                  <w:tcW w:w="679" w:type="dxa"/>
                  <w:noWrap w:val="0"/>
                  <w:vAlign w:val="center"/>
                </w:tcPr>
                <w:p w14:paraId="27EE666C">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二级</w:t>
                  </w:r>
                </w:p>
              </w:tc>
              <w:tc>
                <w:tcPr>
                  <w:tcW w:w="1552" w:type="dxa"/>
                  <w:noWrap w:val="0"/>
                  <w:vAlign w:val="center"/>
                </w:tcPr>
                <w:p w14:paraId="76D55486">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20&gt;α&gt;10；或不稳定分层</w:t>
                  </w:r>
                </w:p>
              </w:tc>
              <w:tc>
                <w:tcPr>
                  <w:tcW w:w="1729" w:type="dxa"/>
                  <w:noWrap w:val="0"/>
                  <w:vAlign w:val="center"/>
                </w:tcPr>
                <w:p w14:paraId="5AC0697A">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20&gt;β&gt;2；或季调节与不完全年调节</w:t>
                  </w:r>
                </w:p>
              </w:tc>
              <w:tc>
                <w:tcPr>
                  <w:tcW w:w="1458" w:type="dxa"/>
                  <w:noWrap w:val="0"/>
                  <w:vAlign w:val="center"/>
                </w:tcPr>
                <w:p w14:paraId="2B727888">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30&gt;γ&gt;10</w:t>
                  </w:r>
                </w:p>
              </w:tc>
              <w:tc>
                <w:tcPr>
                  <w:tcW w:w="3201" w:type="dxa"/>
                  <w:noWrap w:val="0"/>
                  <w:vAlign w:val="center"/>
                </w:tcPr>
                <w:p w14:paraId="77B41C92">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shd w:val="clear" w:color="auto" w:fill="BEBEBE"/>
                      <w:lang w:val="en-US" w:eastAsia="zh-CN"/>
                    </w:rPr>
                    <w:t>0.5&gt;A</w:t>
                  </w:r>
                  <w:r>
                    <w:rPr>
                      <w:rFonts w:hint="default" w:ascii="Times New Roman" w:hAnsi="Times New Roman" w:cs="Times New Roman"/>
                      <w:color w:val="000000"/>
                      <w:highlight w:val="none"/>
                      <w:shd w:val="clear" w:color="auto" w:fill="BEBEBE"/>
                      <w:vertAlign w:val="subscript"/>
                      <w:lang w:val="en-US" w:eastAsia="zh-CN"/>
                    </w:rPr>
                    <w:t>1</w:t>
                  </w:r>
                  <w:r>
                    <w:rPr>
                      <w:rFonts w:hint="default" w:ascii="Times New Roman" w:hAnsi="Times New Roman" w:cs="Times New Roman"/>
                      <w:color w:val="000000"/>
                      <w:highlight w:val="none"/>
                      <w:shd w:val="clear" w:color="auto" w:fill="BEBEBE"/>
                      <w:lang w:val="en-US" w:eastAsia="zh-CN"/>
                    </w:rPr>
                    <w:t>&gt;0.15</w:t>
                  </w:r>
                  <w:r>
                    <w:rPr>
                      <w:rFonts w:hint="default" w:ascii="Times New Roman" w:hAnsi="Times New Roman" w:cs="Times New Roman"/>
                      <w:color w:val="000000"/>
                      <w:highlight w:val="none"/>
                      <w:lang w:val="en-US" w:eastAsia="zh-CN"/>
                    </w:rPr>
                    <w:t>；或3&gt;A</w:t>
                  </w:r>
                  <w:r>
                    <w:rPr>
                      <w:rFonts w:hint="default" w:ascii="Times New Roman" w:hAnsi="Times New Roman" w:cs="Times New Roman"/>
                      <w:color w:val="000000"/>
                      <w:highlight w:val="none"/>
                      <w:vertAlign w:val="subscript"/>
                      <w:lang w:val="en-US" w:eastAsia="zh-CN"/>
                    </w:rPr>
                    <w:t>2</w:t>
                  </w:r>
                  <w:r>
                    <w:rPr>
                      <w:rFonts w:hint="default" w:ascii="Times New Roman" w:hAnsi="Times New Roman" w:cs="Times New Roman"/>
                      <w:color w:val="000000"/>
                      <w:highlight w:val="none"/>
                      <w:lang w:val="en-US" w:eastAsia="zh-CN"/>
                    </w:rPr>
                    <w:t>&gt;0.5</w:t>
                  </w:r>
                </w:p>
              </w:tc>
            </w:tr>
            <w:tr w14:paraId="65DA29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9" w:hRule="atLeast"/>
              </w:trPr>
              <w:tc>
                <w:tcPr>
                  <w:tcW w:w="679" w:type="dxa"/>
                  <w:noWrap w:val="0"/>
                  <w:vAlign w:val="center"/>
                </w:tcPr>
                <w:p w14:paraId="48CFC1B5">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三级</w:t>
                  </w:r>
                </w:p>
              </w:tc>
              <w:tc>
                <w:tcPr>
                  <w:tcW w:w="1552" w:type="dxa"/>
                  <w:noWrap w:val="0"/>
                  <w:vAlign w:val="center"/>
                </w:tcPr>
                <w:p w14:paraId="603A39AF">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α≥20；或混合型</w:t>
                  </w:r>
                </w:p>
              </w:tc>
              <w:tc>
                <w:tcPr>
                  <w:tcW w:w="1729" w:type="dxa"/>
                  <w:noWrap w:val="0"/>
                  <w:vAlign w:val="center"/>
                </w:tcPr>
                <w:p w14:paraId="79E41104">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β≤2；或无调节</w:t>
                  </w:r>
                </w:p>
              </w:tc>
              <w:tc>
                <w:tcPr>
                  <w:tcW w:w="1458" w:type="dxa"/>
                  <w:noWrap w:val="0"/>
                  <w:vAlign w:val="center"/>
                </w:tcPr>
                <w:p w14:paraId="0C53A225">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γ≤10</w:t>
                  </w:r>
                </w:p>
              </w:tc>
              <w:tc>
                <w:tcPr>
                  <w:tcW w:w="3201" w:type="dxa"/>
                  <w:noWrap w:val="0"/>
                  <w:vAlign w:val="center"/>
                </w:tcPr>
                <w:p w14:paraId="5AE1ACDE">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A</w:t>
                  </w:r>
                  <w:r>
                    <w:rPr>
                      <w:rFonts w:hint="default" w:ascii="Times New Roman" w:hAnsi="Times New Roman" w:cs="Times New Roman"/>
                      <w:color w:val="000000"/>
                      <w:highlight w:val="none"/>
                      <w:vertAlign w:val="subscript"/>
                      <w:lang w:val="en-US" w:eastAsia="zh-CN"/>
                    </w:rPr>
                    <w:t>1</w:t>
                  </w:r>
                  <w:r>
                    <w:rPr>
                      <w:rFonts w:hint="default" w:ascii="Times New Roman" w:hAnsi="Times New Roman" w:cs="Times New Roman"/>
                      <w:color w:val="000000"/>
                      <w:highlight w:val="none"/>
                      <w:lang w:val="en-US" w:eastAsia="zh-CN"/>
                    </w:rPr>
                    <w:t>≤0.15；或</w:t>
                  </w:r>
                  <w:r>
                    <w:rPr>
                      <w:rFonts w:hint="default" w:ascii="Times New Roman" w:hAnsi="Times New Roman" w:cs="Times New Roman"/>
                      <w:color w:val="000000"/>
                      <w:highlight w:val="none"/>
                      <w:shd w:val="clear" w:color="auto" w:fill="BEBEBE"/>
                      <w:lang w:val="en-US" w:eastAsia="zh-CN"/>
                    </w:rPr>
                    <w:t>A</w:t>
                  </w:r>
                  <w:r>
                    <w:rPr>
                      <w:rFonts w:hint="default" w:ascii="Times New Roman" w:hAnsi="Times New Roman" w:cs="Times New Roman"/>
                      <w:color w:val="000000"/>
                      <w:highlight w:val="none"/>
                      <w:shd w:val="clear" w:color="auto" w:fill="BEBEBE"/>
                      <w:vertAlign w:val="subscript"/>
                      <w:lang w:val="en-US" w:eastAsia="zh-CN"/>
                    </w:rPr>
                    <w:t>2</w:t>
                  </w:r>
                  <w:r>
                    <w:rPr>
                      <w:rFonts w:hint="default" w:ascii="Times New Roman" w:hAnsi="Times New Roman" w:cs="Times New Roman"/>
                      <w:color w:val="000000"/>
                      <w:highlight w:val="none"/>
                      <w:shd w:val="clear" w:color="auto" w:fill="BEBEBE"/>
                      <w:lang w:val="en-US" w:eastAsia="zh-CN"/>
                    </w:rPr>
                    <w:t>≤0.5</w:t>
                  </w:r>
                </w:p>
              </w:tc>
            </w:tr>
          </w:tbl>
          <w:p w14:paraId="7881AED5">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lang w:val="en-US" w:eastAsia="zh-CN"/>
              </w:rPr>
            </w:pPr>
            <w:bookmarkStart w:id="232" w:name="_Toc28679"/>
            <w:r>
              <w:rPr>
                <w:rFonts w:hint="eastAsia" w:cs="Times New Roman"/>
                <w:b/>
                <w:bCs/>
                <w:color w:val="000000"/>
                <w:highlight w:val="none"/>
                <w:lang w:val="en-US" w:eastAsia="zh-CN"/>
              </w:rPr>
              <w:t>（6）</w:t>
            </w:r>
            <w:r>
              <w:rPr>
                <w:rFonts w:hint="default" w:ascii="Times New Roman" w:hAnsi="Times New Roman" w:cs="Times New Roman"/>
                <w:b/>
                <w:bCs/>
                <w:color w:val="000000"/>
                <w:highlight w:val="none"/>
                <w:lang w:val="en-US" w:eastAsia="zh-CN"/>
              </w:rPr>
              <w:t>地下水环境</w:t>
            </w:r>
            <w:bookmarkEnd w:id="232"/>
          </w:p>
          <w:p w14:paraId="5ADA8D82">
            <w:pPr>
              <w:pageBreakBefore w:val="0"/>
              <w:widowControl w:val="0"/>
              <w:kinsoku/>
              <w:wordWrap/>
              <w:overflowPunct/>
              <w:topLinePunct w:val="0"/>
              <w:autoSpaceDE/>
              <w:autoSpaceDN/>
              <w:bidi w:val="0"/>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本项目为一级渔港工程，主要建设内容为码头、防波堤、港池疏浚及渔港相应配套设施。港区不设置加油码头、机修车间，不设置油品储罐。根据《环境影响评价技术导则 地下水环境》（HJ 610-2016）附录A，本项目行业类别属于“S水运—134、航道工程、水运辅助工程—其他”，属Ⅳ类建设项目。根据《环境影响评价技术导则 地下水环境》（HJ 610-2016）中“4.1一般性原则：Ⅳ类建设项目不开展地下水环境影响评价”。因此，本项目不开展地下水环境影响评价。</w:t>
            </w:r>
          </w:p>
          <w:p w14:paraId="6F4EBF76">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b/>
                <w:bCs/>
                <w:lang w:val="en-US" w:eastAsia="zh-CN"/>
              </w:rPr>
            </w:pPr>
            <w:bookmarkStart w:id="233" w:name="_Toc1087"/>
            <w:r>
              <w:rPr>
                <w:rFonts w:hint="eastAsia" w:cs="Times New Roman"/>
                <w:b/>
                <w:bCs/>
                <w:color w:val="000000"/>
                <w:highlight w:val="none"/>
                <w:lang w:val="en-US" w:eastAsia="zh-CN"/>
              </w:rPr>
              <w:t>（7）</w:t>
            </w:r>
            <w:r>
              <w:rPr>
                <w:rFonts w:hint="default" w:cs="Times New Roman"/>
                <w:b/>
                <w:bCs/>
                <w:color w:val="000000"/>
                <w:highlight w:val="none"/>
                <w:lang w:val="en-US" w:eastAsia="zh-CN"/>
              </w:rPr>
              <w:t>土壤</w:t>
            </w:r>
            <w:r>
              <w:rPr>
                <w:rFonts w:hint="default"/>
                <w:b/>
                <w:bCs/>
                <w:lang w:val="en-US" w:eastAsia="zh-CN"/>
              </w:rPr>
              <w:t>环境</w:t>
            </w:r>
            <w:bookmarkEnd w:id="233"/>
          </w:p>
          <w:p w14:paraId="2DCBDBA3">
            <w:pPr>
              <w:pageBreakBefore w:val="0"/>
              <w:widowControl w:val="0"/>
              <w:kinsoku/>
              <w:wordWrap/>
              <w:overflowPunct/>
              <w:topLinePunct w:val="0"/>
              <w:autoSpaceDE/>
              <w:autoSpaceDN/>
              <w:bidi w:val="0"/>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根据《环境影响评价技术导则 土壤环境（试行）》（HJ 964-2018）附录A，本项目属于土壤环境影响评价项目类别中的“其他行业”，属于Ⅳ类建设项目。根据《环境影响评价技术导则 土壤环境（试行）》（HJ 964-2018）中“4.2.2……Ⅳ类建设项目可不开展土壤环境影响评价”。因此，本项目不开展土壤环境影响评价。</w:t>
            </w:r>
          </w:p>
          <w:p w14:paraId="56120E83">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b/>
                <w:bCs/>
                <w:lang w:val="en-US" w:eastAsia="zh-CN"/>
              </w:rPr>
            </w:pPr>
            <w:bookmarkStart w:id="234" w:name="_Toc31854"/>
            <w:r>
              <w:rPr>
                <w:rFonts w:hint="eastAsia"/>
                <w:b/>
                <w:bCs/>
                <w:lang w:val="en-US" w:eastAsia="zh-CN"/>
              </w:rPr>
              <w:t>（8）</w:t>
            </w:r>
            <w:r>
              <w:rPr>
                <w:rFonts w:hint="default"/>
                <w:b/>
                <w:bCs/>
                <w:lang w:val="en-US" w:eastAsia="zh-CN"/>
              </w:rPr>
              <w:t>环境风险</w:t>
            </w:r>
            <w:bookmarkEnd w:id="234"/>
          </w:p>
          <w:p w14:paraId="2B35E9B0">
            <w:pPr>
              <w:pageBreakBefore w:val="0"/>
              <w:widowControl w:val="0"/>
              <w:kinsoku/>
              <w:wordWrap/>
              <w:overflowPunct/>
              <w:topLinePunct w:val="0"/>
              <w:autoSpaceDE/>
              <w:autoSpaceDN/>
              <w:bidi w:val="0"/>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本项目为一级渔港工程，主要建设内容为码头、防波堤、港池疏浚及渔港相应配套设施。港区不设置加油码头、机修车间，不设置油品储罐，不涉及易燃易爆危险品，项目施工期、运营期主要风险物质为船舶携带的燃料油。施工期施工船舶在线量按单个船舶燃料油全部舱容的数量确定，本项目施工期施工船舶主要为起重船、挖泥船、插板船、方驳、泥驳、半潜驳等，其中施工船舶中最大为半潜驳船，运营期最大代表船型为3000吨冷藏船。船舶油品均为0#柴油，燃料油密度按0.85t/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估算。根据《水上溢油环境风险评估技术导则》（JT/T 1143-2017）表C.8、C.9，本项目施工期船舶最大风险物质存在量为306m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（260.1t），运营期船舶最大风险物质存在量为390m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（331.5t）。因此，本项目风险物质最大存在的总量为331.5t。</w:t>
            </w:r>
          </w:p>
          <w:p w14:paraId="38F96ED0">
            <w:pPr>
              <w:pageBreakBefore w:val="0"/>
              <w:widowControl w:val="0"/>
              <w:kinsoku/>
              <w:wordWrap/>
              <w:overflowPunct/>
              <w:topLinePunct w:val="0"/>
              <w:autoSpaceDE/>
              <w:autoSpaceDN/>
              <w:bidi w:val="0"/>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根据《环境影响评价技术导则 海洋生态环境》（GB/T 1409-2025）附录G.1油类物质（矿物油类，如石油、汽油、柴油等；生物柴油等）的临界量为100t，计算油类物质的总量与其临界量比值，即Q=3.315，1≤Q&lt;10；根据附录G.2，本项目环境敏感特征为“危险物质泄漏到海洋的排放点位于海水水质分类第二类区域或一般敏感区”，环境敏感程度为E2。</w:t>
            </w:r>
          </w:p>
          <w:p w14:paraId="1D23AB8B">
            <w:pPr>
              <w:pageBreakBefore w:val="0"/>
              <w:widowControl w:val="0"/>
              <w:kinsoku/>
              <w:wordWrap/>
              <w:overflowPunct/>
              <w:topLinePunct w:val="0"/>
              <w:autoSpaceDE/>
              <w:autoSpaceDN/>
              <w:bidi w:val="0"/>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根据《建设项目环境风险评价技术导则》（HJ 169-2018）附录C中表C.1，本项目属于行业“港口/码头”，行业及生产工艺（M）分值为10，5&lt;M≤10，属于M3；根据HJ 169-2018附录C中表C.2判断，本项目危险物质及工艺系统危险性（P）分级为P4（轻度危害）；根据HJ 169-2018表2判断，本项目环境风险潜势为Ⅱ，因此判断本项目海洋生态环境风险评价等级为三级。</w:t>
            </w:r>
          </w:p>
          <w:p w14:paraId="4816E4AD">
            <w:pPr>
              <w:pStyle w:val="4"/>
              <w:bidi w:val="0"/>
              <w:rPr>
                <w:rFonts w:hint="default"/>
                <w:lang w:val="en-US" w:eastAsia="zh-CN"/>
              </w:rPr>
            </w:pPr>
            <w:r>
              <w:rPr>
                <w:rFonts w:hint="default"/>
                <w:lang w:val="en-US" w:eastAsia="zh-CN"/>
              </w:rPr>
              <w:t>环境影响评价范围</w:t>
            </w:r>
          </w:p>
          <w:p w14:paraId="1ECEC1C6">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（1）海洋生态环境</w:t>
            </w:r>
          </w:p>
          <w:p w14:paraId="41F80423">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根据《环境影响评价技术导则 海洋生态环境》（GB/T 1409-2025）要求，海洋生态环境影响评价范围应覆盖建设项目整体实施后可能对海洋生态环境造成影响的范围。根据评价等级、工程特点、生态敏感区分布情况，确定评价范围。评价范围以建设项目平面布置外缘线向外的扩展距离确定，2级评价项目在潮流主流向的扩展距离应不小于5km~15km，垂直于潮流主流向的扩展距离以不小于主流向扩展距离的1/2为宜。</w:t>
            </w:r>
          </w:p>
          <w:p w14:paraId="196A298B">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结合工程特点及对环境可能产生影响的范围、周边敏感点的位置、工程所在地周边的环境特征等，本项目海洋生态评价范围扩展距离为：以建设项目平面布置外缘线向潮流主流向的扩展距离约13km，垂直于潮流主流向的扩展距离约6.5km。最终确定海洋生态环境评价范围为：工程用海外缘线为起点，向西北扩展13.7km至A点、向东北扩展13.7km至B点、向东扩展10.9km至C点、向东南扩展16.9km至D点、向西南扩展14.6km至E点、扩展8.2km至F点，由A点起至B点，C点起至-D点-E点-F点与海岸线所围的海域，面积约309.7km</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lang w:val="en-US" w:eastAsia="zh-CN"/>
              </w:rPr>
              <w:t>。海洋环境影响评价范围边界点坐标见</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REF _Ref6270 \h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3.15</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7</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val="en-US" w:eastAsia="zh-CN"/>
              </w:rPr>
              <w:t>，海洋环境影响评价范围见</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REF _Ref17784 \h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rPr>
              <w:t>图</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3.15</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1</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val="en-US" w:eastAsia="zh-CN"/>
              </w:rPr>
              <w:t>。</w:t>
            </w:r>
          </w:p>
          <w:p w14:paraId="7BE3EA1A">
            <w:pPr>
              <w:pStyle w:val="30"/>
              <w:bidi w:val="0"/>
              <w:rPr>
                <w:rFonts w:hint="default" w:ascii="Times New Roman" w:hAnsi="Times New Roman" w:cs="Times New Roman"/>
                <w:color w:val="000000"/>
                <w:highlight w:val="none"/>
                <w:lang w:val="en-US" w:eastAsia="zh-CN"/>
              </w:rPr>
            </w:pPr>
            <w:bookmarkStart w:id="235" w:name="_Ref6270"/>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3.15</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表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7</w:t>
            </w:r>
            <w:r>
              <w:rPr>
                <w:rFonts w:hint="default" w:ascii="Times New Roman" w:hAnsi="Times New Roman" w:cs="Times New Roman"/>
                <w:color w:val="000000"/>
                <w:highlight w:val="none"/>
              </w:rPr>
              <w:fldChar w:fldCharType="end"/>
            </w:r>
            <w:bookmarkEnd w:id="235"/>
            <w:r>
              <w:rPr>
                <w:rFonts w:hint="default" w:ascii="Times New Roman" w:hAnsi="Times New Roman" w:cs="Times New Roman"/>
                <w:color w:val="000000"/>
                <w:highlight w:val="none"/>
                <w:lang w:val="en-US" w:eastAsia="zh-CN"/>
              </w:rPr>
              <w:t xml:space="preserve"> 海洋环境影响评价范围边界点坐标</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46"/>
              <w:gridCol w:w="3471"/>
              <w:gridCol w:w="3471"/>
            </w:tblGrid>
            <w:tr w14:paraId="476B7A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blHeader/>
              </w:trPr>
              <w:tc>
                <w:tcPr>
                  <w:tcW w:w="958" w:type="pct"/>
                  <w:noWrap w:val="0"/>
                  <w:vAlign w:val="center"/>
                </w:tcPr>
                <w:p w14:paraId="57CFBD8E">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边界点</w:t>
                  </w:r>
                </w:p>
              </w:tc>
              <w:tc>
                <w:tcPr>
                  <w:tcW w:w="2020" w:type="pct"/>
                  <w:noWrap w:val="0"/>
                  <w:vAlign w:val="center"/>
                </w:tcPr>
                <w:p w14:paraId="4E243DE9">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经度</w:t>
                  </w:r>
                </w:p>
              </w:tc>
              <w:tc>
                <w:tcPr>
                  <w:tcW w:w="2020" w:type="pct"/>
                  <w:noWrap w:val="0"/>
                  <w:vAlign w:val="center"/>
                </w:tcPr>
                <w:p w14:paraId="15B53700">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纬度</w:t>
                  </w:r>
                </w:p>
              </w:tc>
            </w:tr>
            <w:tr w14:paraId="606FE9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8" w:type="pct"/>
                  <w:noWrap w:val="0"/>
                  <w:vAlign w:val="center"/>
                </w:tcPr>
                <w:p w14:paraId="0F560BB9">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A</w:t>
                  </w:r>
                </w:p>
              </w:tc>
              <w:tc>
                <w:tcPr>
                  <w:tcW w:w="2020" w:type="pct"/>
                  <w:noWrap w:val="0"/>
                  <w:vAlign w:val="center"/>
                </w:tcPr>
                <w:p w14:paraId="56BDF11E">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119°36′22.8886″</w:t>
                  </w:r>
                </w:p>
              </w:tc>
              <w:tc>
                <w:tcPr>
                  <w:tcW w:w="2020" w:type="pct"/>
                  <w:noWrap w:val="0"/>
                  <w:vAlign w:val="center"/>
                </w:tcPr>
                <w:p w14:paraId="008084F6">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25°30′36.2433″</w:t>
                  </w:r>
                </w:p>
              </w:tc>
            </w:tr>
            <w:tr w14:paraId="53B6C4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8" w:type="pct"/>
                  <w:noWrap w:val="0"/>
                  <w:vAlign w:val="center"/>
                </w:tcPr>
                <w:p w14:paraId="498960B5">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B</w:t>
                  </w:r>
                </w:p>
              </w:tc>
              <w:tc>
                <w:tcPr>
                  <w:tcW w:w="2020" w:type="pct"/>
                  <w:noWrap w:val="0"/>
                  <w:vAlign w:val="center"/>
                </w:tcPr>
                <w:p w14:paraId="536B0756">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119°41′39.9056″</w:t>
                  </w:r>
                </w:p>
              </w:tc>
              <w:tc>
                <w:tcPr>
                  <w:tcW w:w="2020" w:type="pct"/>
                  <w:noWrap w:val="0"/>
                  <w:vAlign w:val="center"/>
                </w:tcPr>
                <w:p w14:paraId="1FD4BF65">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25°30′46.2056″</w:t>
                  </w:r>
                </w:p>
              </w:tc>
            </w:tr>
            <w:tr w14:paraId="462D95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8" w:type="pct"/>
                  <w:noWrap w:val="0"/>
                  <w:vAlign w:val="center"/>
                </w:tcPr>
                <w:p w14:paraId="42C039E7">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C</w:t>
                  </w:r>
                </w:p>
              </w:tc>
              <w:tc>
                <w:tcPr>
                  <w:tcW w:w="2020" w:type="pct"/>
                  <w:noWrap w:val="0"/>
                  <w:vAlign w:val="center"/>
                </w:tcPr>
                <w:p w14:paraId="1E74D0EA">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119°46′12.3899″</w:t>
                  </w:r>
                </w:p>
              </w:tc>
              <w:tc>
                <w:tcPr>
                  <w:tcW w:w="2020" w:type="pct"/>
                  <w:noWrap w:val="0"/>
                  <w:vAlign w:val="center"/>
                </w:tcPr>
                <w:p w14:paraId="58661E38">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25°23′49.8891″</w:t>
                  </w:r>
                </w:p>
              </w:tc>
            </w:tr>
            <w:tr w14:paraId="529D43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8" w:type="pct"/>
                  <w:noWrap w:val="0"/>
                  <w:vAlign w:val="center"/>
                </w:tcPr>
                <w:p w14:paraId="5DFB3525">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D</w:t>
                  </w:r>
                </w:p>
              </w:tc>
              <w:tc>
                <w:tcPr>
                  <w:tcW w:w="2020" w:type="pct"/>
                  <w:noWrap w:val="0"/>
                  <w:vAlign w:val="center"/>
                </w:tcPr>
                <w:p w14:paraId="473129B1">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119°46′12.3899″</w:t>
                  </w:r>
                </w:p>
              </w:tc>
              <w:tc>
                <w:tcPr>
                  <w:tcW w:w="2020" w:type="pct"/>
                  <w:noWrap w:val="0"/>
                  <w:vAlign w:val="center"/>
                </w:tcPr>
                <w:p w14:paraId="359B6423">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25°15′58.1550″</w:t>
                  </w:r>
                </w:p>
              </w:tc>
            </w:tr>
            <w:tr w14:paraId="25DAFD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8" w:type="pct"/>
                  <w:noWrap w:val="0"/>
                  <w:vAlign w:val="center"/>
                </w:tcPr>
                <w:p w14:paraId="68658DD5">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E</w:t>
                  </w:r>
                </w:p>
              </w:tc>
              <w:tc>
                <w:tcPr>
                  <w:tcW w:w="2020" w:type="pct"/>
                  <w:noWrap w:val="0"/>
                  <w:vAlign w:val="center"/>
                </w:tcPr>
                <w:p w14:paraId="141B4B6E">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119°35′29.1089″</w:t>
                  </w:r>
                </w:p>
              </w:tc>
              <w:tc>
                <w:tcPr>
                  <w:tcW w:w="2020" w:type="pct"/>
                  <w:noWrap w:val="0"/>
                  <w:vAlign w:val="center"/>
                </w:tcPr>
                <w:p w14:paraId="69C36632">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25°15′58.1550″</w:t>
                  </w:r>
                </w:p>
              </w:tc>
            </w:tr>
            <w:tr w14:paraId="7AB7FB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8" w:type="pct"/>
                  <w:noWrap w:val="0"/>
                  <w:vAlign w:val="center"/>
                </w:tcPr>
                <w:p w14:paraId="6CE6F6EC">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F</w:t>
                  </w:r>
                </w:p>
              </w:tc>
              <w:tc>
                <w:tcPr>
                  <w:tcW w:w="2020" w:type="pct"/>
                  <w:noWrap w:val="0"/>
                  <w:vAlign w:val="center"/>
                </w:tcPr>
                <w:p w14:paraId="78AD72CB">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119°35′29.1089″</w:t>
                  </w:r>
                </w:p>
              </w:tc>
              <w:tc>
                <w:tcPr>
                  <w:tcW w:w="2020" w:type="pct"/>
                  <w:noWrap w:val="0"/>
                  <w:vAlign w:val="center"/>
                </w:tcPr>
                <w:p w14:paraId="476CBD8A">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25°20′25.4977″</w:t>
                  </w:r>
                </w:p>
              </w:tc>
            </w:tr>
          </w:tbl>
          <w:p w14:paraId="51130694">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（2）陆域生态环境</w:t>
            </w:r>
          </w:p>
          <w:p w14:paraId="503386E6">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根据《环境影响评价技术导则 生态影响》（HJ 19-2022），生态影响评价应能够充分体现生态完整性和生物多样性保护要求，涵盖评价项目全部活动的直接影响区域和间接影响区域。本项目陆域生态环境影响评价范围为拟建工程陆域范围边界外扩300m，详见</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REF _Ref19848 \h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rPr>
              <w:t>图</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3.15</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2</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val="en-US" w:eastAsia="zh-CN"/>
              </w:rPr>
              <w:t>。</w:t>
            </w:r>
          </w:p>
          <w:p w14:paraId="4B3FB17F">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（3）大气环境</w:t>
            </w:r>
          </w:p>
          <w:p w14:paraId="61678AF4">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依据《环境影响评价技术导则—大气环境》（HJ2.2-2018），二级评价项目大气评价范围为以工程为中心，边长为5km的矩形，见</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REF _Ref31827 \h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rPr>
              <w:t>图</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3.15</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3</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val="en-US" w:eastAsia="zh-CN"/>
              </w:rPr>
              <w:t>。</w:t>
            </w:r>
          </w:p>
          <w:p w14:paraId="4151B470">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（4）声环境</w:t>
            </w:r>
          </w:p>
          <w:p w14:paraId="224846A0">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根据《环境影响评价技术导则 声环境》（HJ 2.4-2021）评价范围规定，本项目声环境评价范围为拟建工程厂界外扩200m，详见</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REF _Ref32091 \h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rPr>
              <w:t>图</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3.15</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4</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val="en-US" w:eastAsia="zh-CN"/>
              </w:rPr>
              <w:t>。</w:t>
            </w:r>
          </w:p>
          <w:p w14:paraId="6D7CC6EA">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（5）环境风险</w:t>
            </w:r>
          </w:p>
          <w:p w14:paraId="7D3830FC">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本项目涉及的环境风险物质仅包括施工期和运营期项目区船舶燃料油，其发生泄漏事故时，仅对海洋环境产生影响，不会对大气环境和地下水环境产生影响，因此，本项目环境风险影响评价范围应依据海洋环境风险影响范围确定。</w:t>
            </w:r>
          </w:p>
          <w:p w14:paraId="3C0B1804">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根据《环境影响评价技术导则 海洋生态环境》（GB/T 1409-2025）“8.4海洋生态环境风险评价范围根据评价等级合理确定，一般不小于相应评价等级的生态环境影响评价范围”。考虑到项目区周边分布有海洋生态敏感区，海洋环境风险评价范围根据风险物质72h扩散范围确定。</w:t>
            </w:r>
            <w:r>
              <w:rPr>
                <w:rFonts w:hint="default" w:ascii="Times New Roman" w:hAnsi="Times New Roman" w:cs="Times New Roman"/>
                <w:color w:val="000000"/>
                <w:highlight w:val="none"/>
                <w:u w:val="none"/>
                <w:lang w:val="en-US" w:eastAsia="zh-CN"/>
              </w:rPr>
              <w:t>考虑海域特征和生态敏感区分布情况，确定本项目环境风险评价范围为项目区向北扩展13.0km，向东扩展14.8km，向南扩展17.3km，向西南扩展8.2km，风险评价范围面积约</w:t>
            </w:r>
            <w:r>
              <w:rPr>
                <w:rFonts w:hint="default" w:ascii="Times New Roman" w:hAnsi="Times New Roman" w:cs="Times New Roman"/>
                <w:color w:val="000000"/>
                <w:highlight w:val="none"/>
                <w:lang w:val="en-US" w:eastAsia="zh-CN"/>
              </w:rPr>
              <w:t>492.56km</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u w:val="none"/>
                <w:lang w:val="en-US" w:eastAsia="zh-CN"/>
              </w:rPr>
              <w:t>。</w:t>
            </w:r>
          </w:p>
          <w:p w14:paraId="25893F24">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环境风险评价范围边界点坐标见</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REF _Ref1586 \h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3.15</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8</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val="en-US" w:eastAsia="zh-CN"/>
              </w:rPr>
              <w:t>，海洋环境影响评价范围见</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REF _Ref7553 \h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rPr>
              <w:t>图</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3.15</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5</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val="en-US" w:eastAsia="zh-CN"/>
              </w:rPr>
              <w:t>。</w:t>
            </w:r>
          </w:p>
          <w:p w14:paraId="0689AA00">
            <w:pPr>
              <w:pStyle w:val="30"/>
              <w:bidi w:val="0"/>
              <w:rPr>
                <w:rFonts w:hint="default" w:ascii="Times New Roman" w:hAnsi="Times New Roman" w:cs="Times New Roman"/>
                <w:color w:val="000000"/>
                <w:highlight w:val="none"/>
                <w:lang w:val="en-US" w:eastAsia="zh-CN"/>
              </w:rPr>
            </w:pPr>
            <w:bookmarkStart w:id="236" w:name="_Ref1586"/>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3.15</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表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8</w:t>
            </w:r>
            <w:r>
              <w:rPr>
                <w:rFonts w:hint="default" w:ascii="Times New Roman" w:hAnsi="Times New Roman" w:cs="Times New Roman"/>
                <w:color w:val="000000"/>
                <w:highlight w:val="none"/>
              </w:rPr>
              <w:fldChar w:fldCharType="end"/>
            </w:r>
            <w:bookmarkEnd w:id="236"/>
            <w:r>
              <w:rPr>
                <w:rFonts w:hint="default" w:ascii="Times New Roman" w:hAnsi="Times New Roman" w:cs="Times New Roman"/>
                <w:color w:val="000000"/>
                <w:highlight w:val="none"/>
                <w:lang w:val="en-US" w:eastAsia="zh-CN"/>
              </w:rPr>
              <w:t xml:space="preserve"> 环境风险评价范围边界点坐标</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46"/>
              <w:gridCol w:w="3471"/>
              <w:gridCol w:w="3471"/>
            </w:tblGrid>
            <w:tr w14:paraId="223934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958" w:type="pct"/>
                  <w:noWrap w:val="0"/>
                  <w:vAlign w:val="center"/>
                </w:tcPr>
                <w:p w14:paraId="13B5F27F">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边界点</w:t>
                  </w:r>
                </w:p>
              </w:tc>
              <w:tc>
                <w:tcPr>
                  <w:tcW w:w="2020" w:type="pct"/>
                  <w:noWrap w:val="0"/>
                  <w:vAlign w:val="center"/>
                </w:tcPr>
                <w:p w14:paraId="2EE44B87">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经度</w:t>
                  </w:r>
                </w:p>
              </w:tc>
              <w:tc>
                <w:tcPr>
                  <w:tcW w:w="2020" w:type="pct"/>
                  <w:noWrap w:val="0"/>
                  <w:vAlign w:val="center"/>
                </w:tcPr>
                <w:p w14:paraId="0935E0A5">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纬度</w:t>
                  </w:r>
                </w:p>
              </w:tc>
            </w:tr>
            <w:tr w14:paraId="252658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8" w:type="pct"/>
                  <w:noWrap w:val="0"/>
                  <w:vAlign w:val="center"/>
                </w:tcPr>
                <w:p w14:paraId="1594E33B">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A</w:t>
                  </w:r>
                </w:p>
              </w:tc>
              <w:tc>
                <w:tcPr>
                  <w:tcW w:w="2020" w:type="pct"/>
                  <w:noWrap w:val="0"/>
                  <w:vAlign w:val="center"/>
                </w:tcPr>
                <w:p w14:paraId="3B3FF2A8">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119°36′22.8886″</w:t>
                  </w:r>
                </w:p>
              </w:tc>
              <w:tc>
                <w:tcPr>
                  <w:tcW w:w="2020" w:type="pct"/>
                  <w:noWrap w:val="0"/>
                  <w:vAlign w:val="center"/>
                </w:tcPr>
                <w:p w14:paraId="2621D534">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25°30′36.2433″</w:t>
                  </w:r>
                </w:p>
              </w:tc>
            </w:tr>
            <w:tr w14:paraId="7B6E48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8" w:type="pct"/>
                  <w:noWrap w:val="0"/>
                  <w:vAlign w:val="center"/>
                </w:tcPr>
                <w:p w14:paraId="57820713">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B</w:t>
                  </w:r>
                </w:p>
              </w:tc>
              <w:tc>
                <w:tcPr>
                  <w:tcW w:w="2020" w:type="pct"/>
                  <w:noWrap w:val="0"/>
                  <w:vAlign w:val="center"/>
                </w:tcPr>
                <w:p w14:paraId="6C4DDFE9">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119°41′39.9056″</w:t>
                  </w:r>
                </w:p>
              </w:tc>
              <w:tc>
                <w:tcPr>
                  <w:tcW w:w="2020" w:type="pct"/>
                  <w:noWrap w:val="0"/>
                  <w:vAlign w:val="center"/>
                </w:tcPr>
                <w:p w14:paraId="7E7AB5E3">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25°30′46.2056″</w:t>
                  </w:r>
                </w:p>
              </w:tc>
            </w:tr>
            <w:tr w14:paraId="331170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8" w:type="pct"/>
                  <w:noWrap w:val="0"/>
                  <w:vAlign w:val="center"/>
                </w:tcPr>
                <w:p w14:paraId="4804794E">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C</w:t>
                  </w:r>
                </w:p>
              </w:tc>
              <w:tc>
                <w:tcPr>
                  <w:tcW w:w="2020" w:type="pct"/>
                  <w:noWrap w:val="0"/>
                  <w:vAlign w:val="center"/>
                </w:tcPr>
                <w:p w14:paraId="16E0825B">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119°48′36.7311″</w:t>
                  </w:r>
                </w:p>
              </w:tc>
              <w:tc>
                <w:tcPr>
                  <w:tcW w:w="2020" w:type="pct"/>
                  <w:noWrap w:val="0"/>
                  <w:vAlign w:val="center"/>
                </w:tcPr>
                <w:p w14:paraId="6883DABB">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25°27′47.2507″</w:t>
                  </w:r>
                </w:p>
              </w:tc>
            </w:tr>
            <w:tr w14:paraId="1C13F2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8" w:type="pct"/>
                  <w:noWrap w:val="0"/>
                  <w:vAlign w:val="center"/>
                </w:tcPr>
                <w:p w14:paraId="4F7D3B18">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D</w:t>
                  </w:r>
                </w:p>
              </w:tc>
              <w:tc>
                <w:tcPr>
                  <w:tcW w:w="2020" w:type="pct"/>
                  <w:noWrap w:val="0"/>
                  <w:vAlign w:val="center"/>
                </w:tcPr>
                <w:p w14:paraId="15ED5655">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119°48′36.7311″</w:t>
                  </w:r>
                </w:p>
              </w:tc>
              <w:tc>
                <w:tcPr>
                  <w:tcW w:w="2020" w:type="pct"/>
                  <w:noWrap w:val="0"/>
                  <w:vAlign w:val="center"/>
                </w:tcPr>
                <w:p w14:paraId="1340A533">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25°13′35.3591″</w:t>
                  </w:r>
                </w:p>
              </w:tc>
            </w:tr>
            <w:tr w14:paraId="690D99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8" w:type="pct"/>
                  <w:noWrap w:val="0"/>
                  <w:vAlign w:val="center"/>
                </w:tcPr>
                <w:p w14:paraId="52A2071A">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E</w:t>
                  </w:r>
                </w:p>
              </w:tc>
              <w:tc>
                <w:tcPr>
                  <w:tcW w:w="2020" w:type="pct"/>
                  <w:noWrap w:val="0"/>
                  <w:vAlign w:val="center"/>
                </w:tcPr>
                <w:p w14:paraId="419D0AA6">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119°35′29.1089″</w:t>
                  </w:r>
                </w:p>
              </w:tc>
              <w:tc>
                <w:tcPr>
                  <w:tcW w:w="2020" w:type="pct"/>
                  <w:noWrap w:val="0"/>
                  <w:vAlign w:val="center"/>
                </w:tcPr>
                <w:p w14:paraId="7C3CFED3">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25°13′35.3591″</w:t>
                  </w:r>
                </w:p>
              </w:tc>
            </w:tr>
            <w:tr w14:paraId="0A955A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8" w:type="pct"/>
                  <w:noWrap w:val="0"/>
                  <w:vAlign w:val="center"/>
                </w:tcPr>
                <w:p w14:paraId="15216B52">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F</w:t>
                  </w:r>
                </w:p>
              </w:tc>
              <w:tc>
                <w:tcPr>
                  <w:tcW w:w="2020" w:type="pct"/>
                  <w:noWrap w:val="0"/>
                  <w:vAlign w:val="center"/>
                </w:tcPr>
                <w:p w14:paraId="09C9C16E">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119°35′29.1089″</w:t>
                  </w:r>
                </w:p>
              </w:tc>
              <w:tc>
                <w:tcPr>
                  <w:tcW w:w="2020" w:type="pct"/>
                  <w:noWrap w:val="0"/>
                  <w:vAlign w:val="center"/>
                </w:tcPr>
                <w:p w14:paraId="194B2579">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25°20′25.4977″</w:t>
                  </w:r>
                </w:p>
              </w:tc>
            </w:tr>
          </w:tbl>
          <w:p w14:paraId="6B764E4A">
            <w:pPr>
              <w:pStyle w:val="31"/>
              <w:bidi w:val="0"/>
              <w:rPr>
                <w:rFonts w:hint="default"/>
                <w:lang w:val="en-US" w:eastAsia="zh-CN"/>
              </w:rPr>
            </w:pPr>
            <w:r>
              <w:rPr>
                <w:rFonts w:hint="eastAsia"/>
                <w:lang w:val="en-US" w:eastAsia="zh-CN"/>
              </w:rPr>
              <w:t>（涉密删除）</w:t>
            </w:r>
          </w:p>
          <w:p w14:paraId="255650B7">
            <w:pPr>
              <w:pStyle w:val="30"/>
              <w:bidi w:val="0"/>
              <w:rPr>
                <w:rFonts w:hint="default"/>
                <w:lang w:val="en-US" w:eastAsia="zh-CN"/>
              </w:rPr>
            </w:pPr>
            <w:bookmarkStart w:id="237" w:name="_Ref17784"/>
            <w:r>
              <w:rPr>
                <w:rFonts w:hint="default" w:ascii="Times New Roman" w:hAnsi="Times New Roman" w:cs="Times New Roman"/>
                <w:color w:val="000000"/>
                <w:highlight w:val="none"/>
              </w:rPr>
              <w:t>图</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3.15</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图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1</w:t>
            </w:r>
            <w:r>
              <w:rPr>
                <w:rFonts w:hint="default" w:ascii="Times New Roman" w:hAnsi="Times New Roman" w:cs="Times New Roman"/>
                <w:color w:val="000000"/>
                <w:highlight w:val="none"/>
              </w:rPr>
              <w:fldChar w:fldCharType="end"/>
            </w:r>
            <w:bookmarkEnd w:id="237"/>
            <w:r>
              <w:rPr>
                <w:rFonts w:hint="default" w:ascii="Times New Roman" w:hAnsi="Times New Roman" w:cs="Times New Roman"/>
                <w:color w:val="000000"/>
                <w:highlight w:val="none"/>
                <w:lang w:val="en-US" w:eastAsia="zh-CN"/>
              </w:rPr>
              <w:t xml:space="preserve"> 本项目海洋环境影响评价范围图</w:t>
            </w:r>
          </w:p>
          <w:p w14:paraId="27355C3C">
            <w:pPr>
              <w:pStyle w:val="31"/>
              <w:bidi w:val="0"/>
              <w:rPr>
                <w:rFonts w:hint="default" w:ascii="Times New Roman" w:hAnsi="Times New Roman" w:cs="Times New Roman"/>
                <w:color w:val="000000"/>
                <w:highlight w:val="none"/>
                <w:lang w:val="en-US" w:eastAsia="zh-CN"/>
              </w:rPr>
            </w:pPr>
            <w:r>
              <w:rPr>
                <w:rFonts w:hint="eastAsia" w:cs="Times New Roman"/>
                <w:color w:val="000000"/>
                <w:highlight w:val="none"/>
                <w:lang w:val="en-US" w:eastAsia="zh-CN"/>
              </w:rPr>
              <w:t>（涉密删除）</w:t>
            </w:r>
          </w:p>
          <w:p w14:paraId="5D770786">
            <w:pPr>
              <w:pStyle w:val="30"/>
              <w:bidi w:val="0"/>
              <w:rPr>
                <w:rFonts w:hint="default" w:ascii="Times New Roman" w:hAnsi="Times New Roman" w:cs="Times New Roman"/>
                <w:color w:val="000000"/>
                <w:highlight w:val="none"/>
                <w:lang w:val="en-US" w:eastAsia="zh-CN"/>
              </w:rPr>
            </w:pPr>
            <w:bookmarkStart w:id="238" w:name="_Ref19848"/>
            <w:r>
              <w:rPr>
                <w:rFonts w:hint="default" w:ascii="Times New Roman" w:hAnsi="Times New Roman" w:cs="Times New Roman"/>
                <w:color w:val="000000"/>
                <w:highlight w:val="none"/>
              </w:rPr>
              <w:t>图</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3.15</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图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2</w:t>
            </w:r>
            <w:r>
              <w:rPr>
                <w:rFonts w:hint="default" w:ascii="Times New Roman" w:hAnsi="Times New Roman" w:cs="Times New Roman"/>
                <w:color w:val="000000"/>
                <w:highlight w:val="none"/>
              </w:rPr>
              <w:fldChar w:fldCharType="end"/>
            </w:r>
            <w:bookmarkEnd w:id="238"/>
            <w:r>
              <w:rPr>
                <w:rFonts w:hint="default" w:ascii="Times New Roman" w:hAnsi="Times New Roman" w:cs="Times New Roman"/>
                <w:color w:val="000000"/>
                <w:highlight w:val="none"/>
                <w:lang w:val="en-US" w:eastAsia="zh-CN"/>
              </w:rPr>
              <w:t xml:space="preserve"> 本项目陆域生态环境影响评价范围图</w:t>
            </w:r>
          </w:p>
          <w:p w14:paraId="4A040C20">
            <w:pPr>
              <w:pStyle w:val="31"/>
              <w:bidi w:val="0"/>
              <w:rPr>
                <w:rFonts w:hint="default"/>
                <w:lang w:val="en-US" w:eastAsia="zh-CN"/>
              </w:rPr>
            </w:pPr>
            <w:r>
              <w:rPr>
                <w:rFonts w:hint="eastAsia" w:cs="Times New Roman"/>
                <w:color w:val="000000"/>
                <w:highlight w:val="none"/>
                <w:lang w:val="en-US" w:eastAsia="zh-CN"/>
              </w:rPr>
              <w:t>（涉密删除）</w:t>
            </w:r>
          </w:p>
          <w:p w14:paraId="1BE04C7F">
            <w:pPr>
              <w:pStyle w:val="30"/>
              <w:bidi w:val="0"/>
              <w:rPr>
                <w:rFonts w:hint="default"/>
                <w:lang w:val="en-US" w:eastAsia="zh-CN"/>
              </w:rPr>
            </w:pPr>
            <w:bookmarkStart w:id="239" w:name="_Ref31827"/>
            <w:r>
              <w:rPr>
                <w:rFonts w:hint="default" w:ascii="Times New Roman" w:hAnsi="Times New Roman" w:cs="Times New Roman"/>
                <w:color w:val="000000"/>
                <w:highlight w:val="none"/>
              </w:rPr>
              <w:t>图</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3.15</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图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w:t>
            </w:r>
            <w:r>
              <w:rPr>
                <w:rFonts w:hint="default" w:ascii="Times New Roman" w:hAnsi="Times New Roman" w:cs="Times New Roman"/>
                <w:color w:val="000000"/>
                <w:highlight w:val="none"/>
              </w:rPr>
              <w:fldChar w:fldCharType="end"/>
            </w:r>
            <w:bookmarkEnd w:id="239"/>
            <w:r>
              <w:rPr>
                <w:rFonts w:hint="default" w:ascii="Times New Roman" w:hAnsi="Times New Roman" w:cs="Times New Roman"/>
                <w:color w:val="000000"/>
                <w:highlight w:val="none"/>
                <w:lang w:val="en-US" w:eastAsia="zh-CN"/>
              </w:rPr>
              <w:t xml:space="preserve"> 大气环境影响评价范围图</w:t>
            </w:r>
          </w:p>
          <w:p w14:paraId="01DB8A0B">
            <w:pPr>
              <w:pStyle w:val="31"/>
              <w:bidi w:val="0"/>
              <w:rPr>
                <w:rFonts w:hint="default" w:ascii="Times New Roman" w:hAnsi="Times New Roman" w:cs="Times New Roman"/>
                <w:color w:val="000000"/>
                <w:highlight w:val="none"/>
                <w:lang w:val="en-US" w:eastAsia="zh-CN"/>
              </w:rPr>
            </w:pPr>
            <w:r>
              <w:rPr>
                <w:rFonts w:hint="eastAsia" w:cs="Times New Roman"/>
                <w:color w:val="000000"/>
                <w:highlight w:val="none"/>
                <w:lang w:val="en-US" w:eastAsia="zh-CN"/>
              </w:rPr>
              <w:t>（涉密删除）</w:t>
            </w:r>
          </w:p>
          <w:p w14:paraId="11347A24">
            <w:pPr>
              <w:pStyle w:val="30"/>
              <w:bidi w:val="0"/>
              <w:rPr>
                <w:rFonts w:hint="default" w:ascii="Times New Roman" w:hAnsi="Times New Roman" w:cs="Times New Roman"/>
                <w:color w:val="000000"/>
                <w:highlight w:val="none"/>
                <w:lang w:val="en-US" w:eastAsia="zh-CN"/>
              </w:rPr>
            </w:pPr>
            <w:bookmarkStart w:id="240" w:name="_Ref32091"/>
            <w:r>
              <w:rPr>
                <w:rFonts w:hint="default" w:ascii="Times New Roman" w:hAnsi="Times New Roman" w:cs="Times New Roman"/>
                <w:color w:val="000000"/>
                <w:highlight w:val="none"/>
              </w:rPr>
              <w:t>图</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3.15</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图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w:t>
            </w:r>
            <w:r>
              <w:rPr>
                <w:rFonts w:hint="default" w:ascii="Times New Roman" w:hAnsi="Times New Roman" w:cs="Times New Roman"/>
                <w:color w:val="000000"/>
                <w:highlight w:val="none"/>
              </w:rPr>
              <w:fldChar w:fldCharType="end"/>
            </w:r>
            <w:bookmarkEnd w:id="240"/>
            <w:r>
              <w:rPr>
                <w:rFonts w:hint="default" w:ascii="Times New Roman" w:hAnsi="Times New Roman" w:cs="Times New Roman"/>
                <w:color w:val="000000"/>
                <w:highlight w:val="none"/>
                <w:lang w:val="en-US" w:eastAsia="zh-CN"/>
              </w:rPr>
              <w:t xml:space="preserve"> 声环境影响评价范围图</w:t>
            </w:r>
          </w:p>
          <w:p w14:paraId="04301351">
            <w:pPr>
              <w:pStyle w:val="31"/>
              <w:bidi w:val="0"/>
              <w:rPr>
                <w:rFonts w:hint="default"/>
                <w:lang w:val="en-US" w:eastAsia="zh-CN"/>
              </w:rPr>
            </w:pPr>
            <w:r>
              <w:rPr>
                <w:rFonts w:hint="eastAsia" w:cs="Times New Roman"/>
                <w:color w:val="000000"/>
                <w:highlight w:val="none"/>
                <w:lang w:val="en-US" w:eastAsia="zh-CN"/>
              </w:rPr>
              <w:t>（涉密删除）</w:t>
            </w:r>
          </w:p>
          <w:p w14:paraId="2C4C3B4C">
            <w:pPr>
              <w:pStyle w:val="30"/>
              <w:bidi w:val="0"/>
              <w:rPr>
                <w:rFonts w:hint="default"/>
                <w:lang w:val="en-US" w:eastAsia="zh-CN"/>
              </w:rPr>
            </w:pPr>
            <w:bookmarkStart w:id="241" w:name="_Ref7553"/>
            <w:r>
              <w:rPr>
                <w:rFonts w:hint="default" w:ascii="Times New Roman" w:hAnsi="Times New Roman" w:cs="Times New Roman"/>
                <w:color w:val="000000"/>
                <w:highlight w:val="none"/>
              </w:rPr>
              <w:t>图</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3.15</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图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5</w:t>
            </w:r>
            <w:r>
              <w:rPr>
                <w:rFonts w:hint="default" w:ascii="Times New Roman" w:hAnsi="Times New Roman" w:cs="Times New Roman"/>
                <w:color w:val="000000"/>
                <w:highlight w:val="none"/>
              </w:rPr>
              <w:fldChar w:fldCharType="end"/>
            </w:r>
            <w:bookmarkEnd w:id="241"/>
            <w:r>
              <w:rPr>
                <w:rFonts w:hint="default" w:ascii="Times New Roman" w:hAnsi="Times New Roman" w:cs="Times New Roman"/>
                <w:color w:val="000000"/>
                <w:highlight w:val="none"/>
                <w:lang w:val="en-US" w:eastAsia="zh-CN"/>
              </w:rPr>
              <w:t xml:space="preserve"> 本项目环境风险评价范围图</w:t>
            </w:r>
          </w:p>
          <w:p w14:paraId="11029F17">
            <w:pPr>
              <w:pStyle w:val="3"/>
              <w:bidi w:val="0"/>
              <w:rPr>
                <w:rFonts w:hint="default"/>
                <w:lang w:val="en-US" w:eastAsia="zh-CN"/>
              </w:rPr>
            </w:pPr>
            <w:bookmarkStart w:id="242" w:name="_Toc6071"/>
            <w:r>
              <w:rPr>
                <w:rFonts w:hint="default"/>
                <w:lang w:val="en-US" w:eastAsia="zh-CN"/>
              </w:rPr>
              <w:t>环境保护目标</w:t>
            </w:r>
            <w:bookmarkEnd w:id="242"/>
          </w:p>
          <w:p w14:paraId="19EB5063">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b w:val="0"/>
                <w:bCs w:val="0"/>
                <w:color w:val="000000"/>
                <w:highlight w:val="none"/>
                <w:lang w:val="en-US" w:eastAsia="zh-CN"/>
              </w:rPr>
            </w:pPr>
            <w:r>
              <w:rPr>
                <w:rFonts w:hint="default" w:ascii="Times New Roman" w:hAnsi="Times New Roman" w:cs="Times New Roman"/>
                <w:b w:val="0"/>
                <w:bCs w:val="0"/>
                <w:color w:val="000000"/>
                <w:highlight w:val="none"/>
                <w:lang w:val="en-US" w:eastAsia="zh-CN"/>
              </w:rPr>
              <w:t>（1）海洋环境保护目标</w:t>
            </w:r>
          </w:p>
          <w:p w14:paraId="6BAFAB8A">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本项目主要海洋环境保护目标包括：开放式养殖区、围海养殖、海岛、海洋生态保护红线区等。</w:t>
            </w:r>
          </w:p>
          <w:p w14:paraId="4B3CFB9C">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（2）大气环境保护目标</w:t>
            </w:r>
          </w:p>
          <w:p w14:paraId="3991CDA8">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本项目大气环境保护目标为：福清市东瀚沃口小学、海亮村、海亮村沃口（自然村）、海亮村下海（自然村）、海亮村沙玉（自然村）。</w:t>
            </w:r>
          </w:p>
          <w:p w14:paraId="4736A122">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（3）声环境保护目标</w:t>
            </w:r>
          </w:p>
          <w:p w14:paraId="76EC159D">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本项目声环境保护目标包括：福清市东瀚沃口小学、海亮村沃口（自然村）。</w:t>
            </w:r>
          </w:p>
          <w:p w14:paraId="6E1B2970">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（4）陆域生态环境保护目标</w:t>
            </w:r>
          </w:p>
          <w:p w14:paraId="12E1FFAB">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本项目陆域生态环境评价范围内不存在重要物种、国家公园、自然保护区、自然公园等自然保护地、世界自然遗产、生态保护红线等区域。</w:t>
            </w:r>
          </w:p>
          <w:p w14:paraId="5260CD43">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本项目环境保护目标一览表见</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REF _Ref6698 \h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3.16</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1</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val="en-US" w:eastAsia="zh-CN"/>
              </w:rPr>
              <w:t>，环境保护目标图见</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REF _Ref28851 \h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rPr>
              <w:t>图</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3.16</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1</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val="en-US" w:eastAsia="zh-CN"/>
              </w:rPr>
              <w:t>~</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REF _Ref28857 \h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rPr>
              <w:t>图</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3.16</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4</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val="en-US" w:eastAsia="zh-CN"/>
              </w:rPr>
              <w:t>。</w:t>
            </w:r>
          </w:p>
          <w:p w14:paraId="04236395">
            <w:pPr>
              <w:pStyle w:val="30"/>
              <w:bidi w:val="0"/>
              <w:rPr>
                <w:rFonts w:hint="default" w:ascii="Times New Roman" w:hAnsi="Times New Roman" w:cs="Times New Roman"/>
                <w:color w:val="000000"/>
                <w:highlight w:val="none"/>
              </w:rPr>
            </w:pPr>
            <w:bookmarkStart w:id="243" w:name="_Ref6698"/>
          </w:p>
          <w:p w14:paraId="55FA036F">
            <w:pPr>
              <w:pStyle w:val="30"/>
              <w:bidi w:val="0"/>
              <w:rPr>
                <w:rFonts w:hint="default" w:ascii="Times New Roman" w:hAnsi="Times New Roman" w:cs="Times New Roman"/>
                <w:color w:val="000000"/>
                <w:highlight w:val="none"/>
              </w:rPr>
            </w:pPr>
          </w:p>
          <w:p w14:paraId="20F5991E">
            <w:pPr>
              <w:pStyle w:val="30"/>
              <w:bidi w:val="0"/>
              <w:rPr>
                <w:rFonts w:hint="default" w:ascii="Times New Roman" w:hAnsi="Times New Roman" w:cs="Times New Roman"/>
                <w:color w:val="000000"/>
                <w:highlight w:val="none"/>
              </w:rPr>
            </w:pPr>
          </w:p>
          <w:p w14:paraId="7C4E3502">
            <w:pPr>
              <w:pStyle w:val="30"/>
              <w:bidi w:val="0"/>
              <w:rPr>
                <w:rFonts w:hint="default" w:ascii="Times New Roman" w:hAnsi="Times New Roman" w:cs="Times New Roman"/>
                <w:color w:val="000000"/>
                <w:highlight w:val="none"/>
              </w:rPr>
            </w:pPr>
          </w:p>
          <w:p w14:paraId="0F8DC1D6">
            <w:pPr>
              <w:pStyle w:val="30"/>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3.16</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表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1</w:t>
            </w:r>
            <w:r>
              <w:rPr>
                <w:rFonts w:hint="default" w:ascii="Times New Roman" w:hAnsi="Times New Roman" w:cs="Times New Roman"/>
                <w:color w:val="000000"/>
                <w:highlight w:val="none"/>
              </w:rPr>
              <w:fldChar w:fldCharType="end"/>
            </w:r>
            <w:bookmarkEnd w:id="243"/>
            <w:r>
              <w:rPr>
                <w:rFonts w:hint="default" w:ascii="Times New Roman" w:hAnsi="Times New Roman" w:cs="Times New Roman"/>
                <w:color w:val="000000"/>
                <w:highlight w:val="none"/>
                <w:lang w:val="en-US" w:eastAsia="zh-CN"/>
              </w:rPr>
              <w:t xml:space="preserve"> 本项目环境保护目标一览表</w:t>
            </w:r>
          </w:p>
          <w:tbl>
            <w:tblPr>
              <w:tblStyle w:val="21"/>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7"/>
              <w:gridCol w:w="2026"/>
              <w:gridCol w:w="1624"/>
              <w:gridCol w:w="2990"/>
              <w:gridCol w:w="1294"/>
            </w:tblGrid>
            <w:tr w14:paraId="44F100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39" w:hRule="atLeast"/>
                <w:tblHeader/>
                <w:jc w:val="center"/>
              </w:trPr>
              <w:tc>
                <w:tcPr>
                  <w:tcW w:w="377" w:type="pct"/>
                  <w:noWrap w:val="0"/>
                  <w:vAlign w:val="center"/>
                </w:tcPr>
                <w:p w14:paraId="7463989E">
                  <w:pPr>
                    <w:pStyle w:val="31"/>
                    <w:bidi w:val="0"/>
                    <w:jc w:val="center"/>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rPr>
                    <w:t>环境因素</w:t>
                  </w:r>
                </w:p>
              </w:tc>
              <w:tc>
                <w:tcPr>
                  <w:tcW w:w="1180" w:type="pct"/>
                  <w:noWrap w:val="0"/>
                  <w:vAlign w:val="center"/>
                </w:tcPr>
                <w:p w14:paraId="2D841208">
                  <w:pPr>
                    <w:pStyle w:val="31"/>
                    <w:bidi w:val="0"/>
                    <w:jc w:val="center"/>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rPr>
                    <w:t>敏感目标</w:t>
                  </w:r>
                </w:p>
              </w:tc>
              <w:tc>
                <w:tcPr>
                  <w:tcW w:w="946" w:type="pct"/>
                  <w:noWrap w:val="0"/>
                  <w:vAlign w:val="center"/>
                </w:tcPr>
                <w:p w14:paraId="4C85739C">
                  <w:pPr>
                    <w:pStyle w:val="31"/>
                    <w:bidi w:val="0"/>
                    <w:jc w:val="center"/>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rPr>
                    <w:t>相对位置</w:t>
                  </w:r>
                </w:p>
              </w:tc>
              <w:tc>
                <w:tcPr>
                  <w:tcW w:w="1741" w:type="pct"/>
                  <w:noWrap w:val="0"/>
                  <w:vAlign w:val="center"/>
                </w:tcPr>
                <w:p w14:paraId="16AD4CD2">
                  <w:pPr>
                    <w:pStyle w:val="31"/>
                    <w:bidi w:val="0"/>
                    <w:jc w:val="center"/>
                    <w:rPr>
                      <w:rFonts w:hint="default" w:ascii="Times New Roman" w:hAnsi="Times New Roman" w:eastAsia="宋体" w:cs="Times New Roman"/>
                      <w:b/>
                      <w:bCs/>
                      <w:color w:val="000000"/>
                      <w:highlight w:val="none"/>
                      <w:lang w:val="en-US" w:eastAsia="zh-CN"/>
                    </w:rPr>
                  </w:pPr>
                  <w:r>
                    <w:rPr>
                      <w:rFonts w:hint="default" w:ascii="Times New Roman" w:hAnsi="Times New Roman" w:cs="Times New Roman"/>
                      <w:b/>
                      <w:bCs/>
                      <w:color w:val="000000"/>
                      <w:highlight w:val="none"/>
                      <w:lang w:val="en-US" w:eastAsia="zh-CN"/>
                    </w:rPr>
                    <w:t>生态保护目标</w:t>
                  </w:r>
                </w:p>
              </w:tc>
              <w:tc>
                <w:tcPr>
                  <w:tcW w:w="753" w:type="pct"/>
                  <w:noWrap w:val="0"/>
                  <w:vAlign w:val="center"/>
                </w:tcPr>
                <w:p w14:paraId="3BC213C1">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环境保护（质量）要求</w:t>
                  </w:r>
                </w:p>
              </w:tc>
            </w:tr>
            <w:tr w14:paraId="51F0DC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77" w:type="pct"/>
                  <w:vMerge w:val="restart"/>
                  <w:noWrap w:val="0"/>
                  <w:vAlign w:val="center"/>
                </w:tcPr>
                <w:p w14:paraId="6BC26CE4">
                  <w:pPr>
                    <w:pStyle w:val="31"/>
                    <w:bidi w:val="0"/>
                    <w:jc w:val="center"/>
                    <w:rPr>
                      <w:rFonts w:hint="default" w:ascii="Times New Roman" w:hAnsi="Times New Roman" w:cs="Times New Roman"/>
                      <w:color w:val="000000"/>
                      <w:highlight w:val="none"/>
                    </w:rPr>
                  </w:pPr>
                  <w:r>
                    <w:rPr>
                      <w:rFonts w:hint="default" w:ascii="Times New Roman" w:hAnsi="Times New Roman" w:cs="Times New Roman"/>
                      <w:color w:val="000000"/>
                      <w:highlight w:val="none"/>
                    </w:rPr>
                    <w:t>海洋生态</w:t>
                  </w:r>
                </w:p>
              </w:tc>
              <w:tc>
                <w:tcPr>
                  <w:tcW w:w="1180" w:type="pct"/>
                  <w:noWrap w:val="0"/>
                  <w:vAlign w:val="center"/>
                </w:tcPr>
                <w:p w14:paraId="69D4D639">
                  <w:pPr>
                    <w:pStyle w:val="31"/>
                    <w:bidi w:val="0"/>
                    <w:jc w:val="center"/>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东瀚镇东部开放式养殖区</w:t>
                  </w:r>
                </w:p>
              </w:tc>
              <w:tc>
                <w:tcPr>
                  <w:tcW w:w="1624" w:type="dxa"/>
                  <w:noWrap w:val="0"/>
                  <w:vAlign w:val="center"/>
                </w:tcPr>
                <w:p w14:paraId="1320C177">
                  <w:pPr>
                    <w:pStyle w:val="31"/>
                    <w:bidi w:val="0"/>
                    <w:jc w:val="center"/>
                    <w:rPr>
                      <w:rFonts w:hint="default" w:ascii="Times New Roman" w:hAnsi="Times New Roman" w:cs="Times New Roman"/>
                      <w:color w:val="000000"/>
                      <w:highlight w:val="none"/>
                    </w:rPr>
                  </w:pPr>
                </w:p>
              </w:tc>
              <w:tc>
                <w:tcPr>
                  <w:tcW w:w="2990" w:type="dxa"/>
                  <w:noWrap w:val="0"/>
                  <w:vAlign w:val="center"/>
                </w:tcPr>
                <w:p w14:paraId="22F70793">
                  <w:pPr>
                    <w:pStyle w:val="31"/>
                    <w:bidi w:val="0"/>
                    <w:jc w:val="center"/>
                    <w:rPr>
                      <w:rFonts w:hint="default" w:ascii="Times New Roman" w:hAnsi="Times New Roman" w:eastAsia="宋体" w:cs="Times New Roman"/>
                      <w:color w:val="000000"/>
                      <w:highlight w:val="none"/>
                      <w:lang w:val="en-US" w:eastAsia="zh-CN"/>
                    </w:rPr>
                  </w:pPr>
                </w:p>
              </w:tc>
              <w:tc>
                <w:tcPr>
                  <w:tcW w:w="753" w:type="pct"/>
                  <w:vMerge w:val="restart"/>
                  <w:noWrap w:val="0"/>
                  <w:vAlign w:val="center"/>
                </w:tcPr>
                <w:p w14:paraId="5790EEB7">
                  <w:pPr>
                    <w:pStyle w:val="31"/>
                    <w:bidi w:val="0"/>
                    <w:jc w:val="center"/>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海水水质执行二类标准，海洋沉积物执行一类标准，海洋生物质量执行一类标准</w:t>
                  </w:r>
                </w:p>
              </w:tc>
            </w:tr>
            <w:tr w14:paraId="367D2B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77" w:type="pct"/>
                  <w:vMerge w:val="continue"/>
                  <w:noWrap w:val="0"/>
                  <w:vAlign w:val="center"/>
                </w:tcPr>
                <w:p w14:paraId="501B2BB4">
                  <w:pPr>
                    <w:pStyle w:val="31"/>
                    <w:bidi w:val="0"/>
                    <w:jc w:val="center"/>
                    <w:rPr>
                      <w:rFonts w:hint="default" w:ascii="Times New Roman" w:hAnsi="Times New Roman" w:cs="Times New Roman"/>
                      <w:color w:val="000000"/>
                      <w:highlight w:val="none"/>
                    </w:rPr>
                  </w:pPr>
                </w:p>
              </w:tc>
              <w:tc>
                <w:tcPr>
                  <w:tcW w:w="1180" w:type="pct"/>
                  <w:noWrap w:val="0"/>
                  <w:vAlign w:val="center"/>
                </w:tcPr>
                <w:p w14:paraId="595C0C0B">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金井镇南部开放式养殖区</w:t>
                  </w:r>
                </w:p>
              </w:tc>
              <w:tc>
                <w:tcPr>
                  <w:tcW w:w="1624" w:type="dxa"/>
                  <w:noWrap w:val="0"/>
                  <w:vAlign w:val="center"/>
                </w:tcPr>
                <w:p w14:paraId="283EA8F3">
                  <w:pPr>
                    <w:pStyle w:val="31"/>
                    <w:bidi w:val="0"/>
                    <w:jc w:val="center"/>
                    <w:rPr>
                      <w:rFonts w:hint="default" w:ascii="Times New Roman" w:hAnsi="Times New Roman" w:eastAsia="宋体" w:cs="Times New Roman"/>
                      <w:color w:val="000000"/>
                      <w:highlight w:val="none"/>
                      <w:lang w:val="en-US" w:eastAsia="zh-CN"/>
                    </w:rPr>
                  </w:pPr>
                </w:p>
              </w:tc>
              <w:tc>
                <w:tcPr>
                  <w:tcW w:w="2990" w:type="dxa"/>
                  <w:noWrap w:val="0"/>
                  <w:vAlign w:val="center"/>
                </w:tcPr>
                <w:p w14:paraId="5C0227AC">
                  <w:pPr>
                    <w:pStyle w:val="31"/>
                    <w:bidi w:val="0"/>
                    <w:jc w:val="center"/>
                    <w:rPr>
                      <w:rFonts w:hint="default" w:ascii="Times New Roman" w:hAnsi="Times New Roman" w:cs="Times New Roman"/>
                      <w:color w:val="000000"/>
                      <w:highlight w:val="none"/>
                      <w:lang w:val="en-US" w:eastAsia="zh-CN"/>
                    </w:rPr>
                  </w:pPr>
                </w:p>
              </w:tc>
              <w:tc>
                <w:tcPr>
                  <w:tcW w:w="753" w:type="pct"/>
                  <w:vMerge w:val="continue"/>
                  <w:noWrap w:val="0"/>
                  <w:vAlign w:val="center"/>
                </w:tcPr>
                <w:p w14:paraId="0213C8B1">
                  <w:pPr>
                    <w:pStyle w:val="31"/>
                    <w:bidi w:val="0"/>
                    <w:jc w:val="center"/>
                    <w:rPr>
                      <w:rFonts w:hint="default" w:ascii="Times New Roman" w:hAnsi="Times New Roman" w:cs="Times New Roman"/>
                      <w:color w:val="000000"/>
                      <w:highlight w:val="none"/>
                    </w:rPr>
                  </w:pPr>
                </w:p>
              </w:tc>
            </w:tr>
            <w:tr w14:paraId="181B9C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77" w:type="pct"/>
                  <w:vMerge w:val="continue"/>
                  <w:noWrap w:val="0"/>
                  <w:vAlign w:val="center"/>
                </w:tcPr>
                <w:p w14:paraId="4A87B8EA">
                  <w:pPr>
                    <w:pStyle w:val="31"/>
                    <w:bidi w:val="0"/>
                    <w:jc w:val="center"/>
                    <w:rPr>
                      <w:rFonts w:hint="default" w:ascii="Times New Roman" w:hAnsi="Times New Roman" w:cs="Times New Roman"/>
                      <w:color w:val="000000"/>
                      <w:highlight w:val="none"/>
                    </w:rPr>
                  </w:pPr>
                </w:p>
              </w:tc>
              <w:tc>
                <w:tcPr>
                  <w:tcW w:w="1180" w:type="pct"/>
                  <w:noWrap w:val="0"/>
                  <w:vAlign w:val="center"/>
                </w:tcPr>
                <w:p w14:paraId="1976A314">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万安港东部开放式养殖区</w:t>
                  </w:r>
                </w:p>
              </w:tc>
              <w:tc>
                <w:tcPr>
                  <w:tcW w:w="1624" w:type="dxa"/>
                  <w:noWrap w:val="0"/>
                  <w:vAlign w:val="center"/>
                </w:tcPr>
                <w:p w14:paraId="24ABDF00">
                  <w:pPr>
                    <w:pStyle w:val="31"/>
                    <w:bidi w:val="0"/>
                    <w:jc w:val="center"/>
                    <w:rPr>
                      <w:rFonts w:hint="default" w:ascii="Times New Roman" w:hAnsi="Times New Roman" w:cs="Times New Roman"/>
                      <w:color w:val="000000"/>
                      <w:highlight w:val="none"/>
                      <w:lang w:val="en-US" w:eastAsia="zh-CN"/>
                    </w:rPr>
                  </w:pPr>
                </w:p>
              </w:tc>
              <w:tc>
                <w:tcPr>
                  <w:tcW w:w="2990" w:type="dxa"/>
                  <w:noWrap w:val="0"/>
                  <w:vAlign w:val="center"/>
                </w:tcPr>
                <w:p w14:paraId="286E0128">
                  <w:pPr>
                    <w:pStyle w:val="31"/>
                    <w:bidi w:val="0"/>
                    <w:jc w:val="center"/>
                    <w:rPr>
                      <w:rFonts w:hint="default" w:ascii="Times New Roman" w:hAnsi="Times New Roman" w:cs="Times New Roman"/>
                      <w:color w:val="000000"/>
                      <w:highlight w:val="none"/>
                      <w:lang w:val="en-US" w:eastAsia="zh-CN"/>
                    </w:rPr>
                  </w:pPr>
                </w:p>
              </w:tc>
              <w:tc>
                <w:tcPr>
                  <w:tcW w:w="753" w:type="pct"/>
                  <w:vMerge w:val="continue"/>
                  <w:noWrap w:val="0"/>
                  <w:vAlign w:val="center"/>
                </w:tcPr>
                <w:p w14:paraId="0CB23643">
                  <w:pPr>
                    <w:pStyle w:val="31"/>
                    <w:bidi w:val="0"/>
                    <w:jc w:val="center"/>
                    <w:rPr>
                      <w:rFonts w:hint="default" w:ascii="Times New Roman" w:hAnsi="Times New Roman" w:cs="Times New Roman"/>
                      <w:color w:val="000000"/>
                      <w:highlight w:val="none"/>
                    </w:rPr>
                  </w:pPr>
                </w:p>
              </w:tc>
            </w:tr>
            <w:tr w14:paraId="5A0C83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99" w:hRule="atLeast"/>
                <w:jc w:val="center"/>
              </w:trPr>
              <w:tc>
                <w:tcPr>
                  <w:tcW w:w="377" w:type="pct"/>
                  <w:vMerge w:val="continue"/>
                  <w:noWrap w:val="0"/>
                  <w:vAlign w:val="center"/>
                </w:tcPr>
                <w:p w14:paraId="206E3B74">
                  <w:pPr>
                    <w:pStyle w:val="31"/>
                    <w:bidi w:val="0"/>
                    <w:jc w:val="center"/>
                    <w:rPr>
                      <w:rFonts w:hint="default" w:ascii="Times New Roman" w:hAnsi="Times New Roman" w:cs="Times New Roman"/>
                      <w:color w:val="000000"/>
                      <w:highlight w:val="none"/>
                    </w:rPr>
                  </w:pPr>
                </w:p>
              </w:tc>
              <w:tc>
                <w:tcPr>
                  <w:tcW w:w="1180" w:type="pct"/>
                  <w:noWrap w:val="0"/>
                  <w:vAlign w:val="center"/>
                </w:tcPr>
                <w:p w14:paraId="01F035DB">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东瀚镇南部开放式养殖区</w:t>
                  </w:r>
                </w:p>
              </w:tc>
              <w:tc>
                <w:tcPr>
                  <w:tcW w:w="1624" w:type="dxa"/>
                  <w:noWrap w:val="0"/>
                  <w:vAlign w:val="center"/>
                </w:tcPr>
                <w:p w14:paraId="746DC536">
                  <w:pPr>
                    <w:pStyle w:val="31"/>
                    <w:bidi w:val="0"/>
                    <w:jc w:val="center"/>
                    <w:rPr>
                      <w:rFonts w:hint="default" w:ascii="Times New Roman" w:hAnsi="Times New Roman" w:cs="Times New Roman"/>
                      <w:color w:val="000000"/>
                      <w:highlight w:val="none"/>
                      <w:lang w:val="en-US" w:eastAsia="zh-CN"/>
                    </w:rPr>
                  </w:pPr>
                </w:p>
              </w:tc>
              <w:tc>
                <w:tcPr>
                  <w:tcW w:w="2990" w:type="dxa"/>
                  <w:noWrap w:val="0"/>
                  <w:vAlign w:val="center"/>
                </w:tcPr>
                <w:p w14:paraId="2D7BE9E9">
                  <w:pPr>
                    <w:pStyle w:val="31"/>
                    <w:bidi w:val="0"/>
                    <w:jc w:val="center"/>
                    <w:rPr>
                      <w:rFonts w:hint="default" w:ascii="Times New Roman" w:hAnsi="Times New Roman" w:cs="Times New Roman"/>
                      <w:color w:val="000000"/>
                      <w:highlight w:val="none"/>
                      <w:lang w:val="en-US" w:eastAsia="zh-CN"/>
                    </w:rPr>
                  </w:pPr>
                </w:p>
              </w:tc>
              <w:tc>
                <w:tcPr>
                  <w:tcW w:w="753" w:type="pct"/>
                  <w:vMerge w:val="continue"/>
                  <w:noWrap w:val="0"/>
                  <w:vAlign w:val="center"/>
                </w:tcPr>
                <w:p w14:paraId="33699632">
                  <w:pPr>
                    <w:pStyle w:val="31"/>
                    <w:bidi w:val="0"/>
                    <w:jc w:val="center"/>
                    <w:rPr>
                      <w:rFonts w:hint="default" w:ascii="Times New Roman" w:hAnsi="Times New Roman" w:cs="Times New Roman"/>
                      <w:color w:val="000000"/>
                      <w:highlight w:val="none"/>
                    </w:rPr>
                  </w:pPr>
                </w:p>
              </w:tc>
            </w:tr>
            <w:tr w14:paraId="7B6B34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99" w:hRule="atLeast"/>
                <w:jc w:val="center"/>
              </w:trPr>
              <w:tc>
                <w:tcPr>
                  <w:tcW w:w="377" w:type="pct"/>
                  <w:vMerge w:val="continue"/>
                  <w:noWrap w:val="0"/>
                  <w:vAlign w:val="center"/>
                </w:tcPr>
                <w:p w14:paraId="79688490">
                  <w:pPr>
                    <w:pStyle w:val="31"/>
                    <w:bidi w:val="0"/>
                    <w:jc w:val="center"/>
                    <w:rPr>
                      <w:rFonts w:hint="default" w:ascii="Times New Roman" w:hAnsi="Times New Roman" w:cs="Times New Roman"/>
                      <w:color w:val="000000"/>
                      <w:highlight w:val="none"/>
                    </w:rPr>
                  </w:pPr>
                </w:p>
              </w:tc>
              <w:tc>
                <w:tcPr>
                  <w:tcW w:w="1180" w:type="pct"/>
                  <w:noWrap w:val="0"/>
                  <w:vAlign w:val="center"/>
                </w:tcPr>
                <w:p w14:paraId="6D3C5D90">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塘屿岛周边开放式养殖区</w:t>
                  </w:r>
                </w:p>
              </w:tc>
              <w:tc>
                <w:tcPr>
                  <w:tcW w:w="1624" w:type="dxa"/>
                  <w:noWrap w:val="0"/>
                  <w:vAlign w:val="center"/>
                </w:tcPr>
                <w:p w14:paraId="78491D0A">
                  <w:pPr>
                    <w:pStyle w:val="31"/>
                    <w:bidi w:val="0"/>
                    <w:jc w:val="center"/>
                    <w:rPr>
                      <w:rFonts w:hint="default" w:ascii="Times New Roman" w:hAnsi="Times New Roman" w:cs="Times New Roman"/>
                      <w:color w:val="000000"/>
                      <w:highlight w:val="none"/>
                      <w:lang w:val="en-US" w:eastAsia="zh-CN"/>
                    </w:rPr>
                  </w:pPr>
                </w:p>
              </w:tc>
              <w:tc>
                <w:tcPr>
                  <w:tcW w:w="2990" w:type="dxa"/>
                  <w:noWrap w:val="0"/>
                  <w:vAlign w:val="center"/>
                </w:tcPr>
                <w:p w14:paraId="205BCC80">
                  <w:pPr>
                    <w:pStyle w:val="31"/>
                    <w:bidi w:val="0"/>
                    <w:jc w:val="center"/>
                    <w:rPr>
                      <w:rFonts w:hint="default" w:ascii="Times New Roman" w:hAnsi="Times New Roman" w:cs="Times New Roman"/>
                      <w:color w:val="000000"/>
                      <w:highlight w:val="none"/>
                      <w:lang w:val="en-US" w:eastAsia="zh-CN"/>
                    </w:rPr>
                  </w:pPr>
                </w:p>
              </w:tc>
              <w:tc>
                <w:tcPr>
                  <w:tcW w:w="753" w:type="pct"/>
                  <w:vMerge w:val="continue"/>
                  <w:noWrap w:val="0"/>
                  <w:vAlign w:val="center"/>
                </w:tcPr>
                <w:p w14:paraId="2168AC5B">
                  <w:pPr>
                    <w:pStyle w:val="31"/>
                    <w:bidi w:val="0"/>
                    <w:jc w:val="center"/>
                    <w:rPr>
                      <w:rFonts w:hint="default" w:ascii="Times New Roman" w:hAnsi="Times New Roman" w:cs="Times New Roman"/>
                      <w:color w:val="000000"/>
                      <w:highlight w:val="none"/>
                    </w:rPr>
                  </w:pPr>
                </w:p>
              </w:tc>
            </w:tr>
            <w:tr w14:paraId="0EFEB2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77" w:type="pct"/>
                  <w:vMerge w:val="continue"/>
                  <w:noWrap w:val="0"/>
                  <w:vAlign w:val="center"/>
                </w:tcPr>
                <w:p w14:paraId="10A4E51A">
                  <w:pPr>
                    <w:pStyle w:val="31"/>
                    <w:bidi w:val="0"/>
                    <w:jc w:val="center"/>
                    <w:rPr>
                      <w:rFonts w:hint="default" w:ascii="Times New Roman" w:hAnsi="Times New Roman" w:cs="Times New Roman"/>
                      <w:color w:val="000000"/>
                      <w:highlight w:val="none"/>
                    </w:rPr>
                  </w:pPr>
                </w:p>
              </w:tc>
              <w:tc>
                <w:tcPr>
                  <w:tcW w:w="1180" w:type="pct"/>
                  <w:noWrap w:val="0"/>
                  <w:vAlign w:val="center"/>
                </w:tcPr>
                <w:p w14:paraId="14A22C18">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东瀚镇东部围海养殖</w:t>
                  </w:r>
                </w:p>
              </w:tc>
              <w:tc>
                <w:tcPr>
                  <w:tcW w:w="1624" w:type="dxa"/>
                  <w:noWrap w:val="0"/>
                  <w:vAlign w:val="center"/>
                </w:tcPr>
                <w:p w14:paraId="234EDE75">
                  <w:pPr>
                    <w:pStyle w:val="31"/>
                    <w:bidi w:val="0"/>
                    <w:jc w:val="center"/>
                    <w:rPr>
                      <w:rFonts w:hint="default" w:ascii="Times New Roman" w:hAnsi="Times New Roman" w:cs="Times New Roman"/>
                      <w:color w:val="000000"/>
                      <w:highlight w:val="none"/>
                      <w:lang w:val="en-US" w:eastAsia="zh-CN"/>
                    </w:rPr>
                  </w:pPr>
                </w:p>
              </w:tc>
              <w:tc>
                <w:tcPr>
                  <w:tcW w:w="2990" w:type="dxa"/>
                  <w:noWrap w:val="0"/>
                  <w:vAlign w:val="center"/>
                </w:tcPr>
                <w:p w14:paraId="4B2B925F">
                  <w:pPr>
                    <w:pStyle w:val="31"/>
                    <w:bidi w:val="0"/>
                    <w:jc w:val="center"/>
                    <w:rPr>
                      <w:rFonts w:hint="default" w:ascii="Times New Roman" w:hAnsi="Times New Roman" w:cs="Times New Roman"/>
                      <w:color w:val="000000"/>
                      <w:highlight w:val="none"/>
                      <w:lang w:val="en-US" w:eastAsia="zh-CN"/>
                    </w:rPr>
                  </w:pPr>
                </w:p>
              </w:tc>
              <w:tc>
                <w:tcPr>
                  <w:tcW w:w="753" w:type="pct"/>
                  <w:vMerge w:val="continue"/>
                  <w:noWrap w:val="0"/>
                  <w:vAlign w:val="center"/>
                </w:tcPr>
                <w:p w14:paraId="08B97A28">
                  <w:pPr>
                    <w:pStyle w:val="31"/>
                    <w:bidi w:val="0"/>
                    <w:jc w:val="center"/>
                    <w:rPr>
                      <w:rFonts w:hint="default" w:ascii="Times New Roman" w:hAnsi="Times New Roman" w:cs="Times New Roman"/>
                      <w:color w:val="000000"/>
                      <w:highlight w:val="none"/>
                    </w:rPr>
                  </w:pPr>
                </w:p>
              </w:tc>
            </w:tr>
            <w:tr w14:paraId="2443D1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340" w:hRule="atLeast"/>
                <w:jc w:val="center"/>
              </w:trPr>
              <w:tc>
                <w:tcPr>
                  <w:tcW w:w="377" w:type="pct"/>
                  <w:vMerge w:val="continue"/>
                  <w:noWrap w:val="0"/>
                  <w:vAlign w:val="center"/>
                </w:tcPr>
                <w:p w14:paraId="43CCC813">
                  <w:pPr>
                    <w:pStyle w:val="31"/>
                    <w:bidi w:val="0"/>
                    <w:jc w:val="center"/>
                    <w:rPr>
                      <w:rFonts w:hint="default" w:ascii="Times New Roman" w:hAnsi="Times New Roman" w:cs="Times New Roman"/>
                      <w:color w:val="000000"/>
                      <w:highlight w:val="none"/>
                    </w:rPr>
                  </w:pPr>
                </w:p>
              </w:tc>
              <w:tc>
                <w:tcPr>
                  <w:tcW w:w="1180" w:type="pct"/>
                  <w:noWrap w:val="0"/>
                  <w:vAlign w:val="center"/>
                </w:tcPr>
                <w:p w14:paraId="13475DE7">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平潭金井镇围海养殖</w:t>
                  </w:r>
                </w:p>
              </w:tc>
              <w:tc>
                <w:tcPr>
                  <w:tcW w:w="1624" w:type="dxa"/>
                  <w:noWrap w:val="0"/>
                  <w:vAlign w:val="center"/>
                </w:tcPr>
                <w:p w14:paraId="67462DDD">
                  <w:pPr>
                    <w:pStyle w:val="31"/>
                    <w:bidi w:val="0"/>
                    <w:jc w:val="center"/>
                    <w:rPr>
                      <w:rFonts w:hint="default" w:ascii="Times New Roman" w:hAnsi="Times New Roman" w:cs="Times New Roman"/>
                      <w:color w:val="000000"/>
                      <w:highlight w:val="none"/>
                      <w:lang w:val="en-US" w:eastAsia="zh-CN"/>
                    </w:rPr>
                  </w:pPr>
                </w:p>
              </w:tc>
              <w:tc>
                <w:tcPr>
                  <w:tcW w:w="2990" w:type="dxa"/>
                  <w:noWrap w:val="0"/>
                  <w:vAlign w:val="center"/>
                </w:tcPr>
                <w:p w14:paraId="7EEA0F00">
                  <w:pPr>
                    <w:pStyle w:val="31"/>
                    <w:bidi w:val="0"/>
                    <w:jc w:val="center"/>
                    <w:rPr>
                      <w:rFonts w:hint="default" w:ascii="Times New Roman" w:hAnsi="Times New Roman" w:cs="Times New Roman"/>
                      <w:color w:val="000000"/>
                      <w:highlight w:val="none"/>
                      <w:lang w:val="en-US" w:eastAsia="zh-CN"/>
                    </w:rPr>
                  </w:pPr>
                </w:p>
              </w:tc>
              <w:tc>
                <w:tcPr>
                  <w:tcW w:w="753" w:type="pct"/>
                  <w:vMerge w:val="continue"/>
                  <w:noWrap w:val="0"/>
                  <w:vAlign w:val="center"/>
                </w:tcPr>
                <w:p w14:paraId="0B932D4C">
                  <w:pPr>
                    <w:pStyle w:val="31"/>
                    <w:bidi w:val="0"/>
                    <w:jc w:val="center"/>
                    <w:rPr>
                      <w:rFonts w:hint="default" w:ascii="Times New Roman" w:hAnsi="Times New Roman" w:cs="Times New Roman"/>
                      <w:color w:val="000000"/>
                      <w:highlight w:val="none"/>
                    </w:rPr>
                  </w:pPr>
                </w:p>
              </w:tc>
            </w:tr>
            <w:tr w14:paraId="0023D9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77" w:type="pct"/>
                  <w:vMerge w:val="continue"/>
                  <w:noWrap w:val="0"/>
                  <w:vAlign w:val="center"/>
                </w:tcPr>
                <w:p w14:paraId="288A555A">
                  <w:pPr>
                    <w:pStyle w:val="31"/>
                    <w:bidi w:val="0"/>
                    <w:jc w:val="center"/>
                    <w:rPr>
                      <w:rFonts w:hint="default" w:ascii="Times New Roman" w:hAnsi="Times New Roman" w:cs="Times New Roman"/>
                      <w:color w:val="000000"/>
                      <w:highlight w:val="none"/>
                    </w:rPr>
                  </w:pPr>
                </w:p>
              </w:tc>
              <w:tc>
                <w:tcPr>
                  <w:tcW w:w="1180" w:type="pct"/>
                  <w:noWrap w:val="0"/>
                  <w:vAlign w:val="center"/>
                </w:tcPr>
                <w:p w14:paraId="3BBD1AAF">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rPr>
                    <w:t>王马南屿</w:t>
                  </w:r>
                </w:p>
              </w:tc>
              <w:tc>
                <w:tcPr>
                  <w:tcW w:w="1624" w:type="dxa"/>
                  <w:noWrap w:val="0"/>
                  <w:vAlign w:val="center"/>
                </w:tcPr>
                <w:p w14:paraId="7F562F22">
                  <w:pPr>
                    <w:pStyle w:val="31"/>
                    <w:bidi w:val="0"/>
                    <w:jc w:val="center"/>
                    <w:rPr>
                      <w:rFonts w:hint="default" w:ascii="Times New Roman" w:hAnsi="Times New Roman" w:cs="Times New Roman"/>
                      <w:color w:val="000000"/>
                      <w:highlight w:val="none"/>
                      <w:lang w:val="en-US" w:eastAsia="zh-CN"/>
                    </w:rPr>
                  </w:pPr>
                </w:p>
              </w:tc>
              <w:tc>
                <w:tcPr>
                  <w:tcW w:w="2990" w:type="dxa"/>
                  <w:noWrap w:val="0"/>
                  <w:vAlign w:val="center"/>
                </w:tcPr>
                <w:p w14:paraId="00E2C9B4">
                  <w:pPr>
                    <w:pStyle w:val="31"/>
                    <w:bidi w:val="0"/>
                    <w:jc w:val="center"/>
                    <w:rPr>
                      <w:rFonts w:hint="default" w:ascii="Times New Roman" w:hAnsi="Times New Roman" w:cs="Times New Roman"/>
                      <w:color w:val="000000"/>
                      <w:highlight w:val="none"/>
                    </w:rPr>
                  </w:pPr>
                </w:p>
              </w:tc>
              <w:tc>
                <w:tcPr>
                  <w:tcW w:w="753" w:type="pct"/>
                  <w:noWrap w:val="0"/>
                  <w:vAlign w:val="center"/>
                </w:tcPr>
                <w:p w14:paraId="727E63D7">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w:t>
                  </w:r>
                </w:p>
              </w:tc>
            </w:tr>
            <w:tr w14:paraId="3E3CD3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77" w:type="pct"/>
                  <w:vMerge w:val="continue"/>
                  <w:noWrap w:val="0"/>
                  <w:vAlign w:val="center"/>
                </w:tcPr>
                <w:p w14:paraId="67C1D0BD">
                  <w:pPr>
                    <w:pStyle w:val="31"/>
                    <w:bidi w:val="0"/>
                    <w:jc w:val="center"/>
                    <w:rPr>
                      <w:rFonts w:hint="default" w:ascii="Times New Roman" w:hAnsi="Times New Roman" w:cs="Times New Roman"/>
                      <w:color w:val="000000"/>
                      <w:highlight w:val="none"/>
                    </w:rPr>
                  </w:pPr>
                </w:p>
              </w:tc>
              <w:tc>
                <w:tcPr>
                  <w:tcW w:w="1180" w:type="pct"/>
                  <w:noWrap w:val="0"/>
                  <w:vAlign w:val="center"/>
                </w:tcPr>
                <w:p w14:paraId="198BE657">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大王马屿</w:t>
                  </w:r>
                </w:p>
              </w:tc>
              <w:tc>
                <w:tcPr>
                  <w:tcW w:w="1624" w:type="dxa"/>
                  <w:noWrap w:val="0"/>
                  <w:vAlign w:val="center"/>
                </w:tcPr>
                <w:p w14:paraId="6862411E">
                  <w:pPr>
                    <w:pStyle w:val="31"/>
                    <w:bidi w:val="0"/>
                    <w:jc w:val="center"/>
                    <w:rPr>
                      <w:rFonts w:hint="default" w:ascii="Times New Roman" w:hAnsi="Times New Roman" w:cs="Times New Roman"/>
                      <w:color w:val="000000"/>
                      <w:highlight w:val="none"/>
                      <w:lang w:val="en-US" w:eastAsia="zh-CN"/>
                    </w:rPr>
                  </w:pPr>
                </w:p>
              </w:tc>
              <w:tc>
                <w:tcPr>
                  <w:tcW w:w="2990" w:type="dxa"/>
                  <w:noWrap w:val="0"/>
                  <w:vAlign w:val="center"/>
                </w:tcPr>
                <w:p w14:paraId="651C758F">
                  <w:pPr>
                    <w:pStyle w:val="31"/>
                    <w:bidi w:val="0"/>
                    <w:jc w:val="center"/>
                    <w:rPr>
                      <w:rFonts w:hint="default" w:ascii="Times New Roman" w:hAnsi="Times New Roman" w:cs="Times New Roman"/>
                      <w:color w:val="000000"/>
                      <w:highlight w:val="none"/>
                      <w:lang w:val="en-US" w:eastAsia="zh-CN"/>
                    </w:rPr>
                  </w:pPr>
                </w:p>
              </w:tc>
              <w:tc>
                <w:tcPr>
                  <w:tcW w:w="753" w:type="pct"/>
                  <w:noWrap w:val="0"/>
                  <w:vAlign w:val="center"/>
                </w:tcPr>
                <w:p w14:paraId="479E40BC">
                  <w:pPr>
                    <w:pStyle w:val="31"/>
                    <w:bidi w:val="0"/>
                    <w:ind w:firstLine="0" w:firstLineChars="0"/>
                    <w:jc w:val="center"/>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w:t>
                  </w:r>
                </w:p>
              </w:tc>
            </w:tr>
            <w:tr w14:paraId="217A3F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77" w:type="pct"/>
                  <w:vMerge w:val="continue"/>
                  <w:noWrap w:val="0"/>
                  <w:vAlign w:val="center"/>
                </w:tcPr>
                <w:p w14:paraId="74D75E81">
                  <w:pPr>
                    <w:pStyle w:val="31"/>
                    <w:bidi w:val="0"/>
                    <w:jc w:val="center"/>
                    <w:rPr>
                      <w:rFonts w:hint="default" w:ascii="Times New Roman" w:hAnsi="Times New Roman" w:cs="Times New Roman"/>
                      <w:color w:val="000000"/>
                      <w:highlight w:val="none"/>
                    </w:rPr>
                  </w:pPr>
                </w:p>
              </w:tc>
              <w:tc>
                <w:tcPr>
                  <w:tcW w:w="1180" w:type="pct"/>
                  <w:noWrap w:val="0"/>
                  <w:vAlign w:val="center"/>
                </w:tcPr>
                <w:p w14:paraId="2F042B21">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小王马屿</w:t>
                  </w:r>
                </w:p>
              </w:tc>
              <w:tc>
                <w:tcPr>
                  <w:tcW w:w="1624" w:type="dxa"/>
                  <w:noWrap w:val="0"/>
                  <w:vAlign w:val="center"/>
                </w:tcPr>
                <w:p w14:paraId="2CB77D1A">
                  <w:pPr>
                    <w:pStyle w:val="31"/>
                    <w:bidi w:val="0"/>
                    <w:jc w:val="center"/>
                    <w:rPr>
                      <w:rFonts w:hint="default" w:ascii="Times New Roman" w:hAnsi="Times New Roman" w:cs="Times New Roman"/>
                      <w:color w:val="000000"/>
                      <w:highlight w:val="none"/>
                      <w:lang w:val="en-US" w:eastAsia="zh-CN"/>
                    </w:rPr>
                  </w:pPr>
                </w:p>
              </w:tc>
              <w:tc>
                <w:tcPr>
                  <w:tcW w:w="2990" w:type="dxa"/>
                  <w:noWrap w:val="0"/>
                  <w:vAlign w:val="center"/>
                </w:tcPr>
                <w:p w14:paraId="19B40568">
                  <w:pPr>
                    <w:pStyle w:val="31"/>
                    <w:bidi w:val="0"/>
                    <w:jc w:val="center"/>
                    <w:rPr>
                      <w:rFonts w:hint="default" w:ascii="Times New Roman" w:hAnsi="Times New Roman" w:cs="Times New Roman"/>
                      <w:color w:val="000000"/>
                      <w:highlight w:val="none"/>
                      <w:lang w:val="en-US" w:eastAsia="zh-CN"/>
                    </w:rPr>
                  </w:pPr>
                </w:p>
              </w:tc>
              <w:tc>
                <w:tcPr>
                  <w:tcW w:w="753" w:type="pct"/>
                  <w:noWrap w:val="0"/>
                  <w:vAlign w:val="center"/>
                </w:tcPr>
                <w:p w14:paraId="56875DF8">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w:t>
                  </w:r>
                </w:p>
              </w:tc>
            </w:tr>
            <w:tr w14:paraId="10B79A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77" w:type="pct"/>
                  <w:vMerge w:val="continue"/>
                  <w:noWrap w:val="0"/>
                  <w:vAlign w:val="center"/>
                </w:tcPr>
                <w:p w14:paraId="4FF36BB6">
                  <w:pPr>
                    <w:pStyle w:val="31"/>
                    <w:bidi w:val="0"/>
                    <w:jc w:val="center"/>
                    <w:rPr>
                      <w:rFonts w:hint="default" w:ascii="Times New Roman" w:hAnsi="Times New Roman" w:cs="Times New Roman"/>
                      <w:color w:val="000000"/>
                      <w:highlight w:val="none"/>
                    </w:rPr>
                  </w:pPr>
                </w:p>
              </w:tc>
              <w:tc>
                <w:tcPr>
                  <w:tcW w:w="1180" w:type="pct"/>
                  <w:noWrap w:val="0"/>
                  <w:vAlign w:val="center"/>
                </w:tcPr>
                <w:p w14:paraId="2FBF485B">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东进岛</w:t>
                  </w:r>
                </w:p>
              </w:tc>
              <w:tc>
                <w:tcPr>
                  <w:tcW w:w="1624" w:type="dxa"/>
                  <w:noWrap w:val="0"/>
                  <w:vAlign w:val="center"/>
                </w:tcPr>
                <w:p w14:paraId="123D8A18">
                  <w:pPr>
                    <w:pStyle w:val="31"/>
                    <w:bidi w:val="0"/>
                    <w:jc w:val="center"/>
                    <w:rPr>
                      <w:rFonts w:hint="default" w:ascii="Times New Roman" w:hAnsi="Times New Roman" w:cs="Times New Roman"/>
                      <w:color w:val="000000"/>
                      <w:highlight w:val="none"/>
                      <w:lang w:val="en-US" w:eastAsia="zh-CN"/>
                    </w:rPr>
                  </w:pPr>
                </w:p>
              </w:tc>
              <w:tc>
                <w:tcPr>
                  <w:tcW w:w="2990" w:type="dxa"/>
                  <w:noWrap w:val="0"/>
                  <w:vAlign w:val="center"/>
                </w:tcPr>
                <w:p w14:paraId="3755FCA1">
                  <w:pPr>
                    <w:pStyle w:val="31"/>
                    <w:bidi w:val="0"/>
                    <w:jc w:val="center"/>
                    <w:rPr>
                      <w:rFonts w:hint="default" w:ascii="Times New Roman" w:hAnsi="Times New Roman" w:cs="Times New Roman"/>
                      <w:color w:val="000000"/>
                      <w:highlight w:val="none"/>
                      <w:lang w:val="en-US" w:eastAsia="zh-CN"/>
                    </w:rPr>
                  </w:pPr>
                </w:p>
              </w:tc>
              <w:tc>
                <w:tcPr>
                  <w:tcW w:w="753" w:type="pct"/>
                  <w:noWrap w:val="0"/>
                  <w:vAlign w:val="center"/>
                </w:tcPr>
                <w:p w14:paraId="0261021D">
                  <w:pPr>
                    <w:pStyle w:val="31"/>
                    <w:bidi w:val="0"/>
                    <w:ind w:firstLine="0" w:firstLineChars="0"/>
                    <w:jc w:val="center"/>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w:t>
                  </w:r>
                </w:p>
              </w:tc>
            </w:tr>
            <w:tr w14:paraId="3B390D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77" w:type="pct"/>
                  <w:vMerge w:val="continue"/>
                  <w:noWrap w:val="0"/>
                  <w:vAlign w:val="center"/>
                </w:tcPr>
                <w:p w14:paraId="19787206">
                  <w:pPr>
                    <w:pStyle w:val="31"/>
                    <w:bidi w:val="0"/>
                    <w:jc w:val="center"/>
                    <w:rPr>
                      <w:rFonts w:hint="default" w:ascii="Times New Roman" w:hAnsi="Times New Roman" w:cs="Times New Roman"/>
                      <w:color w:val="000000"/>
                      <w:highlight w:val="none"/>
                    </w:rPr>
                  </w:pPr>
                </w:p>
              </w:tc>
              <w:tc>
                <w:tcPr>
                  <w:tcW w:w="1180" w:type="pct"/>
                  <w:noWrap w:val="0"/>
                  <w:vAlign w:val="center"/>
                </w:tcPr>
                <w:p w14:paraId="08CF4901">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大礁山</w:t>
                  </w:r>
                </w:p>
              </w:tc>
              <w:tc>
                <w:tcPr>
                  <w:tcW w:w="1624" w:type="dxa"/>
                  <w:noWrap w:val="0"/>
                  <w:vAlign w:val="center"/>
                </w:tcPr>
                <w:p w14:paraId="3F8C3CCF">
                  <w:pPr>
                    <w:pStyle w:val="31"/>
                    <w:bidi w:val="0"/>
                    <w:jc w:val="center"/>
                    <w:rPr>
                      <w:rFonts w:hint="default" w:ascii="Times New Roman" w:hAnsi="Times New Roman" w:cs="Times New Roman"/>
                      <w:color w:val="000000"/>
                      <w:highlight w:val="none"/>
                      <w:lang w:val="en-US" w:eastAsia="zh-CN"/>
                    </w:rPr>
                  </w:pPr>
                </w:p>
              </w:tc>
              <w:tc>
                <w:tcPr>
                  <w:tcW w:w="2990" w:type="dxa"/>
                  <w:noWrap w:val="0"/>
                  <w:vAlign w:val="center"/>
                </w:tcPr>
                <w:p w14:paraId="6CDCEEC9">
                  <w:pPr>
                    <w:pStyle w:val="31"/>
                    <w:bidi w:val="0"/>
                    <w:jc w:val="center"/>
                    <w:rPr>
                      <w:rFonts w:hint="default" w:ascii="Times New Roman" w:hAnsi="Times New Roman" w:cs="Times New Roman"/>
                      <w:color w:val="000000"/>
                      <w:highlight w:val="none"/>
                      <w:lang w:val="en-US" w:eastAsia="zh-CN"/>
                    </w:rPr>
                  </w:pPr>
                </w:p>
              </w:tc>
              <w:tc>
                <w:tcPr>
                  <w:tcW w:w="753" w:type="pct"/>
                  <w:noWrap w:val="0"/>
                  <w:vAlign w:val="center"/>
                </w:tcPr>
                <w:p w14:paraId="0E2A9802">
                  <w:pPr>
                    <w:pStyle w:val="31"/>
                    <w:bidi w:val="0"/>
                    <w:ind w:firstLine="0" w:firstLineChars="0"/>
                    <w:jc w:val="center"/>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w:t>
                  </w:r>
                </w:p>
              </w:tc>
            </w:tr>
            <w:tr w14:paraId="66D2D4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77" w:type="pct"/>
                  <w:vMerge w:val="continue"/>
                  <w:noWrap w:val="0"/>
                  <w:vAlign w:val="center"/>
                </w:tcPr>
                <w:p w14:paraId="5F989E41">
                  <w:pPr>
                    <w:pStyle w:val="31"/>
                    <w:bidi w:val="0"/>
                    <w:jc w:val="center"/>
                    <w:rPr>
                      <w:rFonts w:hint="default" w:ascii="Times New Roman" w:hAnsi="Times New Roman" w:cs="Times New Roman"/>
                      <w:color w:val="000000"/>
                      <w:highlight w:val="none"/>
                    </w:rPr>
                  </w:pPr>
                </w:p>
              </w:tc>
              <w:tc>
                <w:tcPr>
                  <w:tcW w:w="1180" w:type="pct"/>
                  <w:noWrap w:val="0"/>
                  <w:vAlign w:val="center"/>
                </w:tcPr>
                <w:p w14:paraId="41B65FC3">
                  <w:pPr>
                    <w:pStyle w:val="31"/>
                    <w:bidi w:val="0"/>
                    <w:ind w:firstLine="0" w:firstLineChars="0"/>
                    <w:jc w:val="center"/>
                    <w:rPr>
                      <w:rFonts w:hint="default" w:ascii="Times New Roman" w:hAnsi="Times New Roman" w:cs="Times New Roman"/>
                      <w:color w:val="000000"/>
                      <w:highlight w:val="none"/>
                    </w:rPr>
                  </w:pPr>
                  <w:r>
                    <w:rPr>
                      <w:rFonts w:hint="default" w:ascii="Times New Roman" w:hAnsi="Times New Roman" w:cs="Times New Roman"/>
                      <w:color w:val="000000"/>
                      <w:highlight w:val="none"/>
                    </w:rPr>
                    <w:t>塘屿和东甲列岛海洋保护区生态红线区</w:t>
                  </w:r>
                </w:p>
              </w:tc>
              <w:tc>
                <w:tcPr>
                  <w:tcW w:w="1624" w:type="dxa"/>
                  <w:noWrap w:val="0"/>
                  <w:vAlign w:val="center"/>
                </w:tcPr>
                <w:p w14:paraId="2EF20117">
                  <w:pPr>
                    <w:pStyle w:val="31"/>
                    <w:bidi w:val="0"/>
                    <w:jc w:val="center"/>
                    <w:rPr>
                      <w:rFonts w:hint="default" w:ascii="Times New Roman" w:hAnsi="Times New Roman" w:cs="Times New Roman"/>
                      <w:color w:val="000000"/>
                      <w:highlight w:val="none"/>
                      <w:lang w:val="en-US" w:eastAsia="zh-CN"/>
                    </w:rPr>
                  </w:pPr>
                </w:p>
              </w:tc>
              <w:tc>
                <w:tcPr>
                  <w:tcW w:w="2990" w:type="dxa"/>
                  <w:noWrap w:val="0"/>
                  <w:vAlign w:val="center"/>
                </w:tcPr>
                <w:p w14:paraId="1D900995">
                  <w:pPr>
                    <w:pStyle w:val="31"/>
                    <w:bidi w:val="0"/>
                    <w:jc w:val="center"/>
                    <w:rPr>
                      <w:rFonts w:hint="default" w:ascii="Times New Roman" w:hAnsi="Times New Roman" w:cs="Times New Roman"/>
                      <w:color w:val="000000"/>
                      <w:highlight w:val="none"/>
                      <w:lang w:val="en-US" w:eastAsia="zh-CN"/>
                    </w:rPr>
                  </w:pPr>
                </w:p>
              </w:tc>
              <w:tc>
                <w:tcPr>
                  <w:tcW w:w="753" w:type="pct"/>
                  <w:noWrap w:val="0"/>
                  <w:vAlign w:val="center"/>
                </w:tcPr>
                <w:p w14:paraId="667086A9">
                  <w:pPr>
                    <w:pStyle w:val="31"/>
                    <w:bidi w:val="0"/>
                    <w:ind w:firstLine="0" w:firstLineChars="0"/>
                    <w:jc w:val="center"/>
                    <w:rPr>
                      <w:rFonts w:hint="default" w:ascii="Times New Roman" w:hAnsi="Times New Roman" w:eastAsia="宋体" w:cs="Times New Roman"/>
                      <w:color w:val="000000"/>
                      <w:highlight w:val="none"/>
                      <w:lang w:val="en-US" w:eastAsia="zh-CN"/>
                    </w:rPr>
                  </w:pPr>
                  <w:r>
                    <w:rPr>
                      <w:rFonts w:hint="default" w:ascii="Times New Roman" w:hAnsi="Times New Roman" w:eastAsia="宋体" w:cs="Times New Roman"/>
                      <w:color w:val="000000"/>
                      <w:highlight w:val="none"/>
                      <w:lang w:val="en-US" w:eastAsia="zh-CN"/>
                    </w:rPr>
                    <w:t>保护海洋保护区用海，保护</w:t>
                  </w:r>
                  <w:r>
                    <w:rPr>
                      <w:rFonts w:hint="default" w:ascii="Times New Roman" w:hAnsi="Times New Roman" w:cs="Times New Roman"/>
                      <w:color w:val="000000"/>
                      <w:highlight w:val="none"/>
                      <w:lang w:val="en-US" w:eastAsia="zh-CN"/>
                    </w:rPr>
                    <w:t>坛</w:t>
                  </w:r>
                  <w:r>
                    <w:rPr>
                      <w:rFonts w:hint="default" w:ascii="Times New Roman" w:hAnsi="Times New Roman" w:eastAsia="宋体" w:cs="Times New Roman"/>
                      <w:color w:val="000000"/>
                      <w:highlight w:val="none"/>
                      <w:lang w:val="en-US" w:eastAsia="zh-CN"/>
                    </w:rPr>
                    <w:t>紫菜资源</w:t>
                  </w:r>
                </w:p>
              </w:tc>
            </w:tr>
            <w:tr w14:paraId="363505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77" w:type="pct"/>
                  <w:vMerge w:val="continue"/>
                  <w:noWrap w:val="0"/>
                  <w:vAlign w:val="center"/>
                </w:tcPr>
                <w:p w14:paraId="3C60EB12">
                  <w:pPr>
                    <w:pStyle w:val="31"/>
                    <w:bidi w:val="0"/>
                    <w:jc w:val="center"/>
                    <w:rPr>
                      <w:rFonts w:hint="default" w:ascii="Times New Roman" w:hAnsi="Times New Roman" w:cs="Times New Roman"/>
                      <w:color w:val="000000"/>
                      <w:highlight w:val="none"/>
                    </w:rPr>
                  </w:pPr>
                </w:p>
              </w:tc>
              <w:tc>
                <w:tcPr>
                  <w:tcW w:w="1180" w:type="pct"/>
                  <w:noWrap w:val="0"/>
                  <w:vAlign w:val="center"/>
                </w:tcPr>
                <w:p w14:paraId="40C02E0A">
                  <w:pPr>
                    <w:pStyle w:val="31"/>
                    <w:bidi w:val="0"/>
                    <w:jc w:val="center"/>
                    <w:rPr>
                      <w:rFonts w:hint="default" w:ascii="Times New Roman" w:hAnsi="Times New Roman" w:cs="Times New Roman"/>
                      <w:color w:val="000000"/>
                      <w:highlight w:val="none"/>
                    </w:rPr>
                  </w:pPr>
                  <w:r>
                    <w:rPr>
                      <w:rFonts w:hint="default" w:ascii="Times New Roman" w:hAnsi="Times New Roman" w:cs="Times New Roman"/>
                      <w:color w:val="000000"/>
                      <w:highlight w:val="none"/>
                    </w:rPr>
                    <w:t>山岐澳重要自然岸线及沙源保护海域生态红线区</w:t>
                  </w:r>
                </w:p>
              </w:tc>
              <w:tc>
                <w:tcPr>
                  <w:tcW w:w="1624" w:type="dxa"/>
                  <w:noWrap w:val="0"/>
                  <w:vAlign w:val="center"/>
                </w:tcPr>
                <w:p w14:paraId="71E649BB">
                  <w:pPr>
                    <w:pStyle w:val="31"/>
                    <w:bidi w:val="0"/>
                    <w:jc w:val="center"/>
                    <w:rPr>
                      <w:rFonts w:hint="default" w:ascii="Times New Roman" w:hAnsi="Times New Roman" w:eastAsia="宋体" w:cs="Times New Roman"/>
                      <w:color w:val="000000"/>
                      <w:highlight w:val="none"/>
                      <w:lang w:val="en-US" w:eastAsia="zh-CN"/>
                    </w:rPr>
                  </w:pPr>
                </w:p>
              </w:tc>
              <w:tc>
                <w:tcPr>
                  <w:tcW w:w="2990" w:type="dxa"/>
                  <w:noWrap w:val="0"/>
                  <w:vAlign w:val="center"/>
                </w:tcPr>
                <w:p w14:paraId="2C9C11D8">
                  <w:pPr>
                    <w:pStyle w:val="31"/>
                    <w:bidi w:val="0"/>
                    <w:jc w:val="center"/>
                    <w:rPr>
                      <w:rFonts w:hint="default" w:ascii="Times New Roman" w:hAnsi="Times New Roman" w:eastAsia="宋体" w:cs="Times New Roman"/>
                      <w:color w:val="000000"/>
                      <w:highlight w:val="none"/>
                      <w:lang w:val="en-US" w:eastAsia="zh-CN"/>
                    </w:rPr>
                  </w:pPr>
                </w:p>
              </w:tc>
              <w:tc>
                <w:tcPr>
                  <w:tcW w:w="753" w:type="pct"/>
                  <w:noWrap w:val="0"/>
                  <w:vAlign w:val="center"/>
                </w:tcPr>
                <w:p w14:paraId="3CA051C7">
                  <w:pPr>
                    <w:pStyle w:val="31"/>
                    <w:bidi w:val="0"/>
                    <w:ind w:firstLine="0" w:firstLineChars="0"/>
                    <w:jc w:val="center"/>
                    <w:rPr>
                      <w:rFonts w:hint="default" w:ascii="Times New Roman" w:hAnsi="Times New Roman" w:cs="Times New Roman"/>
                      <w:color w:val="000000"/>
                      <w:highlight w:val="none"/>
                    </w:rPr>
                  </w:pPr>
                  <w:r>
                    <w:rPr>
                      <w:rFonts w:hint="default" w:ascii="Times New Roman" w:hAnsi="Times New Roman" w:eastAsia="宋体" w:cs="Times New Roman"/>
                      <w:color w:val="000000"/>
                      <w:highlight w:val="none"/>
                      <w:lang w:val="en-US" w:eastAsia="zh-CN"/>
                    </w:rPr>
                    <w:t>禁止改变海域自然属性</w:t>
                  </w:r>
                </w:p>
              </w:tc>
            </w:tr>
            <w:tr w14:paraId="7563BB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77" w:type="pct"/>
                  <w:vMerge w:val="continue"/>
                  <w:noWrap w:val="0"/>
                  <w:vAlign w:val="center"/>
                </w:tcPr>
                <w:p w14:paraId="30C63B86">
                  <w:pPr>
                    <w:pStyle w:val="31"/>
                    <w:bidi w:val="0"/>
                    <w:jc w:val="center"/>
                    <w:rPr>
                      <w:rFonts w:hint="default" w:ascii="Times New Roman" w:hAnsi="Times New Roman" w:cs="Times New Roman"/>
                      <w:color w:val="000000"/>
                      <w:highlight w:val="none"/>
                    </w:rPr>
                  </w:pPr>
                </w:p>
              </w:tc>
              <w:tc>
                <w:tcPr>
                  <w:tcW w:w="1180" w:type="pct"/>
                  <w:noWrap w:val="0"/>
                  <w:vAlign w:val="center"/>
                </w:tcPr>
                <w:p w14:paraId="5700936E">
                  <w:pPr>
                    <w:pStyle w:val="31"/>
                    <w:bidi w:val="0"/>
                    <w:jc w:val="center"/>
                    <w:rPr>
                      <w:rFonts w:hint="default" w:ascii="Times New Roman" w:hAnsi="Times New Roman" w:cs="Times New Roman"/>
                      <w:color w:val="000000"/>
                      <w:highlight w:val="none"/>
                    </w:rPr>
                  </w:pPr>
                  <w:r>
                    <w:rPr>
                      <w:rFonts w:hint="default" w:ascii="Times New Roman" w:hAnsi="Times New Roman" w:cs="Times New Roman"/>
                      <w:color w:val="000000"/>
                      <w:highlight w:val="none"/>
                    </w:rPr>
                    <w:t>平潭中国鲎海洋保护区生态红线区</w:t>
                  </w:r>
                </w:p>
              </w:tc>
              <w:tc>
                <w:tcPr>
                  <w:tcW w:w="1624" w:type="dxa"/>
                  <w:noWrap w:val="0"/>
                  <w:vAlign w:val="center"/>
                </w:tcPr>
                <w:p w14:paraId="6C11FB6F">
                  <w:pPr>
                    <w:pStyle w:val="31"/>
                    <w:bidi w:val="0"/>
                    <w:jc w:val="center"/>
                    <w:rPr>
                      <w:rFonts w:hint="default" w:ascii="Times New Roman" w:hAnsi="Times New Roman" w:eastAsia="宋体" w:cs="Times New Roman"/>
                      <w:color w:val="000000"/>
                      <w:highlight w:val="none"/>
                      <w:lang w:val="en-US" w:eastAsia="zh-CN"/>
                    </w:rPr>
                  </w:pPr>
                </w:p>
              </w:tc>
              <w:tc>
                <w:tcPr>
                  <w:tcW w:w="2990" w:type="dxa"/>
                  <w:noWrap w:val="0"/>
                  <w:vAlign w:val="center"/>
                </w:tcPr>
                <w:p w14:paraId="5D3209EB">
                  <w:pPr>
                    <w:pStyle w:val="31"/>
                    <w:bidi w:val="0"/>
                    <w:jc w:val="center"/>
                    <w:rPr>
                      <w:rFonts w:hint="default" w:ascii="Times New Roman" w:hAnsi="Times New Roman" w:eastAsia="宋体" w:cs="Times New Roman"/>
                      <w:color w:val="000000"/>
                      <w:highlight w:val="none"/>
                      <w:lang w:val="en-US" w:eastAsia="zh-CN"/>
                    </w:rPr>
                  </w:pPr>
                </w:p>
              </w:tc>
              <w:tc>
                <w:tcPr>
                  <w:tcW w:w="753" w:type="pct"/>
                  <w:noWrap w:val="0"/>
                  <w:vAlign w:val="center"/>
                </w:tcPr>
                <w:p w14:paraId="13FA22AE">
                  <w:pPr>
                    <w:pStyle w:val="31"/>
                    <w:bidi w:val="0"/>
                    <w:jc w:val="center"/>
                    <w:rPr>
                      <w:rFonts w:hint="default" w:ascii="Times New Roman" w:hAnsi="Times New Roman" w:cs="Times New Roman"/>
                      <w:color w:val="000000"/>
                      <w:highlight w:val="none"/>
                    </w:rPr>
                  </w:pPr>
                  <w:r>
                    <w:rPr>
                      <w:rFonts w:hint="default" w:ascii="Times New Roman" w:hAnsi="Times New Roman" w:eastAsia="宋体" w:cs="Times New Roman"/>
                      <w:color w:val="000000"/>
                      <w:highlight w:val="none"/>
                      <w:lang w:val="en-US" w:eastAsia="zh-CN"/>
                    </w:rPr>
                    <w:t>禁止改变海域自然属性</w:t>
                  </w:r>
                </w:p>
              </w:tc>
            </w:tr>
            <w:tr w14:paraId="16D8DC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77" w:type="pct"/>
                  <w:vMerge w:val="continue"/>
                  <w:noWrap w:val="0"/>
                  <w:vAlign w:val="center"/>
                </w:tcPr>
                <w:p w14:paraId="0322B156">
                  <w:pPr>
                    <w:pStyle w:val="31"/>
                    <w:bidi w:val="0"/>
                    <w:jc w:val="center"/>
                    <w:rPr>
                      <w:rFonts w:hint="default" w:ascii="Times New Roman" w:hAnsi="Times New Roman" w:cs="Times New Roman"/>
                      <w:color w:val="000000"/>
                      <w:highlight w:val="none"/>
                    </w:rPr>
                  </w:pPr>
                </w:p>
              </w:tc>
              <w:tc>
                <w:tcPr>
                  <w:tcW w:w="1180" w:type="pct"/>
                  <w:noWrap w:val="0"/>
                  <w:vAlign w:val="center"/>
                </w:tcPr>
                <w:p w14:paraId="230BF640">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福建平潭国家地质自然公园</w:t>
                  </w:r>
                </w:p>
              </w:tc>
              <w:tc>
                <w:tcPr>
                  <w:tcW w:w="1624" w:type="dxa"/>
                  <w:noWrap w:val="0"/>
                  <w:vAlign w:val="center"/>
                </w:tcPr>
                <w:p w14:paraId="703FC22F">
                  <w:pPr>
                    <w:pStyle w:val="31"/>
                    <w:bidi w:val="0"/>
                    <w:jc w:val="center"/>
                    <w:rPr>
                      <w:rFonts w:hint="default" w:ascii="Times New Roman" w:hAnsi="Times New Roman" w:cs="Times New Roman"/>
                      <w:color w:val="000000"/>
                      <w:highlight w:val="none"/>
                      <w:lang w:val="en-US" w:eastAsia="zh-CN"/>
                    </w:rPr>
                  </w:pPr>
                </w:p>
              </w:tc>
              <w:tc>
                <w:tcPr>
                  <w:tcW w:w="2990" w:type="dxa"/>
                  <w:noWrap w:val="0"/>
                  <w:vAlign w:val="center"/>
                </w:tcPr>
                <w:p w14:paraId="69A21080">
                  <w:pPr>
                    <w:pStyle w:val="31"/>
                    <w:bidi w:val="0"/>
                    <w:jc w:val="center"/>
                    <w:rPr>
                      <w:rFonts w:hint="default" w:ascii="Times New Roman" w:hAnsi="Times New Roman" w:eastAsia="宋体" w:cs="Times New Roman"/>
                      <w:color w:val="000000"/>
                      <w:highlight w:val="none"/>
                      <w:lang w:val="en-US" w:eastAsia="zh-CN"/>
                    </w:rPr>
                  </w:pPr>
                </w:p>
              </w:tc>
              <w:tc>
                <w:tcPr>
                  <w:tcW w:w="753" w:type="pct"/>
                  <w:noWrap w:val="0"/>
                  <w:vAlign w:val="center"/>
                </w:tcPr>
                <w:p w14:paraId="01E1BC42">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w:t>
                  </w:r>
                </w:p>
              </w:tc>
            </w:tr>
            <w:tr w14:paraId="4C9275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77" w:type="pct"/>
                  <w:vMerge w:val="continue"/>
                  <w:noWrap w:val="0"/>
                  <w:vAlign w:val="center"/>
                </w:tcPr>
                <w:p w14:paraId="0F5E4F58">
                  <w:pPr>
                    <w:pStyle w:val="31"/>
                    <w:bidi w:val="0"/>
                    <w:jc w:val="center"/>
                    <w:rPr>
                      <w:rFonts w:hint="default" w:ascii="Times New Roman" w:hAnsi="Times New Roman" w:cs="Times New Roman"/>
                      <w:color w:val="000000"/>
                      <w:highlight w:val="none"/>
                    </w:rPr>
                  </w:pPr>
                </w:p>
              </w:tc>
              <w:tc>
                <w:tcPr>
                  <w:tcW w:w="1180" w:type="pct"/>
                  <w:noWrap w:val="0"/>
                  <w:vAlign w:val="center"/>
                </w:tcPr>
                <w:p w14:paraId="6A21F904">
                  <w:pPr>
                    <w:pStyle w:val="31"/>
                    <w:bidi w:val="0"/>
                    <w:jc w:val="center"/>
                    <w:rPr>
                      <w:rFonts w:hint="default" w:ascii="Times New Roman" w:hAnsi="Times New Roman" w:eastAsia="宋体" w:cs="Times New Roman"/>
                      <w:color w:val="000000"/>
                      <w:highlight w:val="none"/>
                      <w:lang w:val="en-US" w:eastAsia="zh-CN"/>
                    </w:rPr>
                  </w:pPr>
                  <w:r>
                    <w:rPr>
                      <w:rFonts w:hint="default" w:ascii="Times New Roman" w:hAnsi="Times New Roman" w:eastAsia="宋体" w:cs="Times New Roman"/>
                      <w:color w:val="000000"/>
                      <w:highlight w:val="none"/>
                      <w:lang w:val="en-US" w:eastAsia="zh-CN"/>
                    </w:rPr>
                    <w:t>海水水质监控点</w:t>
                  </w:r>
                </w:p>
              </w:tc>
              <w:tc>
                <w:tcPr>
                  <w:tcW w:w="1624" w:type="dxa"/>
                  <w:noWrap w:val="0"/>
                  <w:vAlign w:val="center"/>
                </w:tcPr>
                <w:p w14:paraId="47CA47C6">
                  <w:pPr>
                    <w:pStyle w:val="31"/>
                    <w:bidi w:val="0"/>
                    <w:jc w:val="center"/>
                    <w:rPr>
                      <w:rFonts w:hint="default" w:ascii="Times New Roman" w:hAnsi="Times New Roman" w:eastAsia="宋体" w:cs="Times New Roman"/>
                      <w:color w:val="000000"/>
                      <w:highlight w:val="none"/>
                      <w:lang w:val="en-US" w:eastAsia="zh-CN"/>
                    </w:rPr>
                  </w:pPr>
                </w:p>
              </w:tc>
              <w:tc>
                <w:tcPr>
                  <w:tcW w:w="2990" w:type="dxa"/>
                  <w:noWrap w:val="0"/>
                  <w:vAlign w:val="center"/>
                </w:tcPr>
                <w:p w14:paraId="123AD8EA">
                  <w:pPr>
                    <w:pStyle w:val="31"/>
                    <w:bidi w:val="0"/>
                    <w:jc w:val="center"/>
                    <w:rPr>
                      <w:rFonts w:hint="default" w:ascii="Times New Roman" w:hAnsi="Times New Roman" w:eastAsia="宋体" w:cs="Times New Roman"/>
                      <w:color w:val="000000"/>
                      <w:highlight w:val="none"/>
                      <w:lang w:val="en-US" w:eastAsia="zh-CN"/>
                    </w:rPr>
                  </w:pPr>
                </w:p>
              </w:tc>
              <w:tc>
                <w:tcPr>
                  <w:tcW w:w="753" w:type="pct"/>
                  <w:noWrap w:val="0"/>
                  <w:vAlign w:val="center"/>
                </w:tcPr>
                <w:p w14:paraId="3151A4BC">
                  <w:pPr>
                    <w:pStyle w:val="31"/>
                    <w:bidi w:val="0"/>
                    <w:jc w:val="center"/>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海水水质执行二类标准</w:t>
                  </w:r>
                </w:p>
              </w:tc>
            </w:tr>
            <w:tr w14:paraId="4432D4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77" w:type="pct"/>
                  <w:vMerge w:val="restart"/>
                  <w:noWrap w:val="0"/>
                  <w:vAlign w:val="center"/>
                </w:tcPr>
                <w:p w14:paraId="0AAA2369">
                  <w:pPr>
                    <w:pStyle w:val="31"/>
                    <w:bidi w:val="0"/>
                    <w:jc w:val="center"/>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陆域生态</w:t>
                  </w:r>
                </w:p>
              </w:tc>
              <w:tc>
                <w:tcPr>
                  <w:tcW w:w="1180" w:type="pct"/>
                  <w:noWrap w:val="0"/>
                  <w:vAlign w:val="center"/>
                </w:tcPr>
                <w:p w14:paraId="0A0772C3">
                  <w:pPr>
                    <w:pStyle w:val="31"/>
                    <w:bidi w:val="0"/>
                    <w:jc w:val="center"/>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植被</w:t>
                  </w:r>
                </w:p>
              </w:tc>
              <w:tc>
                <w:tcPr>
                  <w:tcW w:w="1624" w:type="dxa"/>
                  <w:noWrap w:val="0"/>
                  <w:vAlign w:val="center"/>
                </w:tcPr>
                <w:p w14:paraId="1A85B872">
                  <w:pPr>
                    <w:pStyle w:val="31"/>
                    <w:bidi w:val="0"/>
                    <w:jc w:val="center"/>
                    <w:rPr>
                      <w:rFonts w:hint="default" w:ascii="Times New Roman" w:hAnsi="Times New Roman" w:cs="Times New Roman"/>
                      <w:color w:val="000000"/>
                      <w:highlight w:val="none"/>
                      <w:lang w:val="en-US" w:eastAsia="zh-CN"/>
                    </w:rPr>
                  </w:pPr>
                </w:p>
              </w:tc>
              <w:tc>
                <w:tcPr>
                  <w:tcW w:w="2990" w:type="dxa"/>
                  <w:noWrap w:val="0"/>
                  <w:vAlign w:val="center"/>
                </w:tcPr>
                <w:p w14:paraId="74B45939">
                  <w:pPr>
                    <w:pStyle w:val="31"/>
                    <w:bidi w:val="0"/>
                    <w:jc w:val="center"/>
                    <w:rPr>
                      <w:rFonts w:hint="default" w:ascii="Times New Roman" w:hAnsi="Times New Roman" w:cs="Times New Roman"/>
                      <w:color w:val="000000"/>
                      <w:highlight w:val="none"/>
                      <w:lang w:val="en-US" w:eastAsia="zh-CN"/>
                    </w:rPr>
                  </w:pPr>
                </w:p>
              </w:tc>
              <w:tc>
                <w:tcPr>
                  <w:tcW w:w="753" w:type="pct"/>
                  <w:noWrap w:val="0"/>
                  <w:vAlign w:val="center"/>
                </w:tcPr>
                <w:p w14:paraId="5BFB8632">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w:t>
                  </w:r>
                </w:p>
              </w:tc>
            </w:tr>
            <w:tr w14:paraId="6E344C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77" w:type="pct"/>
                  <w:vMerge w:val="continue"/>
                  <w:noWrap w:val="0"/>
                  <w:vAlign w:val="center"/>
                </w:tcPr>
                <w:p w14:paraId="7BDE5395">
                  <w:pPr>
                    <w:pStyle w:val="31"/>
                    <w:bidi w:val="0"/>
                    <w:jc w:val="center"/>
                    <w:rPr>
                      <w:rFonts w:hint="default" w:ascii="Times New Roman" w:hAnsi="Times New Roman" w:cs="Times New Roman"/>
                      <w:color w:val="000000"/>
                      <w:highlight w:val="none"/>
                      <w:lang w:val="en-US" w:eastAsia="zh-CN"/>
                    </w:rPr>
                  </w:pPr>
                </w:p>
              </w:tc>
              <w:tc>
                <w:tcPr>
                  <w:tcW w:w="1180" w:type="pct"/>
                  <w:noWrap w:val="0"/>
                  <w:vAlign w:val="center"/>
                </w:tcPr>
                <w:p w14:paraId="5FBFC078">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动物</w:t>
                  </w:r>
                </w:p>
              </w:tc>
              <w:tc>
                <w:tcPr>
                  <w:tcW w:w="1624" w:type="dxa"/>
                  <w:noWrap w:val="0"/>
                  <w:vAlign w:val="center"/>
                </w:tcPr>
                <w:p w14:paraId="11A1F427">
                  <w:pPr>
                    <w:pStyle w:val="31"/>
                    <w:bidi w:val="0"/>
                    <w:jc w:val="center"/>
                    <w:rPr>
                      <w:rFonts w:hint="default" w:ascii="Times New Roman" w:hAnsi="Times New Roman" w:cs="Times New Roman"/>
                      <w:color w:val="000000"/>
                      <w:highlight w:val="none"/>
                      <w:lang w:val="en-US" w:eastAsia="zh-CN"/>
                    </w:rPr>
                  </w:pPr>
                </w:p>
              </w:tc>
              <w:tc>
                <w:tcPr>
                  <w:tcW w:w="2990" w:type="dxa"/>
                  <w:noWrap w:val="0"/>
                  <w:vAlign w:val="center"/>
                </w:tcPr>
                <w:p w14:paraId="59726FBF">
                  <w:pPr>
                    <w:pStyle w:val="31"/>
                    <w:bidi w:val="0"/>
                    <w:jc w:val="center"/>
                    <w:rPr>
                      <w:rFonts w:hint="default" w:ascii="Times New Roman" w:hAnsi="Times New Roman" w:cs="Times New Roman"/>
                      <w:color w:val="000000"/>
                      <w:highlight w:val="none"/>
                      <w:lang w:val="en-US" w:eastAsia="zh-CN"/>
                    </w:rPr>
                  </w:pPr>
                </w:p>
              </w:tc>
              <w:tc>
                <w:tcPr>
                  <w:tcW w:w="753" w:type="pct"/>
                  <w:noWrap w:val="0"/>
                  <w:vAlign w:val="center"/>
                </w:tcPr>
                <w:p w14:paraId="1153FD39">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w:t>
                  </w:r>
                </w:p>
              </w:tc>
            </w:tr>
            <w:tr w14:paraId="2F4846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77" w:type="pct"/>
                  <w:vMerge w:val="continue"/>
                  <w:noWrap w:val="0"/>
                  <w:vAlign w:val="center"/>
                </w:tcPr>
                <w:p w14:paraId="3CCE055A">
                  <w:pPr>
                    <w:pStyle w:val="31"/>
                    <w:bidi w:val="0"/>
                    <w:jc w:val="center"/>
                    <w:rPr>
                      <w:rFonts w:hint="default" w:ascii="Times New Roman" w:hAnsi="Times New Roman" w:cs="Times New Roman"/>
                      <w:color w:val="000000"/>
                      <w:highlight w:val="none"/>
                      <w:lang w:val="en-US" w:eastAsia="zh-CN"/>
                    </w:rPr>
                  </w:pPr>
                </w:p>
              </w:tc>
              <w:tc>
                <w:tcPr>
                  <w:tcW w:w="1180" w:type="pct"/>
                  <w:noWrap w:val="0"/>
                  <w:vAlign w:val="center"/>
                </w:tcPr>
                <w:p w14:paraId="467921EE">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生态林</w:t>
                  </w:r>
                </w:p>
              </w:tc>
              <w:tc>
                <w:tcPr>
                  <w:tcW w:w="1624" w:type="dxa"/>
                  <w:noWrap w:val="0"/>
                  <w:vAlign w:val="center"/>
                </w:tcPr>
                <w:p w14:paraId="4C9B88E0">
                  <w:pPr>
                    <w:pStyle w:val="31"/>
                    <w:bidi w:val="0"/>
                    <w:jc w:val="center"/>
                    <w:rPr>
                      <w:rFonts w:hint="default" w:ascii="Times New Roman" w:hAnsi="Times New Roman" w:cs="Times New Roman"/>
                      <w:color w:val="000000"/>
                      <w:highlight w:val="none"/>
                      <w:lang w:val="en-US" w:eastAsia="zh-CN"/>
                    </w:rPr>
                  </w:pPr>
                </w:p>
              </w:tc>
              <w:tc>
                <w:tcPr>
                  <w:tcW w:w="2990" w:type="dxa"/>
                  <w:noWrap w:val="0"/>
                  <w:vAlign w:val="center"/>
                </w:tcPr>
                <w:p w14:paraId="3FFC6EC0">
                  <w:pPr>
                    <w:pStyle w:val="31"/>
                    <w:bidi w:val="0"/>
                    <w:jc w:val="center"/>
                    <w:rPr>
                      <w:rFonts w:hint="default" w:ascii="Times New Roman" w:hAnsi="Times New Roman" w:cs="Times New Roman"/>
                      <w:color w:val="000000"/>
                      <w:highlight w:val="none"/>
                      <w:lang w:val="en-US" w:eastAsia="zh-CN"/>
                    </w:rPr>
                  </w:pPr>
                </w:p>
              </w:tc>
              <w:tc>
                <w:tcPr>
                  <w:tcW w:w="753" w:type="pct"/>
                  <w:noWrap w:val="0"/>
                  <w:vAlign w:val="center"/>
                </w:tcPr>
                <w:p w14:paraId="22F8E089">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w:t>
                  </w:r>
                </w:p>
              </w:tc>
            </w:tr>
            <w:tr w14:paraId="1999CF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77" w:type="pct"/>
                  <w:vMerge w:val="continue"/>
                  <w:noWrap w:val="0"/>
                  <w:vAlign w:val="center"/>
                </w:tcPr>
                <w:p w14:paraId="39344E4A">
                  <w:pPr>
                    <w:pStyle w:val="31"/>
                    <w:bidi w:val="0"/>
                    <w:jc w:val="center"/>
                    <w:rPr>
                      <w:rFonts w:hint="default" w:ascii="Times New Roman" w:hAnsi="Times New Roman" w:cs="Times New Roman"/>
                      <w:color w:val="000000"/>
                      <w:highlight w:val="none"/>
                      <w:lang w:val="en-US" w:eastAsia="zh-CN"/>
                    </w:rPr>
                  </w:pPr>
                </w:p>
              </w:tc>
              <w:tc>
                <w:tcPr>
                  <w:tcW w:w="1180" w:type="pct"/>
                  <w:noWrap w:val="0"/>
                  <w:vAlign w:val="center"/>
                </w:tcPr>
                <w:p w14:paraId="6234AA3E">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永久基本农田</w:t>
                  </w:r>
                </w:p>
              </w:tc>
              <w:tc>
                <w:tcPr>
                  <w:tcW w:w="1624" w:type="dxa"/>
                  <w:noWrap w:val="0"/>
                  <w:vAlign w:val="center"/>
                </w:tcPr>
                <w:p w14:paraId="1E95C323">
                  <w:pPr>
                    <w:pStyle w:val="31"/>
                    <w:bidi w:val="0"/>
                    <w:jc w:val="center"/>
                    <w:rPr>
                      <w:rFonts w:hint="default" w:ascii="Times New Roman" w:hAnsi="Times New Roman" w:cs="Times New Roman"/>
                      <w:color w:val="000000"/>
                      <w:highlight w:val="none"/>
                      <w:lang w:val="en-US" w:eastAsia="zh-CN"/>
                    </w:rPr>
                  </w:pPr>
                </w:p>
              </w:tc>
              <w:tc>
                <w:tcPr>
                  <w:tcW w:w="2990" w:type="dxa"/>
                  <w:noWrap w:val="0"/>
                  <w:vAlign w:val="center"/>
                </w:tcPr>
                <w:p w14:paraId="2A8B6874">
                  <w:pPr>
                    <w:pStyle w:val="31"/>
                    <w:bidi w:val="0"/>
                    <w:jc w:val="center"/>
                    <w:rPr>
                      <w:rFonts w:hint="default" w:ascii="Times New Roman" w:hAnsi="Times New Roman" w:cs="Times New Roman"/>
                      <w:color w:val="000000"/>
                      <w:highlight w:val="none"/>
                      <w:lang w:val="en-US" w:eastAsia="zh-CN"/>
                    </w:rPr>
                  </w:pPr>
                </w:p>
              </w:tc>
              <w:tc>
                <w:tcPr>
                  <w:tcW w:w="753" w:type="pct"/>
                  <w:noWrap w:val="0"/>
                  <w:vAlign w:val="center"/>
                </w:tcPr>
                <w:p w14:paraId="42066A37">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w:t>
                  </w:r>
                </w:p>
              </w:tc>
            </w:tr>
            <w:tr w14:paraId="59D2C9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77" w:type="pct"/>
                  <w:vMerge w:val="restart"/>
                  <w:noWrap w:val="0"/>
                  <w:vAlign w:val="center"/>
                </w:tcPr>
                <w:p w14:paraId="0A898E2A">
                  <w:pPr>
                    <w:pStyle w:val="31"/>
                    <w:bidi w:val="0"/>
                    <w:jc w:val="center"/>
                    <w:rPr>
                      <w:rFonts w:hint="default" w:ascii="Times New Roman" w:hAnsi="Times New Roman" w:cs="Times New Roman"/>
                      <w:color w:val="000000"/>
                      <w:highlight w:val="none"/>
                    </w:rPr>
                  </w:pPr>
                  <w:r>
                    <w:rPr>
                      <w:rFonts w:hint="default" w:ascii="Times New Roman" w:hAnsi="Times New Roman" w:cs="Times New Roman"/>
                      <w:color w:val="000000"/>
                      <w:highlight w:val="none"/>
                    </w:rPr>
                    <w:t>大气环境</w:t>
                  </w:r>
                </w:p>
              </w:tc>
              <w:tc>
                <w:tcPr>
                  <w:tcW w:w="1180" w:type="pct"/>
                  <w:noWrap w:val="0"/>
                  <w:vAlign w:val="center"/>
                </w:tcPr>
                <w:p w14:paraId="5516A9CB">
                  <w:pPr>
                    <w:pStyle w:val="31"/>
                    <w:bidi w:val="0"/>
                    <w:ind w:firstLine="0" w:firstLineChars="0"/>
                    <w:jc w:val="center"/>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福清市东瀚沃口小学</w:t>
                  </w:r>
                </w:p>
              </w:tc>
              <w:tc>
                <w:tcPr>
                  <w:tcW w:w="1624" w:type="dxa"/>
                  <w:noWrap w:val="0"/>
                  <w:vAlign w:val="center"/>
                </w:tcPr>
                <w:p w14:paraId="1A8F0E2C">
                  <w:pPr>
                    <w:pStyle w:val="31"/>
                    <w:bidi w:val="0"/>
                    <w:jc w:val="center"/>
                    <w:rPr>
                      <w:rFonts w:hint="default" w:ascii="Times New Roman" w:hAnsi="Times New Roman" w:eastAsia="宋体" w:cs="Times New Roman"/>
                      <w:color w:val="000000"/>
                      <w:highlight w:val="none"/>
                      <w:lang w:val="en-US" w:eastAsia="zh-CN"/>
                    </w:rPr>
                  </w:pPr>
                </w:p>
              </w:tc>
              <w:tc>
                <w:tcPr>
                  <w:tcW w:w="2990" w:type="dxa"/>
                  <w:noWrap w:val="0"/>
                  <w:vAlign w:val="center"/>
                </w:tcPr>
                <w:p w14:paraId="201151B4">
                  <w:pPr>
                    <w:pStyle w:val="31"/>
                    <w:bidi w:val="0"/>
                    <w:jc w:val="center"/>
                    <w:rPr>
                      <w:rFonts w:hint="default" w:ascii="Times New Roman" w:hAnsi="Times New Roman" w:eastAsia="宋体" w:cs="Times New Roman"/>
                      <w:color w:val="000000"/>
                      <w:highlight w:val="none"/>
                      <w:lang w:val="en-US" w:eastAsia="zh-CN"/>
                    </w:rPr>
                  </w:pPr>
                </w:p>
              </w:tc>
              <w:tc>
                <w:tcPr>
                  <w:tcW w:w="753" w:type="pct"/>
                  <w:vMerge w:val="restart"/>
                  <w:noWrap w:val="0"/>
                  <w:vAlign w:val="center"/>
                </w:tcPr>
                <w:p w14:paraId="2C9C935F">
                  <w:pPr>
                    <w:pStyle w:val="31"/>
                    <w:bidi w:val="0"/>
                    <w:jc w:val="center"/>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环境空气质量二类区</w:t>
                  </w:r>
                </w:p>
              </w:tc>
            </w:tr>
            <w:tr w14:paraId="4CB820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77" w:type="pct"/>
                  <w:vMerge w:val="continue"/>
                  <w:noWrap w:val="0"/>
                  <w:vAlign w:val="center"/>
                </w:tcPr>
                <w:p w14:paraId="0CAAF29F">
                  <w:pPr>
                    <w:pStyle w:val="31"/>
                    <w:bidi w:val="0"/>
                    <w:jc w:val="center"/>
                    <w:rPr>
                      <w:rFonts w:hint="default" w:ascii="Times New Roman" w:hAnsi="Times New Roman" w:cs="Times New Roman"/>
                      <w:color w:val="000000"/>
                      <w:highlight w:val="none"/>
                    </w:rPr>
                  </w:pPr>
                </w:p>
              </w:tc>
              <w:tc>
                <w:tcPr>
                  <w:tcW w:w="1180" w:type="pct"/>
                  <w:noWrap w:val="0"/>
                  <w:vAlign w:val="center"/>
                </w:tcPr>
                <w:p w14:paraId="4147E808">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海亮村沃口（自然村）</w:t>
                  </w:r>
                </w:p>
              </w:tc>
              <w:tc>
                <w:tcPr>
                  <w:tcW w:w="1624" w:type="dxa"/>
                  <w:noWrap w:val="0"/>
                  <w:vAlign w:val="center"/>
                </w:tcPr>
                <w:p w14:paraId="6193337F">
                  <w:pPr>
                    <w:pStyle w:val="31"/>
                    <w:bidi w:val="0"/>
                    <w:jc w:val="center"/>
                    <w:rPr>
                      <w:rFonts w:hint="default" w:ascii="Times New Roman" w:hAnsi="Times New Roman" w:cs="Times New Roman"/>
                      <w:color w:val="000000"/>
                      <w:highlight w:val="none"/>
                    </w:rPr>
                  </w:pPr>
                </w:p>
              </w:tc>
              <w:tc>
                <w:tcPr>
                  <w:tcW w:w="2990" w:type="dxa"/>
                  <w:noWrap w:val="0"/>
                  <w:vAlign w:val="center"/>
                </w:tcPr>
                <w:p w14:paraId="1228EBBA">
                  <w:pPr>
                    <w:pStyle w:val="31"/>
                    <w:bidi w:val="0"/>
                    <w:jc w:val="center"/>
                    <w:rPr>
                      <w:rFonts w:hint="default" w:ascii="Times New Roman" w:hAnsi="Times New Roman" w:cs="Times New Roman"/>
                      <w:color w:val="000000"/>
                      <w:highlight w:val="none"/>
                      <w:lang w:val="en-US" w:eastAsia="zh-CN"/>
                    </w:rPr>
                  </w:pPr>
                </w:p>
              </w:tc>
              <w:tc>
                <w:tcPr>
                  <w:tcW w:w="753" w:type="pct"/>
                  <w:vMerge w:val="continue"/>
                  <w:noWrap w:val="0"/>
                  <w:vAlign w:val="center"/>
                </w:tcPr>
                <w:p w14:paraId="4DF21435">
                  <w:pPr>
                    <w:pStyle w:val="31"/>
                    <w:bidi w:val="0"/>
                    <w:ind w:firstLine="0" w:firstLineChars="0"/>
                    <w:jc w:val="center"/>
                    <w:rPr>
                      <w:rFonts w:hint="default" w:ascii="Times New Roman" w:hAnsi="Times New Roman" w:cs="Times New Roman"/>
                      <w:color w:val="000000"/>
                      <w:highlight w:val="none"/>
                      <w:lang w:val="en-US" w:eastAsia="zh-CN"/>
                    </w:rPr>
                  </w:pPr>
                </w:p>
              </w:tc>
            </w:tr>
            <w:tr w14:paraId="7ED1B0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77" w:type="pct"/>
                  <w:vMerge w:val="continue"/>
                  <w:noWrap w:val="0"/>
                  <w:vAlign w:val="center"/>
                </w:tcPr>
                <w:p w14:paraId="4229D412">
                  <w:pPr>
                    <w:pStyle w:val="31"/>
                    <w:bidi w:val="0"/>
                    <w:jc w:val="center"/>
                    <w:rPr>
                      <w:rFonts w:hint="default" w:ascii="Times New Roman" w:hAnsi="Times New Roman" w:cs="Times New Roman"/>
                      <w:color w:val="000000"/>
                      <w:highlight w:val="none"/>
                    </w:rPr>
                  </w:pPr>
                </w:p>
              </w:tc>
              <w:tc>
                <w:tcPr>
                  <w:tcW w:w="1180" w:type="pct"/>
                  <w:noWrap w:val="0"/>
                  <w:vAlign w:val="center"/>
                </w:tcPr>
                <w:p w14:paraId="051DDA7F">
                  <w:pPr>
                    <w:pStyle w:val="31"/>
                    <w:bidi w:val="0"/>
                    <w:jc w:val="center"/>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海亮村</w:t>
                  </w:r>
                </w:p>
              </w:tc>
              <w:tc>
                <w:tcPr>
                  <w:tcW w:w="1624" w:type="dxa"/>
                  <w:noWrap w:val="0"/>
                  <w:vAlign w:val="center"/>
                </w:tcPr>
                <w:p w14:paraId="52DE6AF9">
                  <w:pPr>
                    <w:pStyle w:val="31"/>
                    <w:bidi w:val="0"/>
                    <w:jc w:val="center"/>
                    <w:rPr>
                      <w:rFonts w:hint="default" w:ascii="Times New Roman" w:hAnsi="Times New Roman" w:eastAsia="宋体" w:cs="Times New Roman"/>
                      <w:color w:val="000000"/>
                      <w:highlight w:val="none"/>
                      <w:lang w:val="en-US" w:eastAsia="zh-CN"/>
                    </w:rPr>
                  </w:pPr>
                </w:p>
              </w:tc>
              <w:tc>
                <w:tcPr>
                  <w:tcW w:w="2990" w:type="dxa"/>
                  <w:noWrap w:val="0"/>
                  <w:vAlign w:val="center"/>
                </w:tcPr>
                <w:p w14:paraId="42513AD8">
                  <w:pPr>
                    <w:pStyle w:val="31"/>
                    <w:bidi w:val="0"/>
                    <w:jc w:val="center"/>
                    <w:rPr>
                      <w:rFonts w:hint="default" w:ascii="Times New Roman" w:hAnsi="Times New Roman" w:eastAsia="宋体" w:cs="Times New Roman"/>
                      <w:color w:val="000000"/>
                      <w:highlight w:val="none"/>
                      <w:lang w:val="en-US" w:eastAsia="zh-CN"/>
                    </w:rPr>
                  </w:pPr>
                </w:p>
              </w:tc>
              <w:tc>
                <w:tcPr>
                  <w:tcW w:w="753" w:type="pct"/>
                  <w:vMerge w:val="continue"/>
                  <w:noWrap w:val="0"/>
                  <w:vAlign w:val="center"/>
                </w:tcPr>
                <w:p w14:paraId="1C1CD5BC">
                  <w:pPr>
                    <w:pStyle w:val="31"/>
                    <w:bidi w:val="0"/>
                    <w:jc w:val="center"/>
                    <w:rPr>
                      <w:rFonts w:hint="default" w:ascii="Times New Roman" w:hAnsi="Times New Roman" w:cs="Times New Roman"/>
                      <w:color w:val="000000"/>
                      <w:highlight w:val="none"/>
                    </w:rPr>
                  </w:pPr>
                </w:p>
              </w:tc>
            </w:tr>
            <w:tr w14:paraId="511FFD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77" w:type="pct"/>
                  <w:vMerge w:val="continue"/>
                  <w:noWrap w:val="0"/>
                  <w:vAlign w:val="center"/>
                </w:tcPr>
                <w:p w14:paraId="306079EC">
                  <w:pPr>
                    <w:pStyle w:val="31"/>
                    <w:bidi w:val="0"/>
                    <w:jc w:val="center"/>
                    <w:rPr>
                      <w:rFonts w:hint="default" w:ascii="Times New Roman" w:hAnsi="Times New Roman" w:cs="Times New Roman"/>
                      <w:color w:val="000000"/>
                      <w:highlight w:val="none"/>
                    </w:rPr>
                  </w:pPr>
                </w:p>
              </w:tc>
              <w:tc>
                <w:tcPr>
                  <w:tcW w:w="1180" w:type="pct"/>
                  <w:noWrap w:val="0"/>
                  <w:vAlign w:val="center"/>
                </w:tcPr>
                <w:p w14:paraId="1BD3060F">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大邱村</w:t>
                  </w:r>
                </w:p>
              </w:tc>
              <w:tc>
                <w:tcPr>
                  <w:tcW w:w="1624" w:type="dxa"/>
                  <w:noWrap w:val="0"/>
                  <w:vAlign w:val="center"/>
                </w:tcPr>
                <w:p w14:paraId="6D9DE3BD">
                  <w:pPr>
                    <w:pStyle w:val="31"/>
                    <w:bidi w:val="0"/>
                    <w:jc w:val="center"/>
                    <w:rPr>
                      <w:rFonts w:hint="default" w:ascii="Times New Roman" w:hAnsi="Times New Roman" w:cs="Times New Roman"/>
                      <w:color w:val="000000"/>
                      <w:highlight w:val="none"/>
                      <w:lang w:val="en-US" w:eastAsia="zh-CN"/>
                    </w:rPr>
                  </w:pPr>
                </w:p>
              </w:tc>
              <w:tc>
                <w:tcPr>
                  <w:tcW w:w="2990" w:type="dxa"/>
                  <w:noWrap w:val="0"/>
                  <w:vAlign w:val="center"/>
                </w:tcPr>
                <w:p w14:paraId="0749E4C9">
                  <w:pPr>
                    <w:pStyle w:val="31"/>
                    <w:bidi w:val="0"/>
                    <w:jc w:val="center"/>
                    <w:rPr>
                      <w:rFonts w:hint="default" w:ascii="Times New Roman" w:hAnsi="Times New Roman" w:cs="Times New Roman"/>
                      <w:color w:val="000000"/>
                      <w:highlight w:val="none"/>
                      <w:lang w:val="en-US" w:eastAsia="zh-CN"/>
                    </w:rPr>
                  </w:pPr>
                </w:p>
              </w:tc>
              <w:tc>
                <w:tcPr>
                  <w:tcW w:w="753" w:type="pct"/>
                  <w:vMerge w:val="continue"/>
                  <w:noWrap w:val="0"/>
                  <w:vAlign w:val="center"/>
                </w:tcPr>
                <w:p w14:paraId="1526EB7E">
                  <w:pPr>
                    <w:pStyle w:val="31"/>
                    <w:bidi w:val="0"/>
                    <w:ind w:firstLine="0" w:firstLineChars="0"/>
                    <w:jc w:val="center"/>
                    <w:rPr>
                      <w:rFonts w:hint="default" w:ascii="Times New Roman" w:hAnsi="Times New Roman" w:cs="Times New Roman"/>
                      <w:color w:val="000000"/>
                      <w:highlight w:val="none"/>
                      <w:lang w:val="en-US" w:eastAsia="zh-CN"/>
                    </w:rPr>
                  </w:pPr>
                </w:p>
              </w:tc>
            </w:tr>
            <w:tr w14:paraId="3D8C0E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77" w:type="pct"/>
                  <w:vMerge w:val="continue"/>
                  <w:noWrap w:val="0"/>
                  <w:vAlign w:val="center"/>
                </w:tcPr>
                <w:p w14:paraId="78DC6A3F">
                  <w:pPr>
                    <w:pStyle w:val="31"/>
                    <w:bidi w:val="0"/>
                    <w:jc w:val="center"/>
                    <w:rPr>
                      <w:rFonts w:hint="default" w:ascii="Times New Roman" w:hAnsi="Times New Roman" w:cs="Times New Roman"/>
                      <w:color w:val="000000"/>
                      <w:highlight w:val="none"/>
                    </w:rPr>
                  </w:pPr>
                </w:p>
              </w:tc>
              <w:tc>
                <w:tcPr>
                  <w:tcW w:w="1180" w:type="pct"/>
                  <w:noWrap w:val="0"/>
                  <w:vAlign w:val="center"/>
                </w:tcPr>
                <w:p w14:paraId="18EC0B63">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万安村</w:t>
                  </w:r>
                </w:p>
              </w:tc>
              <w:tc>
                <w:tcPr>
                  <w:tcW w:w="1624" w:type="dxa"/>
                  <w:noWrap w:val="0"/>
                  <w:vAlign w:val="center"/>
                </w:tcPr>
                <w:p w14:paraId="79C2AB11">
                  <w:pPr>
                    <w:pStyle w:val="31"/>
                    <w:bidi w:val="0"/>
                    <w:jc w:val="center"/>
                    <w:rPr>
                      <w:rFonts w:hint="default" w:ascii="Times New Roman" w:hAnsi="Times New Roman" w:cs="Times New Roman"/>
                      <w:color w:val="000000"/>
                      <w:highlight w:val="none"/>
                      <w:lang w:val="en-US" w:eastAsia="zh-CN"/>
                    </w:rPr>
                  </w:pPr>
                </w:p>
              </w:tc>
              <w:tc>
                <w:tcPr>
                  <w:tcW w:w="2990" w:type="dxa"/>
                  <w:noWrap w:val="0"/>
                  <w:vAlign w:val="center"/>
                </w:tcPr>
                <w:p w14:paraId="490BA0B8">
                  <w:pPr>
                    <w:pStyle w:val="31"/>
                    <w:bidi w:val="0"/>
                    <w:jc w:val="center"/>
                    <w:rPr>
                      <w:rFonts w:hint="default" w:ascii="Times New Roman" w:hAnsi="Times New Roman" w:cs="Times New Roman"/>
                      <w:color w:val="000000"/>
                      <w:highlight w:val="none"/>
                      <w:lang w:val="en-US" w:eastAsia="zh-CN"/>
                    </w:rPr>
                  </w:pPr>
                </w:p>
              </w:tc>
              <w:tc>
                <w:tcPr>
                  <w:tcW w:w="753" w:type="pct"/>
                  <w:vMerge w:val="continue"/>
                  <w:noWrap w:val="0"/>
                  <w:vAlign w:val="center"/>
                </w:tcPr>
                <w:p w14:paraId="4118011D">
                  <w:pPr>
                    <w:pStyle w:val="31"/>
                    <w:bidi w:val="0"/>
                    <w:ind w:firstLine="0" w:firstLineChars="0"/>
                    <w:jc w:val="center"/>
                    <w:rPr>
                      <w:rFonts w:hint="default" w:ascii="Times New Roman" w:hAnsi="Times New Roman" w:cs="Times New Roman"/>
                      <w:color w:val="000000"/>
                      <w:highlight w:val="none"/>
                      <w:lang w:val="en-US" w:eastAsia="zh-CN"/>
                    </w:rPr>
                  </w:pPr>
                </w:p>
              </w:tc>
            </w:tr>
            <w:tr w14:paraId="39444F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77" w:type="pct"/>
                  <w:vMerge w:val="continue"/>
                  <w:noWrap w:val="0"/>
                  <w:vAlign w:val="center"/>
                </w:tcPr>
                <w:p w14:paraId="559EA5B7">
                  <w:pPr>
                    <w:pStyle w:val="31"/>
                    <w:bidi w:val="0"/>
                    <w:jc w:val="center"/>
                    <w:rPr>
                      <w:rFonts w:hint="default" w:ascii="Times New Roman" w:hAnsi="Times New Roman" w:cs="Times New Roman"/>
                      <w:color w:val="000000"/>
                      <w:highlight w:val="none"/>
                    </w:rPr>
                  </w:pPr>
                </w:p>
              </w:tc>
              <w:tc>
                <w:tcPr>
                  <w:tcW w:w="1180" w:type="pct"/>
                  <w:noWrap w:val="0"/>
                  <w:vAlign w:val="center"/>
                </w:tcPr>
                <w:p w14:paraId="2DB8416B">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可门村</w:t>
                  </w:r>
                </w:p>
              </w:tc>
              <w:tc>
                <w:tcPr>
                  <w:tcW w:w="1624" w:type="dxa"/>
                  <w:noWrap w:val="0"/>
                  <w:vAlign w:val="center"/>
                </w:tcPr>
                <w:p w14:paraId="63431F26">
                  <w:pPr>
                    <w:pStyle w:val="31"/>
                    <w:bidi w:val="0"/>
                    <w:jc w:val="center"/>
                    <w:rPr>
                      <w:rFonts w:hint="default" w:ascii="Times New Roman" w:hAnsi="Times New Roman" w:cs="Times New Roman"/>
                      <w:color w:val="000000"/>
                      <w:highlight w:val="none"/>
                      <w:lang w:val="en-US" w:eastAsia="zh-CN"/>
                    </w:rPr>
                  </w:pPr>
                </w:p>
              </w:tc>
              <w:tc>
                <w:tcPr>
                  <w:tcW w:w="2990" w:type="dxa"/>
                  <w:noWrap w:val="0"/>
                  <w:vAlign w:val="center"/>
                </w:tcPr>
                <w:p w14:paraId="03380C01">
                  <w:pPr>
                    <w:pStyle w:val="31"/>
                    <w:bidi w:val="0"/>
                    <w:jc w:val="center"/>
                    <w:rPr>
                      <w:rFonts w:hint="default" w:ascii="Times New Roman" w:hAnsi="Times New Roman" w:cs="Times New Roman"/>
                      <w:color w:val="000000"/>
                      <w:highlight w:val="none"/>
                      <w:lang w:val="en-US" w:eastAsia="zh-CN"/>
                    </w:rPr>
                  </w:pPr>
                </w:p>
              </w:tc>
              <w:tc>
                <w:tcPr>
                  <w:tcW w:w="753" w:type="pct"/>
                  <w:vMerge w:val="continue"/>
                  <w:noWrap w:val="0"/>
                  <w:vAlign w:val="center"/>
                </w:tcPr>
                <w:p w14:paraId="0769C9A2">
                  <w:pPr>
                    <w:pStyle w:val="31"/>
                    <w:bidi w:val="0"/>
                    <w:ind w:firstLine="0" w:firstLineChars="0"/>
                    <w:jc w:val="center"/>
                    <w:rPr>
                      <w:rFonts w:hint="default" w:ascii="Times New Roman" w:hAnsi="Times New Roman" w:cs="Times New Roman"/>
                      <w:color w:val="000000"/>
                      <w:highlight w:val="none"/>
                      <w:lang w:val="en-US" w:eastAsia="zh-CN"/>
                    </w:rPr>
                  </w:pPr>
                </w:p>
              </w:tc>
            </w:tr>
            <w:tr w14:paraId="108FBA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77" w:type="pct"/>
                  <w:vMerge w:val="continue"/>
                  <w:noWrap w:val="0"/>
                  <w:vAlign w:val="center"/>
                </w:tcPr>
                <w:p w14:paraId="7B97A1FB">
                  <w:pPr>
                    <w:pStyle w:val="31"/>
                    <w:bidi w:val="0"/>
                    <w:jc w:val="center"/>
                    <w:rPr>
                      <w:rFonts w:hint="default" w:ascii="Times New Roman" w:hAnsi="Times New Roman" w:cs="Times New Roman"/>
                      <w:color w:val="000000"/>
                      <w:highlight w:val="none"/>
                    </w:rPr>
                  </w:pPr>
                </w:p>
              </w:tc>
              <w:tc>
                <w:tcPr>
                  <w:tcW w:w="1180" w:type="pct"/>
                  <w:noWrap w:val="0"/>
                  <w:vAlign w:val="center"/>
                </w:tcPr>
                <w:p w14:paraId="6DDE2C4D">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佳乐村</w:t>
                  </w:r>
                </w:p>
              </w:tc>
              <w:tc>
                <w:tcPr>
                  <w:tcW w:w="1624" w:type="dxa"/>
                  <w:noWrap w:val="0"/>
                  <w:vAlign w:val="center"/>
                </w:tcPr>
                <w:p w14:paraId="755933C0">
                  <w:pPr>
                    <w:pStyle w:val="31"/>
                    <w:bidi w:val="0"/>
                    <w:jc w:val="center"/>
                    <w:rPr>
                      <w:rFonts w:hint="default" w:ascii="Times New Roman" w:hAnsi="Times New Roman" w:cs="Times New Roman"/>
                      <w:color w:val="000000"/>
                      <w:highlight w:val="none"/>
                      <w:lang w:val="en-US" w:eastAsia="zh-CN"/>
                    </w:rPr>
                  </w:pPr>
                </w:p>
              </w:tc>
              <w:tc>
                <w:tcPr>
                  <w:tcW w:w="2990" w:type="dxa"/>
                  <w:noWrap w:val="0"/>
                  <w:vAlign w:val="center"/>
                </w:tcPr>
                <w:p w14:paraId="74B81287">
                  <w:pPr>
                    <w:pStyle w:val="31"/>
                    <w:bidi w:val="0"/>
                    <w:jc w:val="center"/>
                    <w:rPr>
                      <w:rFonts w:hint="default" w:ascii="Times New Roman" w:hAnsi="Times New Roman" w:cs="Times New Roman"/>
                      <w:color w:val="000000"/>
                      <w:highlight w:val="none"/>
                      <w:lang w:val="en-US" w:eastAsia="zh-CN"/>
                    </w:rPr>
                  </w:pPr>
                </w:p>
              </w:tc>
              <w:tc>
                <w:tcPr>
                  <w:tcW w:w="753" w:type="pct"/>
                  <w:vMerge w:val="continue"/>
                  <w:noWrap w:val="0"/>
                  <w:vAlign w:val="center"/>
                </w:tcPr>
                <w:p w14:paraId="277EB182">
                  <w:pPr>
                    <w:pStyle w:val="31"/>
                    <w:bidi w:val="0"/>
                    <w:ind w:firstLine="0" w:firstLineChars="0"/>
                    <w:jc w:val="center"/>
                    <w:rPr>
                      <w:rFonts w:hint="default" w:ascii="Times New Roman" w:hAnsi="Times New Roman" w:cs="Times New Roman"/>
                      <w:color w:val="000000"/>
                      <w:highlight w:val="none"/>
                      <w:lang w:val="en-US" w:eastAsia="zh-CN"/>
                    </w:rPr>
                  </w:pPr>
                </w:p>
              </w:tc>
            </w:tr>
            <w:tr w14:paraId="3794BF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77" w:type="pct"/>
                  <w:vMerge w:val="restart"/>
                  <w:noWrap w:val="0"/>
                  <w:vAlign w:val="center"/>
                </w:tcPr>
                <w:p w14:paraId="51A37151">
                  <w:pPr>
                    <w:pStyle w:val="31"/>
                    <w:bidi w:val="0"/>
                    <w:jc w:val="center"/>
                    <w:rPr>
                      <w:rFonts w:hint="default" w:ascii="Times New Roman" w:hAnsi="Times New Roman" w:cs="Times New Roman"/>
                      <w:color w:val="000000"/>
                      <w:highlight w:val="none"/>
                    </w:rPr>
                  </w:pPr>
                  <w:r>
                    <w:rPr>
                      <w:rFonts w:hint="default" w:ascii="Times New Roman" w:hAnsi="Times New Roman" w:cs="Times New Roman"/>
                      <w:color w:val="000000"/>
                      <w:highlight w:val="none"/>
                    </w:rPr>
                    <w:t>声环境</w:t>
                  </w:r>
                </w:p>
              </w:tc>
              <w:tc>
                <w:tcPr>
                  <w:tcW w:w="1180" w:type="pct"/>
                  <w:noWrap w:val="0"/>
                  <w:vAlign w:val="center"/>
                </w:tcPr>
                <w:p w14:paraId="51B90ADF">
                  <w:pPr>
                    <w:pStyle w:val="31"/>
                    <w:bidi w:val="0"/>
                    <w:ind w:firstLine="0" w:firstLineChars="0"/>
                    <w:jc w:val="center"/>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福清市东瀚沃口小学</w:t>
                  </w:r>
                </w:p>
              </w:tc>
              <w:tc>
                <w:tcPr>
                  <w:tcW w:w="1624" w:type="dxa"/>
                  <w:noWrap w:val="0"/>
                  <w:vAlign w:val="center"/>
                </w:tcPr>
                <w:p w14:paraId="67880015">
                  <w:pPr>
                    <w:pStyle w:val="31"/>
                    <w:bidi w:val="0"/>
                    <w:jc w:val="center"/>
                    <w:rPr>
                      <w:rFonts w:hint="default" w:ascii="Times New Roman" w:hAnsi="Times New Roman" w:cs="Times New Roman"/>
                      <w:color w:val="000000"/>
                      <w:highlight w:val="none"/>
                    </w:rPr>
                  </w:pPr>
                </w:p>
              </w:tc>
              <w:tc>
                <w:tcPr>
                  <w:tcW w:w="2990" w:type="dxa"/>
                  <w:noWrap w:val="0"/>
                  <w:vAlign w:val="center"/>
                </w:tcPr>
                <w:p w14:paraId="1BE4B831">
                  <w:pPr>
                    <w:pStyle w:val="31"/>
                    <w:bidi w:val="0"/>
                    <w:jc w:val="center"/>
                    <w:rPr>
                      <w:rFonts w:hint="default" w:ascii="Times New Roman" w:hAnsi="Times New Roman" w:eastAsia="宋体" w:cs="Times New Roman"/>
                      <w:color w:val="000000"/>
                      <w:highlight w:val="none"/>
                      <w:lang w:val="en-US" w:eastAsia="zh-CN"/>
                    </w:rPr>
                  </w:pPr>
                </w:p>
              </w:tc>
              <w:tc>
                <w:tcPr>
                  <w:tcW w:w="753" w:type="pct"/>
                  <w:vMerge w:val="restart"/>
                  <w:noWrap w:val="0"/>
                  <w:vAlign w:val="center"/>
                </w:tcPr>
                <w:p w14:paraId="544B0E0E">
                  <w:pPr>
                    <w:pStyle w:val="31"/>
                    <w:bidi w:val="0"/>
                    <w:ind w:firstLine="0" w:firstLineChars="0"/>
                    <w:jc w:val="center"/>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声环境2类功能区</w:t>
                  </w:r>
                </w:p>
              </w:tc>
            </w:tr>
            <w:tr w14:paraId="339F47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77" w:type="pct"/>
                  <w:vMerge w:val="continue"/>
                  <w:noWrap w:val="0"/>
                  <w:vAlign w:val="center"/>
                </w:tcPr>
                <w:p w14:paraId="184DD18B">
                  <w:pPr>
                    <w:pStyle w:val="31"/>
                    <w:bidi w:val="0"/>
                    <w:jc w:val="center"/>
                    <w:rPr>
                      <w:rFonts w:hint="default" w:ascii="Times New Roman" w:hAnsi="Times New Roman" w:cs="Times New Roman"/>
                      <w:color w:val="000000"/>
                      <w:highlight w:val="none"/>
                    </w:rPr>
                  </w:pPr>
                </w:p>
              </w:tc>
              <w:tc>
                <w:tcPr>
                  <w:tcW w:w="1180" w:type="pct"/>
                  <w:noWrap w:val="0"/>
                  <w:vAlign w:val="center"/>
                </w:tcPr>
                <w:p w14:paraId="4F7EE6FE">
                  <w:pPr>
                    <w:pStyle w:val="31"/>
                    <w:bidi w:val="0"/>
                    <w:ind w:firstLine="0" w:firstLineChars="0"/>
                    <w:jc w:val="center"/>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海亮村沃口（自然村）</w:t>
                  </w:r>
                </w:p>
              </w:tc>
              <w:tc>
                <w:tcPr>
                  <w:tcW w:w="1624" w:type="dxa"/>
                  <w:noWrap w:val="0"/>
                  <w:vAlign w:val="center"/>
                </w:tcPr>
                <w:p w14:paraId="2E4B34E8">
                  <w:pPr>
                    <w:pStyle w:val="31"/>
                    <w:bidi w:val="0"/>
                    <w:jc w:val="center"/>
                    <w:rPr>
                      <w:rFonts w:hint="default" w:ascii="Times New Roman" w:hAnsi="Times New Roman" w:cs="Times New Roman"/>
                      <w:color w:val="000000"/>
                      <w:highlight w:val="none"/>
                    </w:rPr>
                  </w:pPr>
                </w:p>
              </w:tc>
              <w:tc>
                <w:tcPr>
                  <w:tcW w:w="2990" w:type="dxa"/>
                  <w:noWrap w:val="0"/>
                  <w:vAlign w:val="center"/>
                </w:tcPr>
                <w:p w14:paraId="17A1D581">
                  <w:pPr>
                    <w:pStyle w:val="31"/>
                    <w:bidi w:val="0"/>
                    <w:jc w:val="center"/>
                    <w:rPr>
                      <w:rFonts w:hint="default" w:ascii="Times New Roman" w:hAnsi="Times New Roman" w:eastAsia="宋体" w:cs="Times New Roman"/>
                      <w:color w:val="000000"/>
                      <w:highlight w:val="none"/>
                      <w:lang w:val="en-US" w:eastAsia="zh-CN"/>
                    </w:rPr>
                  </w:pPr>
                </w:p>
              </w:tc>
              <w:tc>
                <w:tcPr>
                  <w:tcW w:w="753" w:type="pct"/>
                  <w:vMerge w:val="continue"/>
                  <w:noWrap w:val="0"/>
                  <w:vAlign w:val="center"/>
                </w:tcPr>
                <w:p w14:paraId="20F82A66">
                  <w:pPr>
                    <w:pStyle w:val="31"/>
                    <w:bidi w:val="0"/>
                    <w:ind w:firstLine="0" w:firstLineChars="0"/>
                    <w:jc w:val="center"/>
                    <w:rPr>
                      <w:rFonts w:hint="default" w:ascii="Times New Roman" w:hAnsi="Times New Roman" w:cs="Times New Roman"/>
                      <w:color w:val="000000"/>
                      <w:highlight w:val="none"/>
                    </w:rPr>
                  </w:pPr>
                </w:p>
              </w:tc>
            </w:tr>
          </w:tbl>
          <w:p w14:paraId="38E04C85">
            <w:pPr>
              <w:pStyle w:val="31"/>
              <w:bidi w:val="0"/>
              <w:rPr>
                <w:rFonts w:hint="default"/>
                <w:lang w:val="en-US" w:eastAsia="zh-CN"/>
              </w:rPr>
            </w:pPr>
            <w:r>
              <w:rPr>
                <w:rFonts w:hint="eastAsia"/>
                <w:lang w:val="en-US" w:eastAsia="zh-CN"/>
              </w:rPr>
              <w:t>（涉密删除）</w:t>
            </w:r>
          </w:p>
          <w:p w14:paraId="080341EB">
            <w:pPr>
              <w:pStyle w:val="30"/>
              <w:bidi w:val="0"/>
              <w:rPr>
                <w:rFonts w:hint="default"/>
                <w:lang w:val="en-US" w:eastAsia="zh-CN"/>
              </w:rPr>
            </w:pPr>
            <w:bookmarkStart w:id="244" w:name="_Ref28851"/>
            <w:r>
              <w:rPr>
                <w:rFonts w:hint="default" w:ascii="Times New Roman" w:hAnsi="Times New Roman" w:cs="Times New Roman"/>
                <w:color w:val="000000"/>
                <w:highlight w:val="none"/>
              </w:rPr>
              <w:t>图</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3.16</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图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1</w:t>
            </w:r>
            <w:r>
              <w:rPr>
                <w:rFonts w:hint="default" w:ascii="Times New Roman" w:hAnsi="Times New Roman" w:cs="Times New Roman"/>
                <w:color w:val="000000"/>
                <w:highlight w:val="none"/>
              </w:rPr>
              <w:fldChar w:fldCharType="end"/>
            </w:r>
            <w:bookmarkEnd w:id="244"/>
            <w:r>
              <w:rPr>
                <w:rFonts w:hint="default" w:ascii="Times New Roman" w:hAnsi="Times New Roman" w:cs="Times New Roman"/>
                <w:color w:val="000000"/>
                <w:highlight w:val="none"/>
                <w:lang w:val="en-US" w:eastAsia="zh-CN"/>
              </w:rPr>
              <w:t xml:space="preserve"> 海洋环境保护目标分布图（大范围）</w:t>
            </w:r>
          </w:p>
          <w:p w14:paraId="54F03821">
            <w:pPr>
              <w:pStyle w:val="31"/>
              <w:bidi w:val="0"/>
              <w:rPr>
                <w:rFonts w:hint="default"/>
                <w:lang w:val="en-US" w:eastAsia="zh-CN"/>
              </w:rPr>
            </w:pPr>
            <w:r>
              <w:rPr>
                <w:rFonts w:hint="eastAsia"/>
                <w:lang w:val="en-US" w:eastAsia="zh-CN"/>
              </w:rPr>
              <w:t>（涉密删除）</w:t>
            </w:r>
          </w:p>
          <w:p w14:paraId="43BFEAA1">
            <w:pPr>
              <w:pStyle w:val="30"/>
              <w:bidi w:val="0"/>
              <w:rPr>
                <w:rFonts w:hint="default"/>
                <w:lang w:val="en-US" w:eastAsia="zh-CN"/>
              </w:rPr>
            </w:pPr>
            <w:r>
              <w:rPr>
                <w:rFonts w:hint="default" w:ascii="Times New Roman" w:hAnsi="Times New Roman" w:cs="Times New Roman"/>
                <w:color w:val="000000"/>
                <w:highlight w:val="none"/>
              </w:rPr>
              <w:t>图</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3.16</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图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2</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val="en-US" w:eastAsia="zh-CN"/>
              </w:rPr>
              <w:t xml:space="preserve"> 海洋环境保护目标分布图（小范围）</w:t>
            </w:r>
          </w:p>
          <w:p w14:paraId="36D29587">
            <w:pPr>
              <w:pStyle w:val="31"/>
              <w:bidi w:val="0"/>
              <w:rPr>
                <w:rFonts w:hint="default" w:ascii="Times New Roman" w:hAnsi="Times New Roman" w:cs="Times New Roman"/>
                <w:color w:val="000000"/>
                <w:highlight w:val="none"/>
                <w:lang w:val="en-US" w:eastAsia="zh-CN"/>
              </w:rPr>
            </w:pPr>
            <w:r>
              <w:rPr>
                <w:rFonts w:hint="eastAsia"/>
                <w:lang w:val="en-US" w:eastAsia="zh-CN"/>
              </w:rPr>
              <w:t>（涉密删除）</w:t>
            </w:r>
          </w:p>
          <w:p w14:paraId="08708357">
            <w:pPr>
              <w:pStyle w:val="30"/>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rPr>
              <w:t>图</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3.16</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图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val="en-US" w:eastAsia="zh-CN"/>
              </w:rPr>
              <w:t xml:space="preserve"> 大气环境保护目标分布图</w:t>
            </w:r>
          </w:p>
          <w:p w14:paraId="53E56132">
            <w:pPr>
              <w:pStyle w:val="31"/>
              <w:bidi w:val="0"/>
              <w:rPr>
                <w:rFonts w:hint="default"/>
                <w:lang w:val="en-US" w:eastAsia="zh-CN"/>
              </w:rPr>
            </w:pPr>
            <w:r>
              <w:rPr>
                <w:rFonts w:hint="eastAsia"/>
                <w:lang w:val="en-US" w:eastAsia="zh-CN"/>
              </w:rPr>
              <w:t>（涉密删除）</w:t>
            </w:r>
          </w:p>
          <w:p w14:paraId="05756DCD">
            <w:pPr>
              <w:pStyle w:val="30"/>
              <w:bidi w:val="0"/>
              <w:rPr>
                <w:rFonts w:hint="default" w:ascii="Times New Roman" w:hAnsi="Times New Roman" w:cs="Times New Roman"/>
                <w:color w:val="000000"/>
                <w:highlight w:val="none"/>
                <w:lang w:val="en-US" w:eastAsia="zh-CN"/>
              </w:rPr>
            </w:pPr>
            <w:bookmarkStart w:id="245" w:name="_Ref28857"/>
            <w:r>
              <w:rPr>
                <w:rFonts w:hint="default" w:ascii="Times New Roman" w:hAnsi="Times New Roman" w:cs="Times New Roman"/>
                <w:color w:val="000000"/>
                <w:highlight w:val="none"/>
              </w:rPr>
              <w:t>图</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3.16</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图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w:t>
            </w:r>
            <w:r>
              <w:rPr>
                <w:rFonts w:hint="default" w:ascii="Times New Roman" w:hAnsi="Times New Roman" w:cs="Times New Roman"/>
                <w:color w:val="000000"/>
                <w:highlight w:val="none"/>
              </w:rPr>
              <w:fldChar w:fldCharType="end"/>
            </w:r>
            <w:bookmarkEnd w:id="245"/>
            <w:r>
              <w:rPr>
                <w:rFonts w:hint="default" w:ascii="Times New Roman" w:hAnsi="Times New Roman" w:cs="Times New Roman"/>
                <w:color w:val="000000"/>
                <w:highlight w:val="none"/>
                <w:lang w:val="en-US" w:eastAsia="zh-CN"/>
              </w:rPr>
              <w:t xml:space="preserve"> 陆域生态、声环境保护目标分布图</w:t>
            </w:r>
          </w:p>
          <w:p w14:paraId="1AD277D5">
            <w:pPr>
              <w:pStyle w:val="31"/>
              <w:bidi w:val="0"/>
              <w:rPr>
                <w:rFonts w:hint="default"/>
                <w:lang w:val="en-US" w:eastAsia="zh-CN"/>
              </w:rPr>
            </w:pPr>
            <w:r>
              <w:rPr>
                <w:rFonts w:hint="eastAsia"/>
                <w:lang w:val="en-US" w:eastAsia="zh-CN"/>
              </w:rPr>
              <w:t>（涉密删除）</w:t>
            </w:r>
          </w:p>
          <w:p w14:paraId="504776CF">
            <w:pPr>
              <w:pStyle w:val="30"/>
              <w:bidi w:val="0"/>
              <w:rPr>
                <w:rFonts w:hint="eastAsia" w:ascii="Times New Roman" w:hAnsi="Times New Roman" w:cs="Times New Roman"/>
                <w:color w:val="000000"/>
                <w:highlight w:val="none"/>
                <w:lang w:val="en-US" w:eastAsia="zh-CN"/>
              </w:rPr>
            </w:pPr>
            <w:bookmarkStart w:id="246" w:name="_Ref1879"/>
            <w:r>
              <w:rPr>
                <w:rFonts w:hint="default" w:ascii="Times New Roman" w:hAnsi="Times New Roman" w:cs="Times New Roman"/>
                <w:color w:val="000000"/>
                <w:highlight w:val="none"/>
              </w:rPr>
              <w:t>图</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3.16</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图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5</w:t>
            </w:r>
            <w:r>
              <w:rPr>
                <w:rFonts w:hint="default" w:ascii="Times New Roman" w:hAnsi="Times New Roman" w:cs="Times New Roman"/>
                <w:color w:val="000000"/>
                <w:highlight w:val="none"/>
              </w:rPr>
              <w:fldChar w:fldCharType="end"/>
            </w:r>
            <w:bookmarkEnd w:id="246"/>
            <w:r>
              <w:rPr>
                <w:rFonts w:hint="default" w:ascii="Times New Roman" w:hAnsi="Times New Roman" w:cs="Times New Roman"/>
                <w:color w:val="000000"/>
                <w:highlight w:val="none"/>
                <w:lang w:val="en-US" w:eastAsia="zh-CN"/>
              </w:rPr>
              <w:t xml:space="preserve"> 本项目与生态林位置关系</w:t>
            </w:r>
            <w:r>
              <w:rPr>
                <w:rFonts w:hint="eastAsia" w:ascii="Times New Roman" w:hAnsi="Times New Roman" w:cs="Times New Roman"/>
                <w:color w:val="000000"/>
                <w:highlight w:val="none"/>
                <w:lang w:val="en-US" w:eastAsia="zh-CN"/>
              </w:rPr>
              <w:t>图</w:t>
            </w:r>
          </w:p>
          <w:p w14:paraId="419C67DB">
            <w:pPr>
              <w:pStyle w:val="31"/>
              <w:bidi w:val="0"/>
              <w:rPr>
                <w:rFonts w:hint="default"/>
                <w:color w:val="000000"/>
                <w:highlight w:val="none"/>
                <w:lang w:val="en-US" w:eastAsia="zh-CN"/>
              </w:rPr>
            </w:pPr>
            <w:r>
              <w:rPr>
                <w:rFonts w:hint="eastAsia"/>
                <w:lang w:val="en-US" w:eastAsia="zh-CN"/>
              </w:rPr>
              <w:t>（涉密删除）</w:t>
            </w:r>
          </w:p>
          <w:p w14:paraId="17B5427F">
            <w:pPr>
              <w:pStyle w:val="30"/>
              <w:bidi w:val="0"/>
              <w:rPr>
                <w:rFonts w:hint="default"/>
                <w:lang w:val="en-US" w:eastAsia="zh-CN"/>
              </w:rPr>
            </w:pPr>
            <w:bookmarkStart w:id="247" w:name="_Ref26345"/>
            <w:r>
              <w:rPr>
                <w:rFonts w:hint="default" w:ascii="Times New Roman" w:hAnsi="Times New Roman" w:cs="Times New Roman"/>
                <w:color w:val="000000"/>
                <w:highlight w:val="none"/>
              </w:rPr>
              <w:t>图</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3.16</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图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6</w:t>
            </w:r>
            <w:r>
              <w:rPr>
                <w:rFonts w:hint="default" w:ascii="Times New Roman" w:hAnsi="Times New Roman" w:cs="Times New Roman"/>
                <w:color w:val="000000"/>
                <w:highlight w:val="none"/>
              </w:rPr>
              <w:fldChar w:fldCharType="end"/>
            </w:r>
            <w:bookmarkEnd w:id="247"/>
            <w:r>
              <w:rPr>
                <w:rFonts w:hint="default" w:ascii="Times New Roman" w:hAnsi="Times New Roman" w:cs="Times New Roman"/>
                <w:color w:val="000000"/>
                <w:highlight w:val="none"/>
                <w:lang w:val="en-US" w:eastAsia="zh-CN"/>
              </w:rPr>
              <w:t xml:space="preserve"> 本项目与</w:t>
            </w:r>
            <w:r>
              <w:rPr>
                <w:rFonts w:hint="eastAsia" w:ascii="Times New Roman" w:hAnsi="Times New Roman" w:cs="Times New Roman"/>
                <w:color w:val="000000"/>
                <w:highlight w:val="none"/>
                <w:lang w:val="en-US" w:eastAsia="zh-CN"/>
              </w:rPr>
              <w:t>永久基本农田</w:t>
            </w:r>
            <w:r>
              <w:rPr>
                <w:rFonts w:hint="default" w:ascii="Times New Roman" w:hAnsi="Times New Roman" w:cs="Times New Roman"/>
                <w:color w:val="000000"/>
                <w:highlight w:val="none"/>
                <w:lang w:val="en-US" w:eastAsia="zh-CN"/>
              </w:rPr>
              <w:t>位置关系</w:t>
            </w:r>
            <w:r>
              <w:rPr>
                <w:rFonts w:hint="eastAsia" w:ascii="Times New Roman" w:hAnsi="Times New Roman" w:cs="Times New Roman"/>
                <w:color w:val="000000"/>
                <w:highlight w:val="none"/>
                <w:lang w:val="en-US" w:eastAsia="zh-CN"/>
              </w:rPr>
              <w:t>图</w:t>
            </w:r>
          </w:p>
          <w:p w14:paraId="48BEE708">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lang w:val="en-US" w:eastAsia="zh-CN"/>
              </w:rPr>
            </w:pPr>
          </w:p>
          <w:p w14:paraId="003FB2E3">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lang w:val="en-US" w:eastAsia="zh-CN"/>
              </w:rPr>
            </w:pPr>
          </w:p>
          <w:p w14:paraId="478FF80B">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lang w:val="en-US" w:eastAsia="zh-CN"/>
              </w:rPr>
            </w:pPr>
          </w:p>
          <w:p w14:paraId="07B873A5">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lang w:val="en-US" w:eastAsia="zh-CN"/>
              </w:rPr>
            </w:pPr>
          </w:p>
          <w:p w14:paraId="51595D11">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lang w:val="en-US" w:eastAsia="zh-CN"/>
              </w:rPr>
            </w:pPr>
          </w:p>
          <w:p w14:paraId="29630586">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lang w:val="en-US" w:eastAsia="zh-CN"/>
              </w:rPr>
            </w:pPr>
          </w:p>
          <w:p w14:paraId="647B8392">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lang w:val="en-US" w:eastAsia="zh-CN"/>
              </w:rPr>
            </w:pPr>
          </w:p>
          <w:p w14:paraId="2066C4ED">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lang w:val="en-US" w:eastAsia="zh-CN"/>
              </w:rPr>
            </w:pPr>
          </w:p>
          <w:p w14:paraId="75E2F339">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lang w:val="en-US" w:eastAsia="zh-CN"/>
              </w:rPr>
            </w:pPr>
          </w:p>
          <w:p w14:paraId="70078050">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lang w:val="en-US" w:eastAsia="zh-CN"/>
              </w:rPr>
            </w:pPr>
          </w:p>
          <w:p w14:paraId="7B0183C0">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lang w:val="en-US" w:eastAsia="zh-CN"/>
              </w:rPr>
            </w:pPr>
          </w:p>
          <w:p w14:paraId="2815C5CC">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lang w:val="en-US" w:eastAsia="zh-CN"/>
              </w:rPr>
            </w:pPr>
          </w:p>
          <w:bookmarkEnd w:id="219"/>
          <w:bookmarkEnd w:id="220"/>
          <w:p w14:paraId="38C1AE6E">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lang w:val="en-US"/>
              </w:rPr>
            </w:pPr>
          </w:p>
        </w:tc>
      </w:tr>
    </w:tbl>
    <w:p w14:paraId="4143E09B">
      <w:pPr>
        <w:bidi w:val="0"/>
        <w:rPr>
          <w:rFonts w:hint="default" w:ascii="Times New Roman" w:hAnsi="Times New Roman" w:cs="Times New Roman"/>
          <w:color w:val="000000"/>
        </w:rPr>
        <w:sectPr>
          <w:pgSz w:w="11906" w:h="16838"/>
          <w:pgMar w:top="1701" w:right="1531" w:bottom="1701" w:left="1531" w:header="851" w:footer="1077" w:gutter="0"/>
          <w:pgNumType w:fmt="decimal"/>
          <w:cols w:space="720" w:num="1"/>
          <w:docGrid w:linePitch="312" w:charSpace="0"/>
        </w:sectPr>
      </w:pPr>
    </w:p>
    <w:tbl>
      <w:tblPr>
        <w:tblStyle w:val="21"/>
        <w:tblW w:w="957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8" w:type="dxa"/>
          <w:left w:w="108" w:type="dxa"/>
          <w:bottom w:w="108" w:type="dxa"/>
          <w:right w:w="108" w:type="dxa"/>
        </w:tblCellMar>
      </w:tblPr>
      <w:tblGrid>
        <w:gridCol w:w="762"/>
        <w:gridCol w:w="8814"/>
      </w:tblGrid>
      <w:tr w14:paraId="7E55CD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8" w:type="dxa"/>
            <w:left w:w="108" w:type="dxa"/>
            <w:bottom w:w="108" w:type="dxa"/>
            <w:right w:w="108" w:type="dxa"/>
          </w:tblCellMar>
        </w:tblPrEx>
        <w:trPr>
          <w:trHeight w:val="2337" w:hRule="atLeast"/>
          <w:jc w:val="center"/>
        </w:trPr>
        <w:tc>
          <w:tcPr>
            <w:tcW w:w="762" w:type="dxa"/>
            <w:noWrap w:val="0"/>
            <w:vAlign w:val="center"/>
          </w:tcPr>
          <w:p w14:paraId="54D5DC99">
            <w:pPr>
              <w:adjustRightInd w:val="0"/>
              <w:snapToGrid w:val="0"/>
              <w:spacing w:line="360" w:lineRule="auto"/>
              <w:jc w:val="center"/>
              <w:rPr>
                <w:rFonts w:hint="default" w:ascii="Times New Roman" w:hAnsi="Times New Roman" w:cs="Times New Roman"/>
                <w:color w:val="000000"/>
                <w:kern w:val="0"/>
                <w:szCs w:val="21"/>
                <w:u w:val="none"/>
              </w:rPr>
            </w:pPr>
            <w:r>
              <w:rPr>
                <w:rFonts w:hint="default" w:ascii="Times New Roman" w:hAnsi="Times New Roman" w:cs="Times New Roman"/>
                <w:color w:val="000000"/>
                <w:kern w:val="0"/>
                <w:szCs w:val="21"/>
                <w:u w:val="none"/>
              </w:rPr>
              <w:t>评价</w:t>
            </w:r>
          </w:p>
          <w:p w14:paraId="7710D527">
            <w:pPr>
              <w:adjustRightInd w:val="0"/>
              <w:snapToGrid w:val="0"/>
              <w:spacing w:line="360" w:lineRule="auto"/>
              <w:jc w:val="center"/>
              <w:rPr>
                <w:rFonts w:hint="default" w:ascii="Times New Roman" w:hAnsi="Times New Roman" w:cs="Times New Roman"/>
                <w:color w:val="000000"/>
                <w:kern w:val="0"/>
                <w:szCs w:val="21"/>
                <w:u w:val="none"/>
              </w:rPr>
            </w:pPr>
            <w:r>
              <w:rPr>
                <w:rFonts w:hint="default" w:ascii="Times New Roman" w:hAnsi="Times New Roman" w:cs="Times New Roman"/>
                <w:color w:val="000000"/>
                <w:kern w:val="0"/>
                <w:szCs w:val="21"/>
                <w:u w:val="none"/>
              </w:rPr>
              <w:t>标准</w:t>
            </w:r>
          </w:p>
        </w:tc>
        <w:tc>
          <w:tcPr>
            <w:tcW w:w="8814" w:type="dxa"/>
            <w:noWrap w:val="0"/>
            <w:vAlign w:val="center"/>
          </w:tcPr>
          <w:p w14:paraId="575E6291">
            <w:pPr>
              <w:pStyle w:val="3"/>
              <w:bidi w:val="0"/>
              <w:ind w:left="567" w:leftChars="0" w:hanging="567" w:firstLineChars="0"/>
              <w:rPr>
                <w:rFonts w:hint="default"/>
                <w:lang w:val="en-US" w:eastAsia="zh-CN"/>
              </w:rPr>
            </w:pPr>
            <w:bookmarkStart w:id="248" w:name="_Toc11933"/>
            <w:bookmarkStart w:id="249" w:name="_Toc16353"/>
            <w:bookmarkStart w:id="250" w:name="_Toc22112"/>
            <w:r>
              <w:rPr>
                <w:rFonts w:hint="default"/>
                <w:lang w:val="en-US" w:eastAsia="zh-CN"/>
              </w:rPr>
              <w:t>评价标准</w:t>
            </w:r>
            <w:bookmarkEnd w:id="248"/>
            <w:bookmarkEnd w:id="249"/>
            <w:bookmarkEnd w:id="250"/>
          </w:p>
          <w:p w14:paraId="3B4CFEE4">
            <w:pPr>
              <w:pStyle w:val="5"/>
              <w:tabs>
                <w:tab w:val="left" w:pos="0"/>
              </w:tabs>
              <w:bidi w:val="0"/>
              <w:rPr>
                <w:rFonts w:hint="default" w:ascii="Times New Roman" w:hAnsi="Times New Roman" w:cs="Times New Roman"/>
                <w:color w:val="000000"/>
                <w:highlight w:val="none"/>
                <w:lang w:val="en-US" w:eastAsia="zh-CN"/>
              </w:rPr>
            </w:pPr>
            <w:bookmarkStart w:id="251" w:name="_Toc29718"/>
            <w:bookmarkStart w:id="252" w:name="_Toc7022"/>
            <w:r>
              <w:rPr>
                <w:rFonts w:hint="default" w:ascii="Times New Roman" w:hAnsi="Times New Roman" w:cs="Times New Roman"/>
                <w:color w:val="000000"/>
                <w:highlight w:val="none"/>
                <w:lang w:val="en-US" w:eastAsia="zh-CN"/>
              </w:rPr>
              <w:t>废水</w:t>
            </w:r>
          </w:p>
          <w:p w14:paraId="2E0696CE">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（1）施工期</w:t>
            </w:r>
          </w:p>
          <w:p w14:paraId="595D3222">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①本项目施工期施工船舶污水由海事部门认可的船舶污染物接收单位接收处理；</w:t>
            </w:r>
          </w:p>
          <w:p w14:paraId="507C310D">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②施工人员生活污水依托附近村庄现有的化粪池处理；</w:t>
            </w:r>
          </w:p>
          <w:p w14:paraId="3403F91D">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③施工机械设备冲洗废水经临时的隔油沉淀池处理后回用于场地洒水抑尘，不外排。</w:t>
            </w:r>
          </w:p>
          <w:p w14:paraId="0C43E30F">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（2）运营期</w:t>
            </w:r>
          </w:p>
          <w:p w14:paraId="714395AC">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本项目运营期污水包括：码头卸渔区冲洗废水、港区生活污水、船舶含油污水、船舶生活污水、码头卸渔区初期雨水。</w:t>
            </w:r>
          </w:p>
          <w:p w14:paraId="4C9A8BD7">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①</w:t>
            </w:r>
            <w:r>
              <w:rPr>
                <w:rFonts w:hint="default" w:ascii="Times New Roman" w:hAnsi="Times New Roman" w:cs="Times New Roman"/>
                <w:b w:val="0"/>
                <w:bCs w:val="0"/>
                <w:color w:val="000000"/>
                <w:sz w:val="24"/>
                <w:szCs w:val="32"/>
                <w:highlight w:val="none"/>
                <w:lang w:val="en-US" w:eastAsia="zh-CN"/>
              </w:rPr>
              <w:t>食堂废水经隔油池沉淀后，与生活污水一同经过化粪池处理后，码头和卸渔区冲洗废水、码头和卸渔区初期雨水收集后，接入港区自建污水处理站处理，达到《城市污水再生利用城市杂用水水质》（GB/T 18920-2020）表1中的城市绿化、道路清扫用水标准后，回用于</w:t>
            </w:r>
            <w:r>
              <w:rPr>
                <w:rFonts w:hint="eastAsia" w:ascii="Times New Roman" w:hAnsi="Times New Roman" w:cs="Times New Roman"/>
                <w:b w:val="0"/>
                <w:bCs w:val="0"/>
                <w:color w:val="000000"/>
                <w:sz w:val="24"/>
                <w:szCs w:val="32"/>
                <w:highlight w:val="none"/>
                <w:lang w:val="en-US" w:eastAsia="zh-CN"/>
              </w:rPr>
              <w:t>港区绿化灌溉、</w:t>
            </w:r>
            <w:r>
              <w:rPr>
                <w:rFonts w:hint="default" w:ascii="Times New Roman" w:hAnsi="Times New Roman" w:cs="Times New Roman"/>
                <w:b w:val="0"/>
                <w:bCs w:val="0"/>
                <w:color w:val="000000"/>
                <w:sz w:val="24"/>
                <w:szCs w:val="32"/>
                <w:highlight w:val="none"/>
                <w:lang w:val="en-US" w:eastAsia="zh-CN"/>
              </w:rPr>
              <w:t>洒水及冲洗用水。</w:t>
            </w:r>
          </w:p>
          <w:p w14:paraId="174B7F39">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②运营期到港船舶污水排放执行《船舶水污染物排放控制标准》（GB 3552-2018），船舶含油污水要求船舶自备含油污水处理设施处理达标后在航行中排放，或收集上岸由海事部门认可的船舶污染物接收单位接收处理，严禁在港区排放。港区不设置船舶含油污水处理设施。</w:t>
            </w:r>
          </w:p>
          <w:p w14:paraId="1D81400D">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③船舶生活污水由船舶自备污水处理装置处理后，达到《船舶水污染物排放控制标准》（GB 3552-2018）中规定要求后在航行中排放。未自备污水处理装置的船舶生活污水收集上岸，由海事部门认可的船舶污染物接收单位接收处理，严禁在港区排放。</w:t>
            </w:r>
          </w:p>
          <w:p w14:paraId="668273E0">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具体标准限值见</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REF _Ref9970 \h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3.17</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1</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val="en-US" w:eastAsia="zh-CN"/>
              </w:rPr>
              <w:t>~</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REF _Ref18585 \h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3.17</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3</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val="en-US" w:eastAsia="zh-CN"/>
              </w:rPr>
              <w:t>。</w:t>
            </w:r>
          </w:p>
          <w:p w14:paraId="54218CF0">
            <w:pPr>
              <w:pStyle w:val="11"/>
              <w:rPr>
                <w:rFonts w:hint="default" w:ascii="Times New Roman" w:hAnsi="Times New Roman" w:cs="Times New Roman"/>
                <w:color w:val="000000"/>
                <w:highlight w:val="none"/>
                <w:lang w:val="en-US" w:eastAsia="zh-CN"/>
              </w:rPr>
            </w:pPr>
            <w:bookmarkStart w:id="253" w:name="_Ref9970"/>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3.17</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表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1</w:t>
            </w:r>
            <w:r>
              <w:rPr>
                <w:rFonts w:hint="default" w:ascii="Times New Roman" w:hAnsi="Times New Roman" w:cs="Times New Roman"/>
                <w:color w:val="000000"/>
                <w:highlight w:val="none"/>
              </w:rPr>
              <w:fldChar w:fldCharType="end"/>
            </w:r>
            <w:bookmarkEnd w:id="253"/>
            <w:r>
              <w:rPr>
                <w:rFonts w:hint="default" w:ascii="Times New Roman" w:hAnsi="Times New Roman" w:cs="Times New Roman"/>
                <w:color w:val="000000"/>
                <w:highlight w:val="none"/>
                <w:lang w:val="en-US" w:eastAsia="zh-CN"/>
              </w:rPr>
              <w:t xml:space="preserve"> 《城市污水再生利用城市杂用水水质》（GB/T 18920-2020）（摘录）</w:t>
            </w:r>
          </w:p>
          <w:tbl>
            <w:tblPr>
              <w:tblStyle w:val="22"/>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7"/>
              <w:gridCol w:w="3106"/>
              <w:gridCol w:w="3474"/>
              <w:gridCol w:w="1064"/>
            </w:tblGrid>
            <w:tr w14:paraId="64E9A1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46" w:type="pct"/>
                  <w:noWrap w:val="0"/>
                  <w:vAlign w:val="center"/>
                </w:tcPr>
                <w:p w14:paraId="09BE2776">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序号</w:t>
                  </w:r>
                </w:p>
              </w:tc>
              <w:tc>
                <w:tcPr>
                  <w:tcW w:w="1810" w:type="pct"/>
                  <w:noWrap w:val="0"/>
                  <w:vAlign w:val="center"/>
                </w:tcPr>
                <w:p w14:paraId="745278B6">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污染物</w:t>
                  </w:r>
                </w:p>
              </w:tc>
              <w:tc>
                <w:tcPr>
                  <w:tcW w:w="2024" w:type="pct"/>
                  <w:noWrap w:val="0"/>
                  <w:vAlign w:val="center"/>
                </w:tcPr>
                <w:p w14:paraId="7332C89E">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城市绿化、道路清扫、消防、建筑施工</w:t>
                  </w:r>
                </w:p>
              </w:tc>
              <w:tc>
                <w:tcPr>
                  <w:tcW w:w="617" w:type="pct"/>
                  <w:noWrap w:val="0"/>
                  <w:vAlign w:val="center"/>
                </w:tcPr>
                <w:p w14:paraId="4767DB0A">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单位</w:t>
                  </w:r>
                </w:p>
              </w:tc>
            </w:tr>
            <w:tr w14:paraId="2ADA23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46" w:type="pct"/>
                  <w:noWrap w:val="0"/>
                  <w:vAlign w:val="center"/>
                </w:tcPr>
                <w:p w14:paraId="16CE7082">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w:t>
                  </w:r>
                </w:p>
              </w:tc>
              <w:tc>
                <w:tcPr>
                  <w:tcW w:w="1810" w:type="pct"/>
                  <w:noWrap w:val="0"/>
                  <w:vAlign w:val="center"/>
                </w:tcPr>
                <w:p w14:paraId="29CD3B3D">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pH</w:t>
                  </w:r>
                </w:p>
              </w:tc>
              <w:tc>
                <w:tcPr>
                  <w:tcW w:w="2024" w:type="pct"/>
                  <w:noWrap w:val="0"/>
                  <w:vAlign w:val="center"/>
                </w:tcPr>
                <w:p w14:paraId="209F2DD3">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6.0~9.0</w:t>
                  </w:r>
                </w:p>
              </w:tc>
              <w:tc>
                <w:tcPr>
                  <w:tcW w:w="617" w:type="pct"/>
                  <w:noWrap w:val="0"/>
                  <w:vAlign w:val="center"/>
                </w:tcPr>
                <w:p w14:paraId="668ED2EA">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无量纲</w:t>
                  </w:r>
                </w:p>
              </w:tc>
            </w:tr>
            <w:tr w14:paraId="3EBB2E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46" w:type="pct"/>
                  <w:noWrap w:val="0"/>
                  <w:vAlign w:val="center"/>
                </w:tcPr>
                <w:p w14:paraId="4AFB7831">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w:t>
                  </w:r>
                </w:p>
              </w:tc>
              <w:tc>
                <w:tcPr>
                  <w:tcW w:w="1810" w:type="pct"/>
                  <w:noWrap w:val="0"/>
                  <w:vAlign w:val="center"/>
                </w:tcPr>
                <w:p w14:paraId="1BA8C5BB">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色度≤</w:t>
                  </w:r>
                </w:p>
              </w:tc>
              <w:tc>
                <w:tcPr>
                  <w:tcW w:w="2024" w:type="pct"/>
                  <w:noWrap w:val="0"/>
                  <w:vAlign w:val="center"/>
                </w:tcPr>
                <w:p w14:paraId="3CA0C0D4">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30</w:t>
                  </w:r>
                </w:p>
              </w:tc>
              <w:tc>
                <w:tcPr>
                  <w:tcW w:w="617" w:type="pct"/>
                  <w:noWrap w:val="0"/>
                  <w:vAlign w:val="center"/>
                </w:tcPr>
                <w:p w14:paraId="6FF7DB20">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无量纲</w:t>
                  </w:r>
                </w:p>
              </w:tc>
            </w:tr>
            <w:tr w14:paraId="17D464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46" w:type="pct"/>
                  <w:noWrap w:val="0"/>
                  <w:vAlign w:val="center"/>
                </w:tcPr>
                <w:p w14:paraId="6E344D67">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3</w:t>
                  </w:r>
                </w:p>
              </w:tc>
              <w:tc>
                <w:tcPr>
                  <w:tcW w:w="1810" w:type="pct"/>
                  <w:noWrap w:val="0"/>
                  <w:vAlign w:val="center"/>
                </w:tcPr>
                <w:p w14:paraId="107B1F0F">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浊度≤</w:t>
                  </w:r>
                </w:p>
              </w:tc>
              <w:tc>
                <w:tcPr>
                  <w:tcW w:w="2024" w:type="pct"/>
                  <w:noWrap w:val="0"/>
                  <w:vAlign w:val="center"/>
                </w:tcPr>
                <w:p w14:paraId="5B88E109">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10</w:t>
                  </w:r>
                </w:p>
              </w:tc>
              <w:tc>
                <w:tcPr>
                  <w:tcW w:w="617" w:type="pct"/>
                  <w:noWrap w:val="0"/>
                  <w:vAlign w:val="center"/>
                </w:tcPr>
                <w:p w14:paraId="0BFD2F75">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NTU</w:t>
                  </w:r>
                </w:p>
              </w:tc>
            </w:tr>
            <w:tr w14:paraId="1B8B0F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46" w:type="pct"/>
                  <w:noWrap w:val="0"/>
                  <w:vAlign w:val="center"/>
                </w:tcPr>
                <w:p w14:paraId="04A7AEE0">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4</w:t>
                  </w:r>
                </w:p>
              </w:tc>
              <w:tc>
                <w:tcPr>
                  <w:tcW w:w="1810" w:type="pct"/>
                  <w:noWrap w:val="0"/>
                  <w:vAlign w:val="center"/>
                </w:tcPr>
                <w:p w14:paraId="4EC5D573">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五日生化需氧量（BOD</w:t>
                  </w:r>
                  <w:r>
                    <w:rPr>
                      <w:rFonts w:hint="default" w:ascii="Times New Roman" w:hAnsi="Times New Roman" w:cs="Times New Roman"/>
                      <w:color w:val="000000"/>
                      <w:highlight w:val="none"/>
                      <w:vertAlign w:val="subscript"/>
                      <w:lang w:val="en-US" w:eastAsia="zh-CN"/>
                    </w:rPr>
                    <w:t>5</w:t>
                  </w:r>
                  <w:r>
                    <w:rPr>
                      <w:rFonts w:hint="default" w:ascii="Times New Roman" w:hAnsi="Times New Roman" w:cs="Times New Roman"/>
                      <w:color w:val="000000"/>
                      <w:highlight w:val="none"/>
                      <w:lang w:val="en-US" w:eastAsia="zh-CN"/>
                    </w:rPr>
                    <w:t>）≤</w:t>
                  </w:r>
                </w:p>
              </w:tc>
              <w:tc>
                <w:tcPr>
                  <w:tcW w:w="2024" w:type="pct"/>
                  <w:noWrap w:val="0"/>
                  <w:vAlign w:val="center"/>
                </w:tcPr>
                <w:p w14:paraId="3F67A4F2">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10</w:t>
                  </w:r>
                </w:p>
              </w:tc>
              <w:tc>
                <w:tcPr>
                  <w:tcW w:w="617" w:type="pct"/>
                  <w:noWrap w:val="0"/>
                  <w:vAlign w:val="center"/>
                </w:tcPr>
                <w:p w14:paraId="1081760C">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mg/L</w:t>
                  </w:r>
                </w:p>
              </w:tc>
            </w:tr>
            <w:tr w14:paraId="483C93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46" w:type="pct"/>
                  <w:noWrap w:val="0"/>
                  <w:vAlign w:val="center"/>
                </w:tcPr>
                <w:p w14:paraId="4A165B1B">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5</w:t>
                  </w:r>
                </w:p>
              </w:tc>
              <w:tc>
                <w:tcPr>
                  <w:tcW w:w="1810" w:type="pct"/>
                  <w:noWrap w:val="0"/>
                  <w:vAlign w:val="center"/>
                </w:tcPr>
                <w:p w14:paraId="77588512">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氨氮≤</w:t>
                  </w:r>
                </w:p>
              </w:tc>
              <w:tc>
                <w:tcPr>
                  <w:tcW w:w="2024" w:type="pct"/>
                  <w:noWrap w:val="0"/>
                  <w:vAlign w:val="center"/>
                </w:tcPr>
                <w:p w14:paraId="5A8053D5">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8</w:t>
                  </w:r>
                </w:p>
              </w:tc>
              <w:tc>
                <w:tcPr>
                  <w:tcW w:w="617" w:type="pct"/>
                  <w:noWrap w:val="0"/>
                  <w:vAlign w:val="center"/>
                </w:tcPr>
                <w:p w14:paraId="439134DF">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mg/L</w:t>
                  </w:r>
                </w:p>
              </w:tc>
            </w:tr>
            <w:tr w14:paraId="7087E5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46" w:type="pct"/>
                  <w:noWrap w:val="0"/>
                  <w:vAlign w:val="center"/>
                </w:tcPr>
                <w:p w14:paraId="5DDD140B">
                  <w:pPr>
                    <w:pStyle w:val="31"/>
                    <w:bidi w:val="0"/>
                    <w:jc w:val="center"/>
                    <w:rPr>
                      <w:rFonts w:hint="default" w:ascii="Times New Roman" w:hAnsi="Times New Roman" w:cs="Times New Roman"/>
                      <w:color w:val="000000"/>
                      <w:highlight w:val="none"/>
                      <w:lang w:val="en-US" w:eastAsia="zh-CN"/>
                    </w:rPr>
                  </w:pPr>
                  <w:bookmarkStart w:id="254" w:name="_Ref9973"/>
                  <w:r>
                    <w:rPr>
                      <w:rFonts w:hint="default" w:ascii="Times New Roman" w:hAnsi="Times New Roman" w:cs="Times New Roman"/>
                      <w:color w:val="000000"/>
                      <w:highlight w:val="none"/>
                      <w:lang w:val="en-US" w:eastAsia="zh-CN"/>
                    </w:rPr>
                    <w:t>6</w:t>
                  </w:r>
                </w:p>
              </w:tc>
              <w:tc>
                <w:tcPr>
                  <w:tcW w:w="1810" w:type="pct"/>
                  <w:noWrap w:val="0"/>
                  <w:vAlign w:val="center"/>
                </w:tcPr>
                <w:p w14:paraId="1C499F38">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溶解性总固体≤</w:t>
                  </w:r>
                </w:p>
              </w:tc>
              <w:tc>
                <w:tcPr>
                  <w:tcW w:w="2024" w:type="pct"/>
                  <w:noWrap w:val="0"/>
                  <w:vAlign w:val="center"/>
                </w:tcPr>
                <w:p w14:paraId="79D71466">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1000（2000）</w:t>
                  </w:r>
                  <w:r>
                    <w:rPr>
                      <w:rFonts w:hint="default" w:ascii="Times New Roman" w:hAnsi="Times New Roman" w:cs="Times New Roman"/>
                      <w:color w:val="000000"/>
                      <w:highlight w:val="none"/>
                      <w:vertAlign w:val="superscript"/>
                      <w:lang w:val="en-US" w:eastAsia="zh-CN"/>
                    </w:rPr>
                    <w:t>a</w:t>
                  </w:r>
                </w:p>
              </w:tc>
              <w:tc>
                <w:tcPr>
                  <w:tcW w:w="617" w:type="pct"/>
                  <w:noWrap w:val="0"/>
                  <w:vAlign w:val="center"/>
                </w:tcPr>
                <w:p w14:paraId="077FFBCD">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mg/L</w:t>
                  </w:r>
                </w:p>
              </w:tc>
            </w:tr>
            <w:tr w14:paraId="289F7D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46" w:type="pct"/>
                  <w:noWrap w:val="0"/>
                  <w:vAlign w:val="center"/>
                </w:tcPr>
                <w:p w14:paraId="23334477">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7</w:t>
                  </w:r>
                </w:p>
              </w:tc>
              <w:tc>
                <w:tcPr>
                  <w:tcW w:w="1810" w:type="pct"/>
                  <w:noWrap w:val="0"/>
                  <w:vAlign w:val="center"/>
                </w:tcPr>
                <w:p w14:paraId="0A06AA85">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溶解氧≤</w:t>
                  </w:r>
                </w:p>
              </w:tc>
              <w:tc>
                <w:tcPr>
                  <w:tcW w:w="2024" w:type="pct"/>
                  <w:noWrap w:val="0"/>
                  <w:vAlign w:val="center"/>
                </w:tcPr>
                <w:p w14:paraId="71672807">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2.0</w:t>
                  </w:r>
                </w:p>
              </w:tc>
              <w:tc>
                <w:tcPr>
                  <w:tcW w:w="617" w:type="pct"/>
                  <w:noWrap w:val="0"/>
                  <w:vAlign w:val="center"/>
                </w:tcPr>
                <w:p w14:paraId="0502D365">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mg/L</w:t>
                  </w:r>
                </w:p>
              </w:tc>
            </w:tr>
            <w:tr w14:paraId="30E8B2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4"/>
                  <w:noWrap w:val="0"/>
                  <w:vAlign w:val="center"/>
                </w:tcPr>
                <w:p w14:paraId="450194D2">
                  <w:pPr>
                    <w:pStyle w:val="31"/>
                    <w:bidi w:val="0"/>
                    <w:ind w:firstLine="0" w:firstLineChars="0"/>
                    <w:jc w:val="both"/>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注：a括号内指标值为沿海及本地水源中溶解性固体含量较高的区域的指标。</w:t>
                  </w:r>
                </w:p>
              </w:tc>
            </w:tr>
          </w:tbl>
          <w:p w14:paraId="78DA1792">
            <w:pPr>
              <w:pStyle w:val="11"/>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3.17</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表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2</w:t>
            </w:r>
            <w:r>
              <w:rPr>
                <w:rFonts w:hint="default" w:ascii="Times New Roman" w:hAnsi="Times New Roman" w:cs="Times New Roman"/>
                <w:color w:val="000000"/>
                <w:highlight w:val="none"/>
              </w:rPr>
              <w:fldChar w:fldCharType="end"/>
            </w:r>
            <w:bookmarkEnd w:id="254"/>
            <w:r>
              <w:rPr>
                <w:rFonts w:hint="default" w:ascii="Times New Roman" w:hAnsi="Times New Roman" w:cs="Times New Roman"/>
                <w:color w:val="000000"/>
                <w:highlight w:val="none"/>
                <w:lang w:val="en-US" w:eastAsia="zh-CN"/>
              </w:rPr>
              <w:t xml:space="preserve"> 《船舶水污染物排放控制标准》（GB 3552-2018）（摘录）</w:t>
            </w:r>
          </w:p>
          <w:tbl>
            <w:tblPr>
              <w:tblStyle w:val="22"/>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6"/>
              <w:gridCol w:w="1152"/>
              <w:gridCol w:w="730"/>
              <w:gridCol w:w="766"/>
              <w:gridCol w:w="5257"/>
            </w:tblGrid>
            <w:tr w14:paraId="77EC21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394" w:type="pct"/>
                  <w:noWrap w:val="0"/>
                  <w:vAlign w:val="center"/>
                </w:tcPr>
                <w:p w14:paraId="2E7D8C84">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污水类别</w:t>
                  </w:r>
                </w:p>
              </w:tc>
              <w:tc>
                <w:tcPr>
                  <w:tcW w:w="671" w:type="pct"/>
                  <w:noWrap w:val="0"/>
                  <w:vAlign w:val="center"/>
                </w:tcPr>
                <w:p w14:paraId="387FA5FE">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排放区域</w:t>
                  </w:r>
                </w:p>
              </w:tc>
              <w:tc>
                <w:tcPr>
                  <w:tcW w:w="871" w:type="pct"/>
                  <w:gridSpan w:val="2"/>
                  <w:noWrap w:val="0"/>
                  <w:vAlign w:val="center"/>
                </w:tcPr>
                <w:p w14:paraId="2738358E">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船舶类别</w:t>
                  </w:r>
                </w:p>
              </w:tc>
              <w:tc>
                <w:tcPr>
                  <w:tcW w:w="3062" w:type="pct"/>
                  <w:noWrap w:val="0"/>
                  <w:vAlign w:val="center"/>
                </w:tcPr>
                <w:p w14:paraId="67C874FB">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排放控制要求</w:t>
                  </w:r>
                </w:p>
              </w:tc>
            </w:tr>
            <w:tr w14:paraId="0EAC29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4" w:type="pct"/>
                  <w:vMerge w:val="restart"/>
                  <w:noWrap w:val="0"/>
                  <w:vAlign w:val="center"/>
                </w:tcPr>
                <w:p w14:paraId="19011480">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机器处所油污水</w:t>
                  </w:r>
                </w:p>
              </w:tc>
              <w:tc>
                <w:tcPr>
                  <w:tcW w:w="671" w:type="pct"/>
                  <w:vMerge w:val="restart"/>
                  <w:noWrap w:val="0"/>
                  <w:vAlign w:val="center"/>
                </w:tcPr>
                <w:p w14:paraId="0B0BCF7F">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沿海</w:t>
                  </w:r>
                </w:p>
              </w:tc>
              <w:tc>
                <w:tcPr>
                  <w:tcW w:w="871" w:type="pct"/>
                  <w:gridSpan w:val="2"/>
                  <w:noWrap w:val="0"/>
                  <w:vAlign w:val="center"/>
                </w:tcPr>
                <w:p w14:paraId="43269EAA">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400总吨及以上船舶</w:t>
                  </w:r>
                </w:p>
              </w:tc>
              <w:tc>
                <w:tcPr>
                  <w:tcW w:w="3062" w:type="pct"/>
                  <w:noWrap w:val="0"/>
                  <w:vAlign w:val="center"/>
                </w:tcPr>
                <w:p w14:paraId="7344FC36">
                  <w:pPr>
                    <w:pStyle w:val="31"/>
                    <w:bidi w:val="0"/>
                    <w:jc w:val="left"/>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自2018年7月1日起，油污水处理装置出水口石油类≤15mg/L，在船舶航行中进行排放，或收集并排入接收设施。</w:t>
                  </w:r>
                </w:p>
              </w:tc>
            </w:tr>
            <w:tr w14:paraId="604AD7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4" w:type="pct"/>
                  <w:vMerge w:val="continue"/>
                  <w:noWrap w:val="0"/>
                  <w:vAlign w:val="center"/>
                </w:tcPr>
                <w:p w14:paraId="1676DF22">
                  <w:pPr>
                    <w:pStyle w:val="31"/>
                    <w:bidi w:val="0"/>
                    <w:jc w:val="center"/>
                    <w:rPr>
                      <w:rFonts w:hint="default" w:ascii="Times New Roman" w:hAnsi="Times New Roman" w:cs="Times New Roman"/>
                      <w:color w:val="000000"/>
                      <w:highlight w:val="none"/>
                      <w:lang w:val="en-US" w:eastAsia="zh-CN"/>
                    </w:rPr>
                  </w:pPr>
                </w:p>
              </w:tc>
              <w:tc>
                <w:tcPr>
                  <w:tcW w:w="671" w:type="pct"/>
                  <w:vMerge w:val="continue"/>
                  <w:noWrap w:val="0"/>
                  <w:vAlign w:val="center"/>
                </w:tcPr>
                <w:p w14:paraId="679B3399">
                  <w:pPr>
                    <w:pStyle w:val="31"/>
                    <w:bidi w:val="0"/>
                    <w:jc w:val="center"/>
                    <w:rPr>
                      <w:rFonts w:hint="default" w:ascii="Times New Roman" w:hAnsi="Times New Roman" w:cs="Times New Roman"/>
                      <w:color w:val="000000"/>
                      <w:highlight w:val="none"/>
                      <w:lang w:val="en-US" w:eastAsia="zh-CN"/>
                    </w:rPr>
                  </w:pPr>
                </w:p>
              </w:tc>
              <w:tc>
                <w:tcPr>
                  <w:tcW w:w="425" w:type="pct"/>
                  <w:vMerge w:val="restart"/>
                  <w:noWrap w:val="0"/>
                  <w:vAlign w:val="center"/>
                </w:tcPr>
                <w:p w14:paraId="1B10B471">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400总吨以下船舶</w:t>
                  </w:r>
                </w:p>
              </w:tc>
              <w:tc>
                <w:tcPr>
                  <w:tcW w:w="446" w:type="pct"/>
                  <w:noWrap w:val="0"/>
                  <w:vAlign w:val="center"/>
                </w:tcPr>
                <w:p w14:paraId="46DFAEC3">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非渔业船舶</w:t>
                  </w:r>
                </w:p>
              </w:tc>
              <w:tc>
                <w:tcPr>
                  <w:tcW w:w="3062" w:type="pct"/>
                  <w:noWrap w:val="0"/>
                  <w:vAlign w:val="center"/>
                </w:tcPr>
                <w:p w14:paraId="3C70F1BC">
                  <w:pPr>
                    <w:pStyle w:val="31"/>
                    <w:bidi w:val="0"/>
                    <w:jc w:val="left"/>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自2018年7月1日起，油污水处理装置出水口石油类≤15mg/L，在船舶航行中进行排放，或收集并排入接收设施。</w:t>
                  </w:r>
                </w:p>
              </w:tc>
            </w:tr>
            <w:tr w14:paraId="2D4082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4" w:type="pct"/>
                  <w:vMerge w:val="continue"/>
                  <w:noWrap w:val="0"/>
                  <w:vAlign w:val="center"/>
                </w:tcPr>
                <w:p w14:paraId="51F8E1FC">
                  <w:pPr>
                    <w:pStyle w:val="31"/>
                    <w:bidi w:val="0"/>
                    <w:jc w:val="center"/>
                    <w:rPr>
                      <w:rFonts w:hint="default" w:ascii="Times New Roman" w:hAnsi="Times New Roman" w:cs="Times New Roman"/>
                      <w:color w:val="000000"/>
                      <w:highlight w:val="none"/>
                      <w:lang w:val="en-US" w:eastAsia="zh-CN"/>
                    </w:rPr>
                  </w:pPr>
                </w:p>
              </w:tc>
              <w:tc>
                <w:tcPr>
                  <w:tcW w:w="671" w:type="pct"/>
                  <w:vMerge w:val="continue"/>
                  <w:noWrap w:val="0"/>
                  <w:vAlign w:val="center"/>
                </w:tcPr>
                <w:p w14:paraId="50C6013C">
                  <w:pPr>
                    <w:pStyle w:val="31"/>
                    <w:bidi w:val="0"/>
                    <w:jc w:val="center"/>
                    <w:rPr>
                      <w:rFonts w:hint="default" w:ascii="Times New Roman" w:hAnsi="Times New Roman" w:cs="Times New Roman"/>
                      <w:color w:val="000000"/>
                      <w:highlight w:val="none"/>
                      <w:lang w:val="en-US" w:eastAsia="zh-CN"/>
                    </w:rPr>
                  </w:pPr>
                </w:p>
              </w:tc>
              <w:tc>
                <w:tcPr>
                  <w:tcW w:w="425" w:type="pct"/>
                  <w:vMerge w:val="continue"/>
                  <w:noWrap w:val="0"/>
                  <w:vAlign w:val="center"/>
                </w:tcPr>
                <w:p w14:paraId="60DC8239">
                  <w:pPr>
                    <w:pStyle w:val="31"/>
                    <w:bidi w:val="0"/>
                    <w:jc w:val="center"/>
                    <w:rPr>
                      <w:rFonts w:hint="default" w:ascii="Times New Roman" w:hAnsi="Times New Roman" w:cs="Times New Roman"/>
                      <w:color w:val="000000"/>
                      <w:highlight w:val="none"/>
                      <w:lang w:val="en-US" w:eastAsia="zh-CN"/>
                    </w:rPr>
                  </w:pPr>
                </w:p>
              </w:tc>
              <w:tc>
                <w:tcPr>
                  <w:tcW w:w="446" w:type="pct"/>
                  <w:noWrap w:val="0"/>
                  <w:vAlign w:val="center"/>
                </w:tcPr>
                <w:p w14:paraId="51A3C644">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渔业船舶</w:t>
                  </w:r>
                </w:p>
              </w:tc>
              <w:tc>
                <w:tcPr>
                  <w:tcW w:w="3062" w:type="pct"/>
                  <w:noWrap w:val="0"/>
                  <w:vAlign w:val="center"/>
                </w:tcPr>
                <w:p w14:paraId="1A1CA746">
                  <w:pPr>
                    <w:pStyle w:val="31"/>
                    <w:bidi w:val="0"/>
                    <w:jc w:val="left"/>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（1）自2018年7月1日起至2020年12月31日止，油污水处理装置出水口石油类≤15mg/L，在船舶航行中进行排放；</w:t>
                  </w:r>
                </w:p>
                <w:p w14:paraId="73E9BBB0">
                  <w:pPr>
                    <w:pStyle w:val="31"/>
                    <w:bidi w:val="0"/>
                    <w:jc w:val="left"/>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（2）自2021年1月1日起，油污水处理装置出水口石油类≤15mg/L，在船舶航行中进行排放，或收集并排入接收设施。</w:t>
                  </w:r>
                </w:p>
              </w:tc>
            </w:tr>
            <w:tr w14:paraId="000856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4" w:type="pct"/>
                  <w:vMerge w:val="restart"/>
                  <w:noWrap w:val="0"/>
                  <w:vAlign w:val="center"/>
                </w:tcPr>
                <w:p w14:paraId="42AE2D03">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含货油残余物的油污水</w:t>
                  </w:r>
                </w:p>
              </w:tc>
              <w:tc>
                <w:tcPr>
                  <w:tcW w:w="671" w:type="pct"/>
                  <w:vMerge w:val="restart"/>
                  <w:noWrap w:val="0"/>
                  <w:vAlign w:val="center"/>
                </w:tcPr>
                <w:p w14:paraId="05749365">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沿海</w:t>
                  </w:r>
                </w:p>
              </w:tc>
              <w:tc>
                <w:tcPr>
                  <w:tcW w:w="871" w:type="pct"/>
                  <w:gridSpan w:val="2"/>
                  <w:noWrap w:val="0"/>
                  <w:vAlign w:val="center"/>
                </w:tcPr>
                <w:p w14:paraId="0D307E8C">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150总吨及以上油船</w:t>
                  </w:r>
                </w:p>
              </w:tc>
              <w:tc>
                <w:tcPr>
                  <w:tcW w:w="3062" w:type="pct"/>
                  <w:noWrap w:val="0"/>
                  <w:vAlign w:val="center"/>
                </w:tcPr>
                <w:p w14:paraId="79A9EE8B">
                  <w:pPr>
                    <w:pStyle w:val="31"/>
                    <w:bidi w:val="0"/>
                    <w:jc w:val="left"/>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自2018年7月1日起，收集并排入接收设施，或在船舶航行中排放，并同时满足下列条件：</w:t>
                  </w:r>
                </w:p>
                <w:p w14:paraId="5652EBF1">
                  <w:pPr>
                    <w:pStyle w:val="31"/>
                    <w:bidi w:val="0"/>
                    <w:jc w:val="left"/>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（1）油船距最近陆地50海里以上；</w:t>
                  </w:r>
                </w:p>
                <w:p w14:paraId="05D79CA6">
                  <w:pPr>
                    <w:pStyle w:val="31"/>
                    <w:bidi w:val="0"/>
                    <w:jc w:val="left"/>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（2）排入海中油污水含油量瞬间排放率不超过30升/海里；</w:t>
                  </w:r>
                </w:p>
                <w:p w14:paraId="66AD32B4">
                  <w:pPr>
                    <w:pStyle w:val="31"/>
                    <w:bidi w:val="0"/>
                    <w:jc w:val="left"/>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（3）排入海中油污水含油量不得超过货油总量的1/30000；</w:t>
                  </w:r>
                </w:p>
                <w:p w14:paraId="51A632C3">
                  <w:pPr>
                    <w:pStyle w:val="31"/>
                    <w:bidi w:val="0"/>
                    <w:jc w:val="left"/>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（4）排油监控系统运转正常。</w:t>
                  </w:r>
                </w:p>
              </w:tc>
            </w:tr>
            <w:tr w14:paraId="50B6D2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4" w:type="pct"/>
                  <w:vMerge w:val="continue"/>
                  <w:noWrap w:val="0"/>
                  <w:vAlign w:val="center"/>
                </w:tcPr>
                <w:p w14:paraId="133788A9">
                  <w:pPr>
                    <w:pStyle w:val="31"/>
                    <w:bidi w:val="0"/>
                    <w:jc w:val="center"/>
                    <w:rPr>
                      <w:rFonts w:hint="default" w:ascii="Times New Roman" w:hAnsi="Times New Roman" w:cs="Times New Roman"/>
                      <w:color w:val="000000"/>
                      <w:highlight w:val="none"/>
                      <w:lang w:val="en-US" w:eastAsia="zh-CN"/>
                    </w:rPr>
                  </w:pPr>
                </w:p>
              </w:tc>
              <w:tc>
                <w:tcPr>
                  <w:tcW w:w="671" w:type="pct"/>
                  <w:vMerge w:val="continue"/>
                  <w:noWrap w:val="0"/>
                  <w:vAlign w:val="center"/>
                </w:tcPr>
                <w:p w14:paraId="57510CA1">
                  <w:pPr>
                    <w:pStyle w:val="31"/>
                    <w:bidi w:val="0"/>
                    <w:jc w:val="center"/>
                    <w:rPr>
                      <w:rFonts w:hint="default" w:ascii="Times New Roman" w:hAnsi="Times New Roman" w:cs="Times New Roman"/>
                      <w:color w:val="000000"/>
                      <w:highlight w:val="none"/>
                      <w:lang w:val="en-US" w:eastAsia="zh-CN"/>
                    </w:rPr>
                  </w:pPr>
                </w:p>
              </w:tc>
              <w:tc>
                <w:tcPr>
                  <w:tcW w:w="871" w:type="pct"/>
                  <w:gridSpan w:val="2"/>
                  <w:noWrap w:val="0"/>
                  <w:vAlign w:val="center"/>
                </w:tcPr>
                <w:p w14:paraId="7939A91C">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150总吨以下油船</w:t>
                  </w:r>
                </w:p>
              </w:tc>
              <w:tc>
                <w:tcPr>
                  <w:tcW w:w="3062" w:type="pct"/>
                  <w:noWrap w:val="0"/>
                  <w:vAlign w:val="center"/>
                </w:tcPr>
                <w:p w14:paraId="42C6CA77">
                  <w:pPr>
                    <w:pStyle w:val="31"/>
                    <w:bidi w:val="0"/>
                    <w:jc w:val="left"/>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自2018年7月1日起，收集并排入接收设施。</w:t>
                  </w:r>
                </w:p>
              </w:tc>
            </w:tr>
            <w:tr w14:paraId="57A06F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4" w:type="pct"/>
                  <w:vMerge w:val="restart"/>
                  <w:noWrap w:val="0"/>
                  <w:vAlign w:val="center"/>
                </w:tcPr>
                <w:p w14:paraId="5B8CBD31">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船舶生活污水</w:t>
                  </w:r>
                </w:p>
              </w:tc>
              <w:tc>
                <w:tcPr>
                  <w:tcW w:w="671" w:type="pct"/>
                  <w:noWrap w:val="0"/>
                  <w:vAlign w:val="center"/>
                </w:tcPr>
                <w:p w14:paraId="6D5F575C">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在距最近陆地3海里以内（含）的海域</w:t>
                  </w:r>
                </w:p>
              </w:tc>
              <w:tc>
                <w:tcPr>
                  <w:tcW w:w="871" w:type="pct"/>
                  <w:gridSpan w:val="2"/>
                  <w:vMerge w:val="restart"/>
                  <w:noWrap w:val="0"/>
                  <w:vAlign w:val="center"/>
                </w:tcPr>
                <w:p w14:paraId="2C2E607E">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400总吨及以上的船舶，以及400总吨以下且经核定许可载运15人及以上的船舶</w:t>
                  </w:r>
                </w:p>
              </w:tc>
              <w:tc>
                <w:tcPr>
                  <w:tcW w:w="3062" w:type="pct"/>
                  <w:noWrap w:val="0"/>
                  <w:vAlign w:val="center"/>
                </w:tcPr>
                <w:p w14:paraId="0A9CD83E">
                  <w:pPr>
                    <w:pStyle w:val="31"/>
                    <w:bidi w:val="0"/>
                    <w:jc w:val="left"/>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（1）利用船载收集装置收集，排入接收设施；</w:t>
                  </w:r>
                </w:p>
                <w:p w14:paraId="7AE6B0E9">
                  <w:pPr>
                    <w:pStyle w:val="31"/>
                    <w:bidi w:val="0"/>
                    <w:jc w:val="left"/>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（2）利用船载生活污水处理装置处理，达到</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REF _Ref18585 \h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3.17</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3</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val="en-US" w:eastAsia="zh-CN"/>
                    </w:rPr>
                    <w:t>要求后在航行中排放。</w:t>
                  </w:r>
                </w:p>
              </w:tc>
            </w:tr>
            <w:tr w14:paraId="6B71AB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4" w:type="pct"/>
                  <w:vMerge w:val="continue"/>
                  <w:noWrap w:val="0"/>
                  <w:vAlign w:val="center"/>
                </w:tcPr>
                <w:p w14:paraId="4E2F6D36">
                  <w:pPr>
                    <w:pStyle w:val="31"/>
                    <w:bidi w:val="0"/>
                    <w:jc w:val="center"/>
                    <w:rPr>
                      <w:rFonts w:hint="default" w:ascii="Times New Roman" w:hAnsi="Times New Roman" w:cs="Times New Roman"/>
                      <w:color w:val="000000"/>
                      <w:highlight w:val="none"/>
                      <w:lang w:val="en-US" w:eastAsia="zh-CN"/>
                    </w:rPr>
                  </w:pPr>
                </w:p>
              </w:tc>
              <w:tc>
                <w:tcPr>
                  <w:tcW w:w="671" w:type="pct"/>
                  <w:noWrap w:val="0"/>
                  <w:vAlign w:val="center"/>
                </w:tcPr>
                <w:p w14:paraId="4304E2E5">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3海里&lt;与最近陆地间距离≤12海里的海域</w:t>
                  </w:r>
                </w:p>
              </w:tc>
              <w:tc>
                <w:tcPr>
                  <w:tcW w:w="871" w:type="pct"/>
                  <w:gridSpan w:val="2"/>
                  <w:vMerge w:val="continue"/>
                  <w:noWrap w:val="0"/>
                  <w:vAlign w:val="center"/>
                </w:tcPr>
                <w:p w14:paraId="4D463101">
                  <w:pPr>
                    <w:pStyle w:val="31"/>
                    <w:bidi w:val="0"/>
                    <w:jc w:val="center"/>
                    <w:rPr>
                      <w:rFonts w:hint="default" w:ascii="Times New Roman" w:hAnsi="Times New Roman" w:cs="Times New Roman"/>
                      <w:color w:val="000000"/>
                      <w:highlight w:val="none"/>
                      <w:lang w:val="en-US" w:eastAsia="zh-CN"/>
                    </w:rPr>
                  </w:pPr>
                </w:p>
              </w:tc>
              <w:tc>
                <w:tcPr>
                  <w:tcW w:w="3062" w:type="pct"/>
                  <w:noWrap w:val="0"/>
                  <w:vAlign w:val="center"/>
                </w:tcPr>
                <w:p w14:paraId="76856A5E">
                  <w:pPr>
                    <w:pStyle w:val="31"/>
                    <w:bidi w:val="0"/>
                    <w:jc w:val="left"/>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（1）使用设备打碎固形物和消毒后排放；</w:t>
                  </w:r>
                </w:p>
                <w:p w14:paraId="57805B6E">
                  <w:pPr>
                    <w:pStyle w:val="31"/>
                    <w:bidi w:val="0"/>
                    <w:jc w:val="left"/>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（2）船速不低于4节</w:t>
                  </w:r>
                  <w:r>
                    <w:rPr>
                      <w:rFonts w:hint="eastAsia" w:cs="Times New Roman"/>
                      <w:color w:val="000000"/>
                      <w:highlight w:val="none"/>
                      <w:lang w:val="en-US" w:eastAsia="zh-CN"/>
                    </w:rPr>
                    <w:t>且</w:t>
                  </w:r>
                  <w:r>
                    <w:rPr>
                      <w:rFonts w:hint="default" w:ascii="Times New Roman" w:hAnsi="Times New Roman" w:cs="Times New Roman"/>
                      <w:color w:val="000000"/>
                      <w:highlight w:val="none"/>
                      <w:lang w:val="en-US" w:eastAsia="zh-CN"/>
                    </w:rPr>
                    <w:t>生活污水排放速率不超过相应船速下的最大允许排放速率。</w:t>
                  </w:r>
                </w:p>
              </w:tc>
            </w:tr>
            <w:tr w14:paraId="09EBAF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4" w:type="pct"/>
                  <w:vMerge w:val="continue"/>
                  <w:noWrap w:val="0"/>
                  <w:vAlign w:val="center"/>
                </w:tcPr>
                <w:p w14:paraId="0D7C241B">
                  <w:pPr>
                    <w:pStyle w:val="31"/>
                    <w:bidi w:val="0"/>
                    <w:jc w:val="center"/>
                    <w:rPr>
                      <w:rFonts w:hint="default" w:ascii="Times New Roman" w:hAnsi="Times New Roman" w:cs="Times New Roman"/>
                      <w:color w:val="000000"/>
                      <w:highlight w:val="none"/>
                      <w:lang w:val="en-US" w:eastAsia="zh-CN"/>
                    </w:rPr>
                  </w:pPr>
                </w:p>
              </w:tc>
              <w:tc>
                <w:tcPr>
                  <w:tcW w:w="671" w:type="pct"/>
                  <w:noWrap w:val="0"/>
                  <w:vAlign w:val="center"/>
                </w:tcPr>
                <w:p w14:paraId="57381523">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与最近陆地间距离&gt;12海里的海域</w:t>
                  </w:r>
                </w:p>
              </w:tc>
              <w:tc>
                <w:tcPr>
                  <w:tcW w:w="871" w:type="pct"/>
                  <w:gridSpan w:val="2"/>
                  <w:vMerge w:val="continue"/>
                  <w:noWrap w:val="0"/>
                  <w:vAlign w:val="center"/>
                </w:tcPr>
                <w:p w14:paraId="056F0DC2">
                  <w:pPr>
                    <w:pStyle w:val="31"/>
                    <w:bidi w:val="0"/>
                    <w:jc w:val="center"/>
                    <w:rPr>
                      <w:rFonts w:hint="default" w:ascii="Times New Roman" w:hAnsi="Times New Roman" w:cs="Times New Roman"/>
                      <w:color w:val="000000"/>
                      <w:highlight w:val="none"/>
                      <w:lang w:val="en-US" w:eastAsia="zh-CN"/>
                    </w:rPr>
                  </w:pPr>
                </w:p>
              </w:tc>
              <w:tc>
                <w:tcPr>
                  <w:tcW w:w="3062" w:type="pct"/>
                  <w:noWrap w:val="0"/>
                  <w:vAlign w:val="center"/>
                </w:tcPr>
                <w:p w14:paraId="275B5EC4">
                  <w:pPr>
                    <w:pStyle w:val="31"/>
                    <w:bidi w:val="0"/>
                    <w:jc w:val="left"/>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船速不低于4节</w:t>
                  </w:r>
                  <w:r>
                    <w:rPr>
                      <w:rFonts w:hint="eastAsia" w:cs="Times New Roman"/>
                      <w:color w:val="000000"/>
                      <w:highlight w:val="none"/>
                      <w:lang w:val="en-US" w:eastAsia="zh-CN"/>
                    </w:rPr>
                    <w:t>且</w:t>
                  </w:r>
                  <w:r>
                    <w:rPr>
                      <w:rFonts w:hint="default" w:ascii="Times New Roman" w:hAnsi="Times New Roman" w:cs="Times New Roman"/>
                      <w:color w:val="000000"/>
                      <w:highlight w:val="none"/>
                      <w:lang w:val="en-US" w:eastAsia="zh-CN"/>
                    </w:rPr>
                    <w:t>生活污水排放速率不超过相应船速下的最大允许排放速率。</w:t>
                  </w:r>
                </w:p>
              </w:tc>
            </w:tr>
            <w:tr w14:paraId="5790E8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4" w:type="pct"/>
                  <w:vMerge w:val="continue"/>
                  <w:noWrap w:val="0"/>
                  <w:vAlign w:val="center"/>
                </w:tcPr>
                <w:p w14:paraId="4FCC3EA0">
                  <w:pPr>
                    <w:pStyle w:val="31"/>
                    <w:bidi w:val="0"/>
                    <w:jc w:val="center"/>
                    <w:rPr>
                      <w:rFonts w:hint="default" w:ascii="Times New Roman" w:hAnsi="Times New Roman" w:cs="Times New Roman"/>
                      <w:color w:val="000000"/>
                      <w:highlight w:val="none"/>
                      <w:lang w:val="en-US" w:eastAsia="zh-CN"/>
                    </w:rPr>
                  </w:pPr>
                </w:p>
              </w:tc>
              <w:tc>
                <w:tcPr>
                  <w:tcW w:w="671" w:type="pct"/>
                  <w:noWrap w:val="0"/>
                  <w:vAlign w:val="center"/>
                </w:tcPr>
                <w:p w14:paraId="33A16A4F">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在距最近陆地3海里以内（含）的海域</w:t>
                  </w:r>
                </w:p>
              </w:tc>
              <w:tc>
                <w:tcPr>
                  <w:tcW w:w="3933" w:type="pct"/>
                  <w:gridSpan w:val="3"/>
                  <w:noWrap w:val="0"/>
                  <w:vAlign w:val="center"/>
                </w:tcPr>
                <w:p w14:paraId="2AC1B982">
                  <w:pPr>
                    <w:pStyle w:val="31"/>
                    <w:bidi w:val="0"/>
                    <w:jc w:val="left"/>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根据船舶类别和安装（含更换）生活污水处理装置的时间，利用船载生活污水处理装置处理的船舶生活污水分别执行相应的污染物排放限值（</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REF _Ref18585 \h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3.17</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3</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val="en-US" w:eastAsia="zh-CN"/>
                    </w:rPr>
                    <w:t>）。</w:t>
                  </w:r>
                </w:p>
              </w:tc>
            </w:tr>
          </w:tbl>
          <w:p w14:paraId="7DF80913">
            <w:pPr>
              <w:pStyle w:val="11"/>
              <w:rPr>
                <w:rFonts w:hint="default" w:ascii="Times New Roman" w:hAnsi="Times New Roman" w:cs="Times New Roman"/>
                <w:color w:val="000000"/>
                <w:highlight w:val="none"/>
                <w:lang w:val="en-US" w:eastAsia="zh-CN"/>
              </w:rPr>
            </w:pPr>
            <w:bookmarkStart w:id="255" w:name="_Ref18585"/>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3.17</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表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w:t>
            </w:r>
            <w:r>
              <w:rPr>
                <w:rFonts w:hint="default" w:ascii="Times New Roman" w:hAnsi="Times New Roman" w:cs="Times New Roman"/>
                <w:color w:val="000000"/>
                <w:highlight w:val="none"/>
              </w:rPr>
              <w:fldChar w:fldCharType="end"/>
            </w:r>
            <w:bookmarkEnd w:id="255"/>
            <w:r>
              <w:rPr>
                <w:rFonts w:hint="default" w:ascii="Times New Roman" w:hAnsi="Times New Roman" w:cs="Times New Roman"/>
                <w:color w:val="000000"/>
                <w:highlight w:val="none"/>
                <w:lang w:val="en-US" w:eastAsia="zh-CN"/>
              </w:rPr>
              <w:t xml:space="preserve"> 船舶生活污水污染物排放限值</w:t>
            </w:r>
          </w:p>
          <w:tbl>
            <w:tblPr>
              <w:tblStyle w:val="22"/>
              <w:tblW w:w="859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0"/>
              <w:gridCol w:w="2941"/>
              <w:gridCol w:w="1825"/>
              <w:gridCol w:w="901"/>
              <w:gridCol w:w="827"/>
              <w:gridCol w:w="1383"/>
            </w:tblGrid>
            <w:tr w14:paraId="6F5240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7" w:hRule="atLeast"/>
                <w:tblHeader/>
              </w:trPr>
              <w:tc>
                <w:tcPr>
                  <w:tcW w:w="720" w:type="dxa"/>
                  <w:noWrap w:val="0"/>
                  <w:vAlign w:val="center"/>
                </w:tcPr>
                <w:p w14:paraId="377F0E40">
                  <w:pPr>
                    <w:pStyle w:val="31"/>
                    <w:bidi w:val="0"/>
                    <w:jc w:val="center"/>
                    <w:rPr>
                      <w:rFonts w:hint="default" w:ascii="Times New Roman" w:hAnsi="Times New Roman" w:cs="Times New Roman"/>
                      <w:b/>
                      <w:bCs/>
                      <w:color w:val="000000"/>
                      <w:highlight w:val="none"/>
                      <w:vertAlign w:val="baseline"/>
                      <w:lang w:val="en-US" w:eastAsia="zh-CN"/>
                    </w:rPr>
                  </w:pPr>
                  <w:r>
                    <w:rPr>
                      <w:rFonts w:hint="default" w:ascii="Times New Roman" w:hAnsi="Times New Roman" w:cs="Times New Roman"/>
                      <w:b/>
                      <w:bCs/>
                      <w:color w:val="000000"/>
                      <w:highlight w:val="none"/>
                      <w:vertAlign w:val="baseline"/>
                      <w:lang w:val="en-US" w:eastAsia="zh-CN"/>
                    </w:rPr>
                    <w:t>序号</w:t>
                  </w:r>
                </w:p>
              </w:tc>
              <w:tc>
                <w:tcPr>
                  <w:tcW w:w="2941" w:type="dxa"/>
                  <w:noWrap w:val="0"/>
                  <w:vAlign w:val="center"/>
                </w:tcPr>
                <w:p w14:paraId="35EC8AE5">
                  <w:pPr>
                    <w:pStyle w:val="31"/>
                    <w:bidi w:val="0"/>
                    <w:jc w:val="center"/>
                    <w:rPr>
                      <w:rFonts w:hint="default" w:ascii="Times New Roman" w:hAnsi="Times New Roman" w:cs="Times New Roman"/>
                      <w:b/>
                      <w:bCs/>
                      <w:color w:val="000000"/>
                      <w:highlight w:val="none"/>
                      <w:vertAlign w:val="baseline"/>
                      <w:lang w:val="en-US" w:eastAsia="zh-CN"/>
                    </w:rPr>
                  </w:pPr>
                  <w:r>
                    <w:rPr>
                      <w:rFonts w:hint="default" w:ascii="Times New Roman" w:hAnsi="Times New Roman" w:cs="Times New Roman"/>
                      <w:b/>
                      <w:bCs/>
                      <w:color w:val="000000"/>
                      <w:highlight w:val="none"/>
                      <w:lang w:val="en-US" w:eastAsia="zh-CN"/>
                    </w:rPr>
                    <w:t>安装（含更换）生活污水处理装置的时间</w:t>
                  </w:r>
                </w:p>
              </w:tc>
              <w:tc>
                <w:tcPr>
                  <w:tcW w:w="1825" w:type="dxa"/>
                  <w:noWrap w:val="0"/>
                  <w:vAlign w:val="center"/>
                </w:tcPr>
                <w:p w14:paraId="7BCB36ED">
                  <w:pPr>
                    <w:pStyle w:val="31"/>
                    <w:bidi w:val="0"/>
                    <w:ind w:firstLine="0" w:firstLineChars="0"/>
                    <w:jc w:val="center"/>
                    <w:rPr>
                      <w:rFonts w:hint="default" w:ascii="Times New Roman" w:hAnsi="Times New Roman" w:cs="Times New Roman"/>
                      <w:b/>
                      <w:bCs/>
                      <w:color w:val="000000"/>
                      <w:highlight w:val="none"/>
                      <w:vertAlign w:val="baseline"/>
                      <w:lang w:val="en-US" w:eastAsia="zh-CN"/>
                    </w:rPr>
                  </w:pPr>
                  <w:r>
                    <w:rPr>
                      <w:rFonts w:hint="default" w:ascii="Times New Roman" w:hAnsi="Times New Roman" w:cs="Times New Roman"/>
                      <w:b/>
                      <w:bCs/>
                      <w:color w:val="000000"/>
                      <w:highlight w:val="none"/>
                      <w:vertAlign w:val="baseline"/>
                      <w:lang w:val="en-US" w:eastAsia="zh-CN"/>
                    </w:rPr>
                    <w:t>污染物项目</w:t>
                  </w:r>
                </w:p>
              </w:tc>
              <w:tc>
                <w:tcPr>
                  <w:tcW w:w="901" w:type="dxa"/>
                  <w:noWrap w:val="0"/>
                  <w:vAlign w:val="center"/>
                </w:tcPr>
                <w:p w14:paraId="296A9305">
                  <w:pPr>
                    <w:pStyle w:val="31"/>
                    <w:bidi w:val="0"/>
                    <w:ind w:firstLine="0" w:firstLineChars="0"/>
                    <w:jc w:val="center"/>
                    <w:rPr>
                      <w:rFonts w:hint="default" w:ascii="Times New Roman" w:hAnsi="Times New Roman" w:cs="Times New Roman"/>
                      <w:b/>
                      <w:bCs/>
                      <w:color w:val="000000"/>
                      <w:highlight w:val="none"/>
                      <w:vertAlign w:val="baseline"/>
                      <w:lang w:val="en-US" w:eastAsia="zh-CN"/>
                    </w:rPr>
                  </w:pPr>
                  <w:r>
                    <w:rPr>
                      <w:rFonts w:hint="default" w:ascii="Times New Roman" w:hAnsi="Times New Roman" w:cs="Times New Roman"/>
                      <w:b/>
                      <w:bCs/>
                      <w:color w:val="000000"/>
                      <w:highlight w:val="none"/>
                      <w:vertAlign w:val="baseline"/>
                      <w:lang w:val="en-US" w:eastAsia="zh-CN"/>
                    </w:rPr>
                    <w:t>限值</w:t>
                  </w:r>
                </w:p>
              </w:tc>
              <w:tc>
                <w:tcPr>
                  <w:tcW w:w="827" w:type="dxa"/>
                  <w:noWrap w:val="0"/>
                  <w:vAlign w:val="center"/>
                </w:tcPr>
                <w:p w14:paraId="54E81B18">
                  <w:pPr>
                    <w:pStyle w:val="31"/>
                    <w:bidi w:val="0"/>
                    <w:ind w:firstLine="0" w:firstLineChars="0"/>
                    <w:jc w:val="center"/>
                    <w:rPr>
                      <w:rFonts w:hint="default" w:ascii="Times New Roman" w:hAnsi="Times New Roman" w:cs="Times New Roman"/>
                      <w:b/>
                      <w:bCs/>
                      <w:color w:val="000000"/>
                      <w:highlight w:val="none"/>
                      <w:vertAlign w:val="baseline"/>
                      <w:lang w:val="en-US" w:eastAsia="zh-CN"/>
                    </w:rPr>
                  </w:pPr>
                  <w:r>
                    <w:rPr>
                      <w:rFonts w:hint="default" w:ascii="Times New Roman" w:hAnsi="Times New Roman" w:cs="Times New Roman"/>
                      <w:b/>
                      <w:bCs/>
                      <w:color w:val="000000"/>
                      <w:highlight w:val="none"/>
                      <w:vertAlign w:val="baseline"/>
                      <w:lang w:val="en-US" w:eastAsia="zh-CN"/>
                    </w:rPr>
                    <w:t>单位</w:t>
                  </w:r>
                </w:p>
              </w:tc>
              <w:tc>
                <w:tcPr>
                  <w:tcW w:w="1383" w:type="dxa"/>
                  <w:noWrap w:val="0"/>
                  <w:vAlign w:val="center"/>
                </w:tcPr>
                <w:p w14:paraId="27D4371B">
                  <w:pPr>
                    <w:pStyle w:val="31"/>
                    <w:bidi w:val="0"/>
                    <w:ind w:firstLine="0" w:firstLineChars="0"/>
                    <w:jc w:val="center"/>
                    <w:rPr>
                      <w:rFonts w:hint="default" w:ascii="Times New Roman" w:hAnsi="Times New Roman" w:cs="Times New Roman"/>
                      <w:b/>
                      <w:bCs/>
                      <w:color w:val="000000"/>
                      <w:highlight w:val="none"/>
                      <w:vertAlign w:val="baseline"/>
                      <w:lang w:val="en-US" w:eastAsia="zh-CN"/>
                    </w:rPr>
                  </w:pPr>
                  <w:r>
                    <w:rPr>
                      <w:rFonts w:hint="default" w:ascii="Times New Roman" w:hAnsi="Times New Roman" w:cs="Times New Roman"/>
                      <w:b/>
                      <w:bCs/>
                      <w:color w:val="000000"/>
                      <w:highlight w:val="none"/>
                      <w:vertAlign w:val="baseline"/>
                      <w:lang w:val="en-US" w:eastAsia="zh-CN"/>
                    </w:rPr>
                    <w:t>污染物排放监控位置</w:t>
                  </w:r>
                </w:p>
              </w:tc>
            </w:tr>
            <w:tr w14:paraId="67E550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7" w:hRule="atLeast"/>
              </w:trPr>
              <w:tc>
                <w:tcPr>
                  <w:tcW w:w="720" w:type="dxa"/>
                  <w:vMerge w:val="restart"/>
                  <w:noWrap w:val="0"/>
                  <w:vAlign w:val="center"/>
                </w:tcPr>
                <w:p w14:paraId="482580FE">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1</w:t>
                  </w:r>
                </w:p>
              </w:tc>
              <w:tc>
                <w:tcPr>
                  <w:tcW w:w="2941" w:type="dxa"/>
                  <w:vMerge w:val="restart"/>
                  <w:noWrap w:val="0"/>
                  <w:vAlign w:val="center"/>
                </w:tcPr>
                <w:p w14:paraId="6591589F">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在2012年1月1日以前安装（含更换）生活污水处理装置的船舶，向环境水体排放生活污水</w:t>
                  </w:r>
                </w:p>
              </w:tc>
              <w:tc>
                <w:tcPr>
                  <w:tcW w:w="1825" w:type="dxa"/>
                  <w:noWrap w:val="0"/>
                  <w:vAlign w:val="center"/>
                </w:tcPr>
                <w:p w14:paraId="0C2E26FC">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lang w:val="en-US" w:eastAsia="zh-CN"/>
                    </w:rPr>
                    <w:t>五日生化需氧量（BOD</w:t>
                  </w:r>
                  <w:r>
                    <w:rPr>
                      <w:rFonts w:hint="default" w:ascii="Times New Roman" w:hAnsi="Times New Roman" w:cs="Times New Roman"/>
                      <w:color w:val="000000"/>
                      <w:highlight w:val="none"/>
                      <w:vertAlign w:val="subscript"/>
                      <w:lang w:val="en-US" w:eastAsia="zh-CN"/>
                    </w:rPr>
                    <w:t>5</w:t>
                  </w:r>
                  <w:r>
                    <w:rPr>
                      <w:rFonts w:hint="default" w:ascii="Times New Roman" w:hAnsi="Times New Roman" w:cs="Times New Roman"/>
                      <w:color w:val="000000"/>
                      <w:highlight w:val="none"/>
                      <w:lang w:val="en-US" w:eastAsia="zh-CN"/>
                    </w:rPr>
                    <w:t>）</w:t>
                  </w:r>
                </w:p>
              </w:tc>
              <w:tc>
                <w:tcPr>
                  <w:tcW w:w="901" w:type="dxa"/>
                  <w:noWrap w:val="0"/>
                  <w:vAlign w:val="center"/>
                </w:tcPr>
                <w:p w14:paraId="2F3AF310">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50</w:t>
                  </w:r>
                </w:p>
              </w:tc>
              <w:tc>
                <w:tcPr>
                  <w:tcW w:w="827" w:type="dxa"/>
                  <w:noWrap w:val="0"/>
                  <w:vAlign w:val="center"/>
                </w:tcPr>
                <w:p w14:paraId="714190BA">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mg/L</w:t>
                  </w:r>
                </w:p>
              </w:tc>
              <w:tc>
                <w:tcPr>
                  <w:tcW w:w="1383" w:type="dxa"/>
                  <w:vMerge w:val="restart"/>
                  <w:noWrap w:val="0"/>
                  <w:vAlign w:val="center"/>
                </w:tcPr>
                <w:p w14:paraId="4F512EB2">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生活污水处理装置出水口</w:t>
                  </w:r>
                </w:p>
              </w:tc>
            </w:tr>
            <w:tr w14:paraId="783A48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2" w:hRule="atLeast"/>
              </w:trPr>
              <w:tc>
                <w:tcPr>
                  <w:tcW w:w="720" w:type="dxa"/>
                  <w:vMerge w:val="continue"/>
                  <w:noWrap w:val="0"/>
                  <w:vAlign w:val="center"/>
                </w:tcPr>
                <w:p w14:paraId="4283D895">
                  <w:pPr>
                    <w:pStyle w:val="31"/>
                    <w:bidi w:val="0"/>
                    <w:jc w:val="center"/>
                    <w:rPr>
                      <w:rFonts w:hint="default" w:ascii="Times New Roman" w:hAnsi="Times New Roman" w:cs="Times New Roman"/>
                      <w:color w:val="000000"/>
                      <w:highlight w:val="none"/>
                      <w:vertAlign w:val="baseline"/>
                      <w:lang w:val="en-US" w:eastAsia="zh-CN"/>
                    </w:rPr>
                  </w:pPr>
                </w:p>
              </w:tc>
              <w:tc>
                <w:tcPr>
                  <w:tcW w:w="2941" w:type="dxa"/>
                  <w:vMerge w:val="continue"/>
                  <w:noWrap w:val="0"/>
                  <w:vAlign w:val="center"/>
                </w:tcPr>
                <w:p w14:paraId="0CFC46E6">
                  <w:pPr>
                    <w:pStyle w:val="31"/>
                    <w:bidi w:val="0"/>
                    <w:jc w:val="center"/>
                    <w:rPr>
                      <w:rFonts w:hint="default" w:ascii="Times New Roman" w:hAnsi="Times New Roman" w:cs="Times New Roman"/>
                      <w:color w:val="000000"/>
                      <w:highlight w:val="none"/>
                      <w:vertAlign w:val="baseline"/>
                      <w:lang w:val="en-US" w:eastAsia="zh-CN"/>
                    </w:rPr>
                  </w:pPr>
                </w:p>
              </w:tc>
              <w:tc>
                <w:tcPr>
                  <w:tcW w:w="1825" w:type="dxa"/>
                  <w:noWrap w:val="0"/>
                  <w:vAlign w:val="center"/>
                </w:tcPr>
                <w:p w14:paraId="4BD1094C">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悬浮物（SS）</w:t>
                  </w:r>
                </w:p>
              </w:tc>
              <w:tc>
                <w:tcPr>
                  <w:tcW w:w="901" w:type="dxa"/>
                  <w:noWrap w:val="0"/>
                  <w:vAlign w:val="center"/>
                </w:tcPr>
                <w:p w14:paraId="4551817F">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150</w:t>
                  </w:r>
                </w:p>
              </w:tc>
              <w:tc>
                <w:tcPr>
                  <w:tcW w:w="827" w:type="dxa"/>
                  <w:noWrap w:val="0"/>
                  <w:vAlign w:val="center"/>
                </w:tcPr>
                <w:p w14:paraId="06B363B0">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mg/L</w:t>
                  </w:r>
                </w:p>
              </w:tc>
              <w:tc>
                <w:tcPr>
                  <w:tcW w:w="1383" w:type="dxa"/>
                  <w:vMerge w:val="continue"/>
                  <w:noWrap w:val="0"/>
                  <w:vAlign w:val="center"/>
                </w:tcPr>
                <w:p w14:paraId="1FB112C6">
                  <w:pPr>
                    <w:pStyle w:val="31"/>
                    <w:bidi w:val="0"/>
                    <w:jc w:val="center"/>
                    <w:rPr>
                      <w:rFonts w:hint="default" w:ascii="Times New Roman" w:hAnsi="Times New Roman" w:cs="Times New Roman"/>
                      <w:color w:val="000000"/>
                      <w:highlight w:val="none"/>
                      <w:vertAlign w:val="baseline"/>
                      <w:lang w:val="en-US" w:eastAsia="zh-CN"/>
                    </w:rPr>
                  </w:pPr>
                </w:p>
              </w:tc>
            </w:tr>
            <w:tr w14:paraId="22923D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2" w:hRule="atLeast"/>
              </w:trPr>
              <w:tc>
                <w:tcPr>
                  <w:tcW w:w="720" w:type="dxa"/>
                  <w:vMerge w:val="continue"/>
                  <w:noWrap w:val="0"/>
                  <w:vAlign w:val="center"/>
                </w:tcPr>
                <w:p w14:paraId="4C3BB5AD">
                  <w:pPr>
                    <w:pStyle w:val="31"/>
                    <w:bidi w:val="0"/>
                    <w:jc w:val="center"/>
                    <w:rPr>
                      <w:rFonts w:hint="default" w:ascii="Times New Roman" w:hAnsi="Times New Roman" w:cs="Times New Roman"/>
                      <w:color w:val="000000"/>
                      <w:highlight w:val="none"/>
                      <w:vertAlign w:val="baseline"/>
                      <w:lang w:val="en-US" w:eastAsia="zh-CN"/>
                    </w:rPr>
                  </w:pPr>
                </w:p>
              </w:tc>
              <w:tc>
                <w:tcPr>
                  <w:tcW w:w="2941" w:type="dxa"/>
                  <w:vMerge w:val="continue"/>
                  <w:noWrap w:val="0"/>
                  <w:vAlign w:val="center"/>
                </w:tcPr>
                <w:p w14:paraId="4EE8021E">
                  <w:pPr>
                    <w:pStyle w:val="31"/>
                    <w:bidi w:val="0"/>
                    <w:jc w:val="center"/>
                    <w:rPr>
                      <w:rFonts w:hint="default" w:ascii="Times New Roman" w:hAnsi="Times New Roman" w:cs="Times New Roman"/>
                      <w:color w:val="000000"/>
                      <w:highlight w:val="none"/>
                      <w:vertAlign w:val="baseline"/>
                      <w:lang w:val="en-US" w:eastAsia="zh-CN"/>
                    </w:rPr>
                  </w:pPr>
                </w:p>
              </w:tc>
              <w:tc>
                <w:tcPr>
                  <w:tcW w:w="1825" w:type="dxa"/>
                  <w:noWrap w:val="0"/>
                  <w:vAlign w:val="center"/>
                </w:tcPr>
                <w:p w14:paraId="5C20E416">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耐热大肠菌群数</w:t>
                  </w:r>
                </w:p>
              </w:tc>
              <w:tc>
                <w:tcPr>
                  <w:tcW w:w="901" w:type="dxa"/>
                  <w:noWrap w:val="0"/>
                  <w:vAlign w:val="center"/>
                </w:tcPr>
                <w:p w14:paraId="0CD42D71">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2500</w:t>
                  </w:r>
                </w:p>
              </w:tc>
              <w:tc>
                <w:tcPr>
                  <w:tcW w:w="827" w:type="dxa"/>
                  <w:noWrap w:val="0"/>
                  <w:vAlign w:val="center"/>
                </w:tcPr>
                <w:p w14:paraId="4BE7ED44">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个/L</w:t>
                  </w:r>
                </w:p>
              </w:tc>
              <w:tc>
                <w:tcPr>
                  <w:tcW w:w="1383" w:type="dxa"/>
                  <w:vMerge w:val="continue"/>
                  <w:noWrap w:val="0"/>
                  <w:vAlign w:val="center"/>
                </w:tcPr>
                <w:p w14:paraId="4F9308A6">
                  <w:pPr>
                    <w:pStyle w:val="31"/>
                    <w:bidi w:val="0"/>
                    <w:jc w:val="center"/>
                    <w:rPr>
                      <w:rFonts w:hint="default" w:ascii="Times New Roman" w:hAnsi="Times New Roman" w:cs="Times New Roman"/>
                      <w:color w:val="000000"/>
                      <w:highlight w:val="none"/>
                      <w:vertAlign w:val="baseline"/>
                      <w:lang w:val="en-US" w:eastAsia="zh-CN"/>
                    </w:rPr>
                  </w:pPr>
                </w:p>
              </w:tc>
            </w:tr>
            <w:tr w14:paraId="374FD4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7" w:hRule="atLeast"/>
              </w:trPr>
              <w:tc>
                <w:tcPr>
                  <w:tcW w:w="720" w:type="dxa"/>
                  <w:vMerge w:val="restart"/>
                  <w:noWrap w:val="0"/>
                  <w:vAlign w:val="center"/>
                </w:tcPr>
                <w:p w14:paraId="7C04E8FE">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2</w:t>
                  </w:r>
                </w:p>
              </w:tc>
              <w:tc>
                <w:tcPr>
                  <w:tcW w:w="2941" w:type="dxa"/>
                  <w:vMerge w:val="restart"/>
                  <w:noWrap w:val="0"/>
                  <w:vAlign w:val="center"/>
                </w:tcPr>
                <w:p w14:paraId="0EFA5C53">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在2012年1月1日及以后安装（含更换）生活污水处理装置的船舶，向环境水体排放生活污水</w:t>
                  </w:r>
                </w:p>
              </w:tc>
              <w:tc>
                <w:tcPr>
                  <w:tcW w:w="1825" w:type="dxa"/>
                  <w:noWrap w:val="0"/>
                  <w:vAlign w:val="center"/>
                </w:tcPr>
                <w:p w14:paraId="28DFCFE5">
                  <w:pPr>
                    <w:pStyle w:val="31"/>
                    <w:bidi w:val="0"/>
                    <w:ind w:firstLine="0" w:firstLineChars="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lang w:val="en-US" w:eastAsia="zh-CN"/>
                    </w:rPr>
                    <w:t>五日生化需氧量（BOD</w:t>
                  </w:r>
                  <w:r>
                    <w:rPr>
                      <w:rFonts w:hint="default" w:ascii="Times New Roman" w:hAnsi="Times New Roman" w:cs="Times New Roman"/>
                      <w:color w:val="000000"/>
                      <w:highlight w:val="none"/>
                      <w:vertAlign w:val="subscript"/>
                      <w:lang w:val="en-US" w:eastAsia="zh-CN"/>
                    </w:rPr>
                    <w:t>5</w:t>
                  </w:r>
                  <w:r>
                    <w:rPr>
                      <w:rFonts w:hint="default" w:ascii="Times New Roman" w:hAnsi="Times New Roman" w:cs="Times New Roman"/>
                      <w:color w:val="000000"/>
                      <w:highlight w:val="none"/>
                      <w:lang w:val="en-US" w:eastAsia="zh-CN"/>
                    </w:rPr>
                    <w:t>）</w:t>
                  </w:r>
                </w:p>
              </w:tc>
              <w:tc>
                <w:tcPr>
                  <w:tcW w:w="901" w:type="dxa"/>
                  <w:noWrap w:val="0"/>
                  <w:vAlign w:val="center"/>
                </w:tcPr>
                <w:p w14:paraId="098FA5F8">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25</w:t>
                  </w:r>
                </w:p>
              </w:tc>
              <w:tc>
                <w:tcPr>
                  <w:tcW w:w="827" w:type="dxa"/>
                  <w:noWrap w:val="0"/>
                  <w:vAlign w:val="center"/>
                </w:tcPr>
                <w:p w14:paraId="1027AC61">
                  <w:pPr>
                    <w:pStyle w:val="31"/>
                    <w:bidi w:val="0"/>
                    <w:ind w:firstLine="0" w:firstLineChars="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mg/L</w:t>
                  </w:r>
                </w:p>
              </w:tc>
              <w:tc>
                <w:tcPr>
                  <w:tcW w:w="1383" w:type="dxa"/>
                  <w:vMerge w:val="restart"/>
                  <w:noWrap w:val="0"/>
                  <w:vAlign w:val="center"/>
                </w:tcPr>
                <w:p w14:paraId="51313054">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生活污水处理装置出水口</w:t>
                  </w:r>
                </w:p>
              </w:tc>
            </w:tr>
            <w:tr w14:paraId="417279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2" w:hRule="atLeast"/>
              </w:trPr>
              <w:tc>
                <w:tcPr>
                  <w:tcW w:w="720" w:type="dxa"/>
                  <w:vMerge w:val="continue"/>
                  <w:noWrap w:val="0"/>
                  <w:vAlign w:val="center"/>
                </w:tcPr>
                <w:p w14:paraId="71FFC8D4">
                  <w:pPr>
                    <w:pStyle w:val="31"/>
                    <w:bidi w:val="0"/>
                    <w:jc w:val="center"/>
                    <w:rPr>
                      <w:rFonts w:hint="default" w:ascii="Times New Roman" w:hAnsi="Times New Roman" w:cs="Times New Roman"/>
                      <w:color w:val="000000"/>
                      <w:highlight w:val="none"/>
                      <w:vertAlign w:val="baseline"/>
                      <w:lang w:val="en-US" w:eastAsia="zh-CN"/>
                    </w:rPr>
                  </w:pPr>
                </w:p>
              </w:tc>
              <w:tc>
                <w:tcPr>
                  <w:tcW w:w="2941" w:type="dxa"/>
                  <w:vMerge w:val="continue"/>
                  <w:noWrap w:val="0"/>
                  <w:vAlign w:val="center"/>
                </w:tcPr>
                <w:p w14:paraId="527D1679">
                  <w:pPr>
                    <w:pStyle w:val="31"/>
                    <w:bidi w:val="0"/>
                    <w:jc w:val="center"/>
                    <w:rPr>
                      <w:rFonts w:hint="default" w:ascii="Times New Roman" w:hAnsi="Times New Roman" w:cs="Times New Roman"/>
                      <w:color w:val="000000"/>
                      <w:highlight w:val="none"/>
                      <w:vertAlign w:val="baseline"/>
                      <w:lang w:val="en-US" w:eastAsia="zh-CN"/>
                    </w:rPr>
                  </w:pPr>
                </w:p>
              </w:tc>
              <w:tc>
                <w:tcPr>
                  <w:tcW w:w="1825" w:type="dxa"/>
                  <w:noWrap w:val="0"/>
                  <w:vAlign w:val="center"/>
                </w:tcPr>
                <w:p w14:paraId="03D30F14">
                  <w:pPr>
                    <w:pStyle w:val="31"/>
                    <w:bidi w:val="0"/>
                    <w:ind w:firstLine="0" w:firstLineChars="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悬浮物（SS）</w:t>
                  </w:r>
                </w:p>
              </w:tc>
              <w:tc>
                <w:tcPr>
                  <w:tcW w:w="901" w:type="dxa"/>
                  <w:noWrap w:val="0"/>
                  <w:vAlign w:val="center"/>
                </w:tcPr>
                <w:p w14:paraId="6CE4415A">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35</w:t>
                  </w:r>
                </w:p>
              </w:tc>
              <w:tc>
                <w:tcPr>
                  <w:tcW w:w="827" w:type="dxa"/>
                  <w:noWrap w:val="0"/>
                  <w:vAlign w:val="center"/>
                </w:tcPr>
                <w:p w14:paraId="1340BA0E">
                  <w:pPr>
                    <w:pStyle w:val="31"/>
                    <w:bidi w:val="0"/>
                    <w:ind w:firstLine="0" w:firstLineChars="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mg/L</w:t>
                  </w:r>
                </w:p>
              </w:tc>
              <w:tc>
                <w:tcPr>
                  <w:tcW w:w="1383" w:type="dxa"/>
                  <w:vMerge w:val="continue"/>
                  <w:noWrap w:val="0"/>
                  <w:vAlign w:val="center"/>
                </w:tcPr>
                <w:p w14:paraId="2F70089F">
                  <w:pPr>
                    <w:pStyle w:val="31"/>
                    <w:bidi w:val="0"/>
                    <w:jc w:val="center"/>
                    <w:rPr>
                      <w:rFonts w:hint="default" w:ascii="Times New Roman" w:hAnsi="Times New Roman" w:cs="Times New Roman"/>
                      <w:color w:val="000000"/>
                      <w:highlight w:val="none"/>
                      <w:vertAlign w:val="baseline"/>
                      <w:lang w:val="en-US" w:eastAsia="zh-CN"/>
                    </w:rPr>
                  </w:pPr>
                </w:p>
              </w:tc>
            </w:tr>
            <w:tr w14:paraId="070F41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2" w:hRule="atLeast"/>
              </w:trPr>
              <w:tc>
                <w:tcPr>
                  <w:tcW w:w="720" w:type="dxa"/>
                  <w:vMerge w:val="continue"/>
                  <w:noWrap w:val="0"/>
                  <w:vAlign w:val="center"/>
                </w:tcPr>
                <w:p w14:paraId="4017F69A">
                  <w:pPr>
                    <w:pStyle w:val="31"/>
                    <w:bidi w:val="0"/>
                    <w:jc w:val="center"/>
                    <w:rPr>
                      <w:rFonts w:hint="default" w:ascii="Times New Roman" w:hAnsi="Times New Roman" w:cs="Times New Roman"/>
                      <w:color w:val="000000"/>
                      <w:highlight w:val="none"/>
                      <w:vertAlign w:val="baseline"/>
                      <w:lang w:val="en-US" w:eastAsia="zh-CN"/>
                    </w:rPr>
                  </w:pPr>
                </w:p>
              </w:tc>
              <w:tc>
                <w:tcPr>
                  <w:tcW w:w="2941" w:type="dxa"/>
                  <w:vMerge w:val="continue"/>
                  <w:noWrap w:val="0"/>
                  <w:vAlign w:val="center"/>
                </w:tcPr>
                <w:p w14:paraId="7A88A52A">
                  <w:pPr>
                    <w:pStyle w:val="31"/>
                    <w:bidi w:val="0"/>
                    <w:jc w:val="center"/>
                    <w:rPr>
                      <w:rFonts w:hint="default" w:ascii="Times New Roman" w:hAnsi="Times New Roman" w:cs="Times New Roman"/>
                      <w:color w:val="000000"/>
                      <w:highlight w:val="none"/>
                      <w:vertAlign w:val="baseline"/>
                      <w:lang w:val="en-US" w:eastAsia="zh-CN"/>
                    </w:rPr>
                  </w:pPr>
                </w:p>
              </w:tc>
              <w:tc>
                <w:tcPr>
                  <w:tcW w:w="1825" w:type="dxa"/>
                  <w:noWrap w:val="0"/>
                  <w:vAlign w:val="center"/>
                </w:tcPr>
                <w:p w14:paraId="23F8AC9D">
                  <w:pPr>
                    <w:pStyle w:val="31"/>
                    <w:bidi w:val="0"/>
                    <w:ind w:firstLine="0" w:firstLineChars="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耐热大肠菌群数</w:t>
                  </w:r>
                </w:p>
              </w:tc>
              <w:tc>
                <w:tcPr>
                  <w:tcW w:w="901" w:type="dxa"/>
                  <w:noWrap w:val="0"/>
                  <w:vAlign w:val="center"/>
                </w:tcPr>
                <w:p w14:paraId="437FC10B">
                  <w:pPr>
                    <w:pStyle w:val="31"/>
                    <w:bidi w:val="0"/>
                    <w:ind w:firstLine="0" w:firstLineChars="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1000</w:t>
                  </w:r>
                </w:p>
              </w:tc>
              <w:tc>
                <w:tcPr>
                  <w:tcW w:w="827" w:type="dxa"/>
                  <w:noWrap w:val="0"/>
                  <w:vAlign w:val="center"/>
                </w:tcPr>
                <w:p w14:paraId="0A4F8332">
                  <w:pPr>
                    <w:pStyle w:val="31"/>
                    <w:bidi w:val="0"/>
                    <w:ind w:firstLine="0" w:firstLineChars="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个/L</w:t>
                  </w:r>
                </w:p>
              </w:tc>
              <w:tc>
                <w:tcPr>
                  <w:tcW w:w="1383" w:type="dxa"/>
                  <w:vMerge w:val="continue"/>
                  <w:noWrap w:val="0"/>
                  <w:vAlign w:val="center"/>
                </w:tcPr>
                <w:p w14:paraId="77DE185A">
                  <w:pPr>
                    <w:pStyle w:val="31"/>
                    <w:bidi w:val="0"/>
                    <w:jc w:val="center"/>
                    <w:rPr>
                      <w:rFonts w:hint="default" w:ascii="Times New Roman" w:hAnsi="Times New Roman" w:cs="Times New Roman"/>
                      <w:color w:val="000000"/>
                      <w:highlight w:val="none"/>
                      <w:vertAlign w:val="baseline"/>
                      <w:lang w:val="en-US" w:eastAsia="zh-CN"/>
                    </w:rPr>
                  </w:pPr>
                </w:p>
              </w:tc>
            </w:tr>
            <w:tr w14:paraId="4CBE0D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57" w:hRule="atLeast"/>
              </w:trPr>
              <w:tc>
                <w:tcPr>
                  <w:tcW w:w="720" w:type="dxa"/>
                  <w:vMerge w:val="continue"/>
                  <w:noWrap w:val="0"/>
                  <w:vAlign w:val="center"/>
                </w:tcPr>
                <w:p w14:paraId="5CB50B95">
                  <w:pPr>
                    <w:pStyle w:val="31"/>
                    <w:bidi w:val="0"/>
                    <w:jc w:val="center"/>
                    <w:rPr>
                      <w:rFonts w:hint="default" w:ascii="Times New Roman" w:hAnsi="Times New Roman" w:cs="Times New Roman"/>
                      <w:color w:val="000000"/>
                      <w:highlight w:val="none"/>
                      <w:vertAlign w:val="baseline"/>
                      <w:lang w:val="en-US" w:eastAsia="zh-CN"/>
                    </w:rPr>
                  </w:pPr>
                </w:p>
              </w:tc>
              <w:tc>
                <w:tcPr>
                  <w:tcW w:w="2941" w:type="dxa"/>
                  <w:vMerge w:val="continue"/>
                  <w:noWrap w:val="0"/>
                  <w:vAlign w:val="center"/>
                </w:tcPr>
                <w:p w14:paraId="2F90F67A">
                  <w:pPr>
                    <w:pStyle w:val="31"/>
                    <w:bidi w:val="0"/>
                    <w:jc w:val="center"/>
                    <w:rPr>
                      <w:rFonts w:hint="default" w:ascii="Times New Roman" w:hAnsi="Times New Roman" w:cs="Times New Roman"/>
                      <w:color w:val="000000"/>
                      <w:highlight w:val="none"/>
                      <w:vertAlign w:val="baseline"/>
                      <w:lang w:val="en-US" w:eastAsia="zh-CN"/>
                    </w:rPr>
                  </w:pPr>
                </w:p>
              </w:tc>
              <w:tc>
                <w:tcPr>
                  <w:tcW w:w="1825" w:type="dxa"/>
                  <w:noWrap w:val="0"/>
                  <w:vAlign w:val="center"/>
                </w:tcPr>
                <w:p w14:paraId="1F7F8514">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化学需氧量（COD</w:t>
                  </w:r>
                  <w:r>
                    <w:rPr>
                      <w:rFonts w:hint="default" w:ascii="Times New Roman" w:hAnsi="Times New Roman" w:cs="Times New Roman"/>
                      <w:color w:val="000000"/>
                      <w:highlight w:val="none"/>
                      <w:vertAlign w:val="subscript"/>
                      <w:lang w:val="en-US" w:eastAsia="zh-CN"/>
                    </w:rPr>
                    <w:t>Cr</w:t>
                  </w:r>
                  <w:r>
                    <w:rPr>
                      <w:rFonts w:hint="default" w:ascii="Times New Roman" w:hAnsi="Times New Roman" w:cs="Times New Roman"/>
                      <w:color w:val="000000"/>
                      <w:highlight w:val="none"/>
                      <w:vertAlign w:val="baseline"/>
                      <w:lang w:val="en-US" w:eastAsia="zh-CN"/>
                    </w:rPr>
                    <w:t>）</w:t>
                  </w:r>
                </w:p>
              </w:tc>
              <w:tc>
                <w:tcPr>
                  <w:tcW w:w="901" w:type="dxa"/>
                  <w:noWrap w:val="0"/>
                  <w:vAlign w:val="center"/>
                </w:tcPr>
                <w:p w14:paraId="249F6D90">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125</w:t>
                  </w:r>
                </w:p>
              </w:tc>
              <w:tc>
                <w:tcPr>
                  <w:tcW w:w="827" w:type="dxa"/>
                  <w:noWrap w:val="0"/>
                  <w:vAlign w:val="center"/>
                </w:tcPr>
                <w:p w14:paraId="5B45BB3A">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mg/L</w:t>
                  </w:r>
                </w:p>
              </w:tc>
              <w:tc>
                <w:tcPr>
                  <w:tcW w:w="1383" w:type="dxa"/>
                  <w:vMerge w:val="continue"/>
                  <w:noWrap w:val="0"/>
                  <w:vAlign w:val="center"/>
                </w:tcPr>
                <w:p w14:paraId="3627CD9A">
                  <w:pPr>
                    <w:pStyle w:val="31"/>
                    <w:bidi w:val="0"/>
                    <w:jc w:val="center"/>
                    <w:rPr>
                      <w:rFonts w:hint="default" w:ascii="Times New Roman" w:hAnsi="Times New Roman" w:cs="Times New Roman"/>
                      <w:color w:val="000000"/>
                      <w:highlight w:val="none"/>
                      <w:vertAlign w:val="baseline"/>
                      <w:lang w:val="en-US" w:eastAsia="zh-CN"/>
                    </w:rPr>
                  </w:pPr>
                </w:p>
              </w:tc>
            </w:tr>
            <w:tr w14:paraId="74F550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2" w:hRule="atLeast"/>
              </w:trPr>
              <w:tc>
                <w:tcPr>
                  <w:tcW w:w="720" w:type="dxa"/>
                  <w:vMerge w:val="continue"/>
                  <w:noWrap w:val="0"/>
                  <w:vAlign w:val="center"/>
                </w:tcPr>
                <w:p w14:paraId="58A1C585">
                  <w:pPr>
                    <w:pStyle w:val="31"/>
                    <w:bidi w:val="0"/>
                    <w:jc w:val="center"/>
                    <w:rPr>
                      <w:rFonts w:hint="default" w:ascii="Times New Roman" w:hAnsi="Times New Roman" w:cs="Times New Roman"/>
                      <w:color w:val="000000"/>
                      <w:highlight w:val="none"/>
                      <w:vertAlign w:val="baseline"/>
                      <w:lang w:val="en-US" w:eastAsia="zh-CN"/>
                    </w:rPr>
                  </w:pPr>
                </w:p>
              </w:tc>
              <w:tc>
                <w:tcPr>
                  <w:tcW w:w="2941" w:type="dxa"/>
                  <w:vMerge w:val="continue"/>
                  <w:noWrap w:val="0"/>
                  <w:vAlign w:val="center"/>
                </w:tcPr>
                <w:p w14:paraId="404EA8FC">
                  <w:pPr>
                    <w:pStyle w:val="31"/>
                    <w:bidi w:val="0"/>
                    <w:jc w:val="center"/>
                    <w:rPr>
                      <w:rFonts w:hint="default" w:ascii="Times New Roman" w:hAnsi="Times New Roman" w:cs="Times New Roman"/>
                      <w:color w:val="000000"/>
                      <w:highlight w:val="none"/>
                      <w:vertAlign w:val="baseline"/>
                      <w:lang w:val="en-US" w:eastAsia="zh-CN"/>
                    </w:rPr>
                  </w:pPr>
                </w:p>
              </w:tc>
              <w:tc>
                <w:tcPr>
                  <w:tcW w:w="1825" w:type="dxa"/>
                  <w:noWrap w:val="0"/>
                  <w:vAlign w:val="center"/>
                </w:tcPr>
                <w:p w14:paraId="6B521CB9">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pH值</w:t>
                  </w:r>
                </w:p>
              </w:tc>
              <w:tc>
                <w:tcPr>
                  <w:tcW w:w="901" w:type="dxa"/>
                  <w:noWrap w:val="0"/>
                  <w:vAlign w:val="center"/>
                </w:tcPr>
                <w:p w14:paraId="2B681498">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6~8.5</w:t>
                  </w:r>
                </w:p>
              </w:tc>
              <w:tc>
                <w:tcPr>
                  <w:tcW w:w="827" w:type="dxa"/>
                  <w:noWrap w:val="0"/>
                  <w:vAlign w:val="center"/>
                </w:tcPr>
                <w:p w14:paraId="5BEA6C03">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无量纲</w:t>
                  </w:r>
                </w:p>
              </w:tc>
              <w:tc>
                <w:tcPr>
                  <w:tcW w:w="1383" w:type="dxa"/>
                  <w:vMerge w:val="continue"/>
                  <w:noWrap w:val="0"/>
                  <w:vAlign w:val="center"/>
                </w:tcPr>
                <w:p w14:paraId="0F21095C">
                  <w:pPr>
                    <w:pStyle w:val="31"/>
                    <w:bidi w:val="0"/>
                    <w:jc w:val="center"/>
                    <w:rPr>
                      <w:rFonts w:hint="default" w:ascii="Times New Roman" w:hAnsi="Times New Roman" w:cs="Times New Roman"/>
                      <w:color w:val="000000"/>
                      <w:highlight w:val="none"/>
                      <w:vertAlign w:val="baseline"/>
                      <w:lang w:val="en-US" w:eastAsia="zh-CN"/>
                    </w:rPr>
                  </w:pPr>
                </w:p>
              </w:tc>
            </w:tr>
            <w:tr w14:paraId="400F27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 w:hRule="atLeast"/>
              </w:trPr>
              <w:tc>
                <w:tcPr>
                  <w:tcW w:w="720" w:type="dxa"/>
                  <w:vMerge w:val="continue"/>
                  <w:noWrap w:val="0"/>
                  <w:vAlign w:val="center"/>
                </w:tcPr>
                <w:p w14:paraId="66B63FA8">
                  <w:pPr>
                    <w:pStyle w:val="31"/>
                    <w:bidi w:val="0"/>
                    <w:jc w:val="center"/>
                    <w:rPr>
                      <w:rFonts w:hint="default" w:ascii="Times New Roman" w:hAnsi="Times New Roman" w:cs="Times New Roman"/>
                      <w:color w:val="000000"/>
                      <w:highlight w:val="none"/>
                      <w:vertAlign w:val="baseline"/>
                      <w:lang w:val="en-US" w:eastAsia="zh-CN"/>
                    </w:rPr>
                  </w:pPr>
                </w:p>
              </w:tc>
              <w:tc>
                <w:tcPr>
                  <w:tcW w:w="2941" w:type="dxa"/>
                  <w:vMerge w:val="continue"/>
                  <w:noWrap w:val="0"/>
                  <w:vAlign w:val="center"/>
                </w:tcPr>
                <w:p w14:paraId="1D99FE1A">
                  <w:pPr>
                    <w:pStyle w:val="31"/>
                    <w:bidi w:val="0"/>
                    <w:jc w:val="center"/>
                    <w:rPr>
                      <w:rFonts w:hint="default" w:ascii="Times New Roman" w:hAnsi="Times New Roman" w:cs="Times New Roman"/>
                      <w:color w:val="000000"/>
                      <w:highlight w:val="none"/>
                      <w:vertAlign w:val="baseline"/>
                      <w:lang w:val="en-US" w:eastAsia="zh-CN"/>
                    </w:rPr>
                  </w:pPr>
                </w:p>
              </w:tc>
              <w:tc>
                <w:tcPr>
                  <w:tcW w:w="1825" w:type="dxa"/>
                  <w:noWrap w:val="0"/>
                  <w:vAlign w:val="center"/>
                </w:tcPr>
                <w:p w14:paraId="1372CF48">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总氯（总余氯）</w:t>
                  </w:r>
                </w:p>
              </w:tc>
              <w:tc>
                <w:tcPr>
                  <w:tcW w:w="901" w:type="dxa"/>
                  <w:noWrap w:val="0"/>
                  <w:vAlign w:val="center"/>
                </w:tcPr>
                <w:p w14:paraId="121A198C">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＜0.5</w:t>
                  </w:r>
                </w:p>
              </w:tc>
              <w:tc>
                <w:tcPr>
                  <w:tcW w:w="827" w:type="dxa"/>
                  <w:noWrap w:val="0"/>
                  <w:vAlign w:val="center"/>
                </w:tcPr>
                <w:p w14:paraId="3B80AC23">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mg/L</w:t>
                  </w:r>
                </w:p>
              </w:tc>
              <w:tc>
                <w:tcPr>
                  <w:tcW w:w="1383" w:type="dxa"/>
                  <w:vMerge w:val="continue"/>
                  <w:noWrap w:val="0"/>
                  <w:vAlign w:val="center"/>
                </w:tcPr>
                <w:p w14:paraId="21986DF5">
                  <w:pPr>
                    <w:pStyle w:val="31"/>
                    <w:bidi w:val="0"/>
                    <w:jc w:val="center"/>
                    <w:rPr>
                      <w:rFonts w:hint="default" w:ascii="Times New Roman" w:hAnsi="Times New Roman" w:cs="Times New Roman"/>
                      <w:color w:val="000000"/>
                      <w:highlight w:val="none"/>
                      <w:vertAlign w:val="baseline"/>
                      <w:lang w:val="en-US" w:eastAsia="zh-CN"/>
                    </w:rPr>
                  </w:pPr>
                </w:p>
              </w:tc>
            </w:tr>
          </w:tbl>
          <w:p w14:paraId="69D9DFB6">
            <w:pPr>
              <w:pStyle w:val="5"/>
              <w:tabs>
                <w:tab w:val="left" w:pos="0"/>
              </w:tabs>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废气</w:t>
            </w:r>
          </w:p>
          <w:p w14:paraId="2F24787E">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（1）施工期</w:t>
            </w:r>
          </w:p>
          <w:p w14:paraId="74B6BB2E">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本项目施工期粉尘、施工机械废气为无组织排放，执行《大气污染物综合排放标准》（GB 16297-1996）表2中的无组织排放监控浓度限值；施工船舶废气排放执行《船舶发动机排气污染物排放限值及测量方法（中国第一、二阶段）》（GB 15097-2016）中第二阶段排放限值（适用时间为2021年7月1日起）。</w:t>
            </w:r>
          </w:p>
          <w:p w14:paraId="3BDB1548">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（2）运营期</w:t>
            </w:r>
          </w:p>
          <w:p w14:paraId="5C84C4EB">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运营期进出港船舶废气排放执行《船舶发动机排气污染物排放限值及测量方法（中国第一、二阶段）》（GB 15097-2016）中第二阶段排放限值（适用时间为2021年7月1日起）；港区厂界无组织颗粒物执行《大气污染物综合排放标准》（GB 16297-1996）表2中的无组织排放监控浓度限值，自建污水处理站、卸渔区恶臭无组织排放执行《恶臭污染物排放标准》（GB 14554-1993）中表1恶臭污染物厂界标准值中二级标准；食堂油烟排放参照执行《饮食业油烟排放标准（试行）》（GB18483-2001）小型规模排放标准。</w:t>
            </w:r>
          </w:p>
          <w:p w14:paraId="7592C495">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具体标准限值见</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REF _Ref4131 \h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3.17</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4</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val="en-US" w:eastAsia="zh-CN"/>
              </w:rPr>
              <w:t>~</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REF _Ref3575 \h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3.17</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7</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val="en-US" w:eastAsia="zh-CN"/>
              </w:rPr>
              <w:t>。</w:t>
            </w:r>
          </w:p>
          <w:p w14:paraId="40C1C27A">
            <w:pPr>
              <w:pStyle w:val="11"/>
              <w:rPr>
                <w:rFonts w:hint="default" w:ascii="Times New Roman" w:hAnsi="Times New Roman" w:cs="Times New Roman"/>
                <w:color w:val="000000"/>
                <w:highlight w:val="none"/>
                <w:lang w:val="en-US" w:eastAsia="zh-CN"/>
              </w:rPr>
            </w:pPr>
            <w:bookmarkStart w:id="256" w:name="_Ref4131"/>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3.17</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表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w:t>
            </w:r>
            <w:r>
              <w:rPr>
                <w:rFonts w:hint="default" w:ascii="Times New Roman" w:hAnsi="Times New Roman" w:cs="Times New Roman"/>
                <w:color w:val="000000"/>
                <w:highlight w:val="none"/>
              </w:rPr>
              <w:fldChar w:fldCharType="end"/>
            </w:r>
            <w:bookmarkEnd w:id="256"/>
            <w:r>
              <w:rPr>
                <w:rFonts w:hint="default" w:ascii="Times New Roman" w:hAnsi="Times New Roman" w:cs="Times New Roman"/>
                <w:color w:val="000000"/>
                <w:highlight w:val="none"/>
                <w:lang w:val="en-US" w:eastAsia="zh-CN"/>
              </w:rPr>
              <w:t xml:space="preserve"> 《大气污染物综合排放标准》（GB 16297-1996）（摘录）</w:t>
            </w:r>
          </w:p>
          <w:tbl>
            <w:tblPr>
              <w:tblStyle w:val="22"/>
              <w:tblW w:w="863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6"/>
              <w:gridCol w:w="1952"/>
              <w:gridCol w:w="3289"/>
              <w:gridCol w:w="2551"/>
            </w:tblGrid>
            <w:tr w14:paraId="6ECE19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846" w:type="dxa"/>
                  <w:vMerge w:val="restart"/>
                  <w:noWrap w:val="0"/>
                  <w:vAlign w:val="center"/>
                </w:tcPr>
                <w:p w14:paraId="4E1651C3">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序号</w:t>
                  </w:r>
                </w:p>
              </w:tc>
              <w:tc>
                <w:tcPr>
                  <w:tcW w:w="1952" w:type="dxa"/>
                  <w:vMerge w:val="restart"/>
                  <w:noWrap w:val="0"/>
                  <w:vAlign w:val="center"/>
                </w:tcPr>
                <w:p w14:paraId="603F1F2E">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污染物</w:t>
                  </w:r>
                </w:p>
              </w:tc>
              <w:tc>
                <w:tcPr>
                  <w:tcW w:w="5840" w:type="dxa"/>
                  <w:gridSpan w:val="2"/>
                  <w:noWrap w:val="0"/>
                  <w:vAlign w:val="center"/>
                </w:tcPr>
                <w:p w14:paraId="0D5CBF68">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无组织排放监控浓度限值</w:t>
                  </w:r>
                </w:p>
              </w:tc>
            </w:tr>
            <w:tr w14:paraId="451EAA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846" w:type="dxa"/>
                  <w:vMerge w:val="continue"/>
                  <w:noWrap w:val="0"/>
                  <w:vAlign w:val="center"/>
                </w:tcPr>
                <w:p w14:paraId="728BC2B9">
                  <w:pPr>
                    <w:pStyle w:val="31"/>
                    <w:bidi w:val="0"/>
                    <w:jc w:val="center"/>
                    <w:rPr>
                      <w:rFonts w:hint="default" w:ascii="Times New Roman" w:hAnsi="Times New Roman" w:cs="Times New Roman"/>
                      <w:b/>
                      <w:bCs/>
                      <w:color w:val="000000"/>
                      <w:highlight w:val="none"/>
                      <w:lang w:val="en-US" w:eastAsia="zh-CN"/>
                    </w:rPr>
                  </w:pPr>
                </w:p>
              </w:tc>
              <w:tc>
                <w:tcPr>
                  <w:tcW w:w="1952" w:type="dxa"/>
                  <w:vMerge w:val="continue"/>
                  <w:noWrap w:val="0"/>
                  <w:vAlign w:val="center"/>
                </w:tcPr>
                <w:p w14:paraId="59D4B07F">
                  <w:pPr>
                    <w:pStyle w:val="31"/>
                    <w:bidi w:val="0"/>
                    <w:jc w:val="center"/>
                    <w:rPr>
                      <w:rFonts w:hint="default" w:ascii="Times New Roman" w:hAnsi="Times New Roman" w:cs="Times New Roman"/>
                      <w:b/>
                      <w:bCs/>
                      <w:color w:val="000000"/>
                      <w:highlight w:val="none"/>
                      <w:lang w:val="en-US" w:eastAsia="zh-CN"/>
                    </w:rPr>
                  </w:pPr>
                </w:p>
              </w:tc>
              <w:tc>
                <w:tcPr>
                  <w:tcW w:w="3289" w:type="dxa"/>
                  <w:noWrap w:val="0"/>
                  <w:vAlign w:val="center"/>
                </w:tcPr>
                <w:p w14:paraId="1300C3EA">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监控点</w:t>
                  </w:r>
                </w:p>
              </w:tc>
              <w:tc>
                <w:tcPr>
                  <w:tcW w:w="2551" w:type="dxa"/>
                  <w:noWrap w:val="0"/>
                  <w:vAlign w:val="center"/>
                </w:tcPr>
                <w:p w14:paraId="4AEF188F">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浓度（mg/m</w:t>
                  </w:r>
                  <w:r>
                    <w:rPr>
                      <w:rFonts w:hint="default" w:ascii="Times New Roman" w:hAnsi="Times New Roman" w:cs="Times New Roman"/>
                      <w:b/>
                      <w:bCs/>
                      <w:color w:val="000000"/>
                      <w:highlight w:val="none"/>
                      <w:vertAlign w:val="superscript"/>
                      <w:lang w:val="en-US" w:eastAsia="zh-CN"/>
                    </w:rPr>
                    <w:t>3</w:t>
                  </w:r>
                  <w:r>
                    <w:rPr>
                      <w:rFonts w:hint="default" w:ascii="Times New Roman" w:hAnsi="Times New Roman" w:cs="Times New Roman"/>
                      <w:b/>
                      <w:bCs/>
                      <w:color w:val="000000"/>
                      <w:highlight w:val="none"/>
                      <w:lang w:val="en-US" w:eastAsia="zh-CN"/>
                    </w:rPr>
                    <w:t>）</w:t>
                  </w:r>
                </w:p>
              </w:tc>
            </w:tr>
            <w:tr w14:paraId="416737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6" w:hRule="atLeast"/>
              </w:trPr>
              <w:tc>
                <w:tcPr>
                  <w:tcW w:w="846" w:type="dxa"/>
                  <w:noWrap w:val="0"/>
                  <w:vAlign w:val="center"/>
                </w:tcPr>
                <w:p w14:paraId="2BE892CE">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w:t>
                  </w:r>
                </w:p>
              </w:tc>
              <w:tc>
                <w:tcPr>
                  <w:tcW w:w="1952" w:type="dxa"/>
                  <w:noWrap w:val="0"/>
                  <w:vAlign w:val="center"/>
                </w:tcPr>
                <w:p w14:paraId="5BFA208D">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颗粒物</w:t>
                  </w:r>
                </w:p>
              </w:tc>
              <w:tc>
                <w:tcPr>
                  <w:tcW w:w="3289" w:type="dxa"/>
                  <w:noWrap w:val="0"/>
                  <w:vAlign w:val="center"/>
                </w:tcPr>
                <w:p w14:paraId="3F6726DD">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周界外浓度最高点</w:t>
                  </w:r>
                </w:p>
              </w:tc>
              <w:tc>
                <w:tcPr>
                  <w:tcW w:w="2551" w:type="dxa"/>
                  <w:noWrap w:val="0"/>
                  <w:vAlign w:val="center"/>
                </w:tcPr>
                <w:p w14:paraId="039DCA36">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1.0</w:t>
                  </w:r>
                </w:p>
              </w:tc>
            </w:tr>
          </w:tbl>
          <w:p w14:paraId="3206E406">
            <w:pPr>
              <w:pStyle w:val="11"/>
              <w:rPr>
                <w:rFonts w:hint="default" w:ascii="Times New Roman" w:hAnsi="Times New Roman" w:cs="Times New Roman"/>
                <w:color w:val="000000"/>
                <w:highlight w:val="none"/>
                <w:lang w:val="en-US" w:eastAsia="zh-CN"/>
              </w:rPr>
            </w:pPr>
            <w:bookmarkStart w:id="257" w:name="_Ref4137"/>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3.17</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表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5</w:t>
            </w:r>
            <w:r>
              <w:rPr>
                <w:rFonts w:hint="default" w:ascii="Times New Roman" w:hAnsi="Times New Roman" w:cs="Times New Roman"/>
                <w:color w:val="000000"/>
                <w:highlight w:val="none"/>
              </w:rPr>
              <w:fldChar w:fldCharType="end"/>
            </w:r>
            <w:bookmarkEnd w:id="257"/>
            <w:r>
              <w:rPr>
                <w:rFonts w:hint="default" w:ascii="Times New Roman" w:hAnsi="Times New Roman" w:cs="Times New Roman"/>
                <w:color w:val="000000"/>
                <w:highlight w:val="none"/>
                <w:lang w:val="en-US" w:eastAsia="zh-CN"/>
              </w:rPr>
              <w:t xml:space="preserve"> 《船舶发动机排气污染物排放限值及测量方法（中国第一、二阶段）》</w:t>
            </w:r>
          </w:p>
          <w:p w14:paraId="48F02345">
            <w:pPr>
              <w:pStyle w:val="11"/>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（GB 15097-2016）（摘录）</w:t>
            </w:r>
          </w:p>
          <w:tbl>
            <w:tblPr>
              <w:tblStyle w:val="22"/>
              <w:tblW w:w="861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31"/>
              <w:gridCol w:w="1231"/>
              <w:gridCol w:w="1231"/>
              <w:gridCol w:w="1231"/>
              <w:gridCol w:w="1231"/>
              <w:gridCol w:w="1232"/>
              <w:gridCol w:w="1232"/>
            </w:tblGrid>
            <w:tr w14:paraId="586AB9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4" w:hRule="atLeast"/>
                <w:tblHeader/>
              </w:trPr>
              <w:tc>
                <w:tcPr>
                  <w:tcW w:w="1231" w:type="dxa"/>
                  <w:noWrap w:val="0"/>
                  <w:vAlign w:val="center"/>
                </w:tcPr>
                <w:p w14:paraId="13520D92">
                  <w:pPr>
                    <w:pStyle w:val="31"/>
                    <w:bidi w:val="0"/>
                    <w:ind w:firstLine="0" w:firstLineChars="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b/>
                      <w:bCs/>
                      <w:color w:val="000000"/>
                      <w:highlight w:val="none"/>
                      <w:lang w:val="en-US" w:eastAsia="zh-CN"/>
                    </w:rPr>
                    <w:t>船机类型</w:t>
                  </w:r>
                </w:p>
              </w:tc>
              <w:tc>
                <w:tcPr>
                  <w:tcW w:w="1231" w:type="dxa"/>
                  <w:noWrap w:val="0"/>
                  <w:vAlign w:val="center"/>
                </w:tcPr>
                <w:p w14:paraId="49B1C5DD">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单缸排量</w:t>
                  </w:r>
                </w:p>
                <w:p w14:paraId="68ED8FC5">
                  <w:pPr>
                    <w:pStyle w:val="31"/>
                    <w:bidi w:val="0"/>
                    <w:ind w:firstLine="0" w:firstLineChars="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b/>
                      <w:bCs/>
                      <w:color w:val="000000"/>
                      <w:highlight w:val="none"/>
                      <w:lang w:val="en-US" w:eastAsia="zh-CN"/>
                    </w:rPr>
                    <w:t>（SV）（L/缸）</w:t>
                  </w:r>
                </w:p>
              </w:tc>
              <w:tc>
                <w:tcPr>
                  <w:tcW w:w="1231" w:type="dxa"/>
                  <w:noWrap w:val="0"/>
                  <w:vAlign w:val="center"/>
                </w:tcPr>
                <w:p w14:paraId="212CE370">
                  <w:pPr>
                    <w:pStyle w:val="31"/>
                    <w:bidi w:val="0"/>
                    <w:ind w:firstLine="0" w:firstLineChars="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b/>
                      <w:bCs/>
                      <w:color w:val="000000"/>
                      <w:highlight w:val="none"/>
                      <w:lang w:val="en-US" w:eastAsia="zh-CN"/>
                    </w:rPr>
                    <w:t>额定净功率（P）（kW）</w:t>
                  </w:r>
                </w:p>
              </w:tc>
              <w:tc>
                <w:tcPr>
                  <w:tcW w:w="1231" w:type="dxa"/>
                  <w:noWrap w:val="0"/>
                  <w:vAlign w:val="center"/>
                </w:tcPr>
                <w:p w14:paraId="08C05B8D">
                  <w:pPr>
                    <w:pStyle w:val="31"/>
                    <w:bidi w:val="0"/>
                    <w:ind w:firstLine="0" w:firstLineChars="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b/>
                      <w:bCs/>
                      <w:color w:val="000000"/>
                      <w:highlight w:val="none"/>
                      <w:lang w:val="en-US" w:eastAsia="zh-CN"/>
                    </w:rPr>
                    <w:t>CO（g/kWh）</w:t>
                  </w:r>
                </w:p>
              </w:tc>
              <w:tc>
                <w:tcPr>
                  <w:tcW w:w="1231" w:type="dxa"/>
                  <w:noWrap w:val="0"/>
                  <w:vAlign w:val="center"/>
                </w:tcPr>
                <w:p w14:paraId="24CB61B9">
                  <w:pPr>
                    <w:pStyle w:val="31"/>
                    <w:bidi w:val="0"/>
                    <w:ind w:firstLine="0" w:firstLineChars="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b/>
                      <w:bCs/>
                      <w:color w:val="000000"/>
                      <w:highlight w:val="none"/>
                      <w:lang w:val="en-US" w:eastAsia="zh-CN"/>
                    </w:rPr>
                    <w:t>HC+NO</w:t>
                  </w:r>
                  <w:r>
                    <w:rPr>
                      <w:rFonts w:hint="default" w:ascii="Times New Roman" w:hAnsi="Times New Roman" w:cs="Times New Roman"/>
                      <w:b/>
                      <w:bCs/>
                      <w:color w:val="000000"/>
                      <w:highlight w:val="none"/>
                      <w:vertAlign w:val="subscript"/>
                      <w:lang w:val="en-US" w:eastAsia="zh-CN"/>
                    </w:rPr>
                    <w:t>X</w:t>
                  </w:r>
                  <w:r>
                    <w:rPr>
                      <w:rFonts w:hint="default" w:ascii="Times New Roman" w:hAnsi="Times New Roman" w:cs="Times New Roman"/>
                      <w:b/>
                      <w:bCs/>
                      <w:color w:val="000000"/>
                      <w:highlight w:val="none"/>
                      <w:lang w:val="en-US" w:eastAsia="zh-CN"/>
                    </w:rPr>
                    <w:t>（g/kWh）</w:t>
                  </w:r>
                </w:p>
              </w:tc>
              <w:tc>
                <w:tcPr>
                  <w:tcW w:w="1232" w:type="dxa"/>
                  <w:noWrap w:val="0"/>
                  <w:vAlign w:val="center"/>
                </w:tcPr>
                <w:p w14:paraId="1B3CC27E">
                  <w:pPr>
                    <w:pStyle w:val="31"/>
                    <w:bidi w:val="0"/>
                    <w:ind w:firstLine="0" w:firstLineChars="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b/>
                      <w:bCs/>
                      <w:color w:val="000000"/>
                      <w:highlight w:val="none"/>
                      <w:lang w:val="en-US" w:eastAsia="zh-CN"/>
                    </w:rPr>
                    <w:t>CH4[1]（g/kWh）</w:t>
                  </w:r>
                </w:p>
              </w:tc>
              <w:tc>
                <w:tcPr>
                  <w:tcW w:w="1232" w:type="dxa"/>
                  <w:noWrap w:val="0"/>
                  <w:vAlign w:val="center"/>
                </w:tcPr>
                <w:p w14:paraId="75C47D5B">
                  <w:pPr>
                    <w:pStyle w:val="31"/>
                    <w:bidi w:val="0"/>
                    <w:ind w:firstLine="0" w:firstLineChars="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b/>
                      <w:bCs/>
                      <w:color w:val="000000"/>
                      <w:highlight w:val="none"/>
                      <w:lang w:val="en-US" w:eastAsia="zh-CN"/>
                    </w:rPr>
                    <w:t>PM（g/kWh）</w:t>
                  </w:r>
                </w:p>
              </w:tc>
            </w:tr>
            <w:tr w14:paraId="7D1816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9" w:hRule="atLeast"/>
              </w:trPr>
              <w:tc>
                <w:tcPr>
                  <w:tcW w:w="1231" w:type="dxa"/>
                  <w:vMerge w:val="restart"/>
                  <w:noWrap w:val="0"/>
                  <w:vAlign w:val="center"/>
                </w:tcPr>
                <w:p w14:paraId="0252F4F6">
                  <w:pPr>
                    <w:pStyle w:val="31"/>
                    <w:bidi w:val="0"/>
                    <w:ind w:firstLine="0" w:firstLineChars="0"/>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lang w:val="en-US" w:eastAsia="zh-CN"/>
                    </w:rPr>
                    <w:t>第1类</w:t>
                  </w:r>
                </w:p>
              </w:tc>
              <w:tc>
                <w:tcPr>
                  <w:tcW w:w="1231" w:type="dxa"/>
                  <w:noWrap w:val="0"/>
                  <w:vAlign w:val="center"/>
                </w:tcPr>
                <w:p w14:paraId="3D0095C4">
                  <w:pPr>
                    <w:pStyle w:val="31"/>
                    <w:bidi w:val="0"/>
                    <w:ind w:firstLine="0" w:firstLineChars="0"/>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lang w:val="en-US" w:eastAsia="zh-CN"/>
                    </w:rPr>
                    <w:t>SV＜0.9</w:t>
                  </w:r>
                </w:p>
              </w:tc>
              <w:tc>
                <w:tcPr>
                  <w:tcW w:w="1231" w:type="dxa"/>
                  <w:noWrap w:val="0"/>
                  <w:vAlign w:val="center"/>
                </w:tcPr>
                <w:p w14:paraId="0291F4F0">
                  <w:pPr>
                    <w:pStyle w:val="31"/>
                    <w:bidi w:val="0"/>
                    <w:ind w:firstLine="0" w:firstLineChars="0"/>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lang w:val="en-US" w:eastAsia="zh-CN"/>
                    </w:rPr>
                    <w:t>P≥37</w:t>
                  </w:r>
                </w:p>
              </w:tc>
              <w:tc>
                <w:tcPr>
                  <w:tcW w:w="1231" w:type="dxa"/>
                  <w:noWrap w:val="0"/>
                  <w:vAlign w:val="center"/>
                </w:tcPr>
                <w:p w14:paraId="4CE1AB87">
                  <w:pPr>
                    <w:pStyle w:val="31"/>
                    <w:bidi w:val="0"/>
                    <w:ind w:firstLine="0" w:firstLineChars="0"/>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lang w:val="en-US" w:eastAsia="zh-CN"/>
                    </w:rPr>
                    <w:t>5.0</w:t>
                  </w:r>
                </w:p>
              </w:tc>
              <w:tc>
                <w:tcPr>
                  <w:tcW w:w="1231" w:type="dxa"/>
                  <w:noWrap w:val="0"/>
                  <w:vAlign w:val="center"/>
                </w:tcPr>
                <w:p w14:paraId="7588C1AC">
                  <w:pPr>
                    <w:pStyle w:val="31"/>
                    <w:bidi w:val="0"/>
                    <w:ind w:firstLine="0" w:firstLineChars="0"/>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lang w:val="en-US" w:eastAsia="zh-CN"/>
                    </w:rPr>
                    <w:t>5.8</w:t>
                  </w:r>
                </w:p>
              </w:tc>
              <w:tc>
                <w:tcPr>
                  <w:tcW w:w="1232" w:type="dxa"/>
                  <w:noWrap w:val="0"/>
                  <w:vAlign w:val="center"/>
                </w:tcPr>
                <w:p w14:paraId="0FDC2E2C">
                  <w:pPr>
                    <w:pStyle w:val="31"/>
                    <w:bidi w:val="0"/>
                    <w:ind w:firstLine="0" w:firstLineChars="0"/>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lang w:val="en-US" w:eastAsia="zh-CN"/>
                    </w:rPr>
                    <w:t>1.0</w:t>
                  </w:r>
                </w:p>
              </w:tc>
              <w:tc>
                <w:tcPr>
                  <w:tcW w:w="1232" w:type="dxa"/>
                  <w:noWrap w:val="0"/>
                  <w:vAlign w:val="center"/>
                </w:tcPr>
                <w:p w14:paraId="02D7E79A">
                  <w:pPr>
                    <w:pStyle w:val="31"/>
                    <w:bidi w:val="0"/>
                    <w:ind w:firstLine="0" w:firstLineChars="0"/>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lang w:val="en-US" w:eastAsia="zh-CN"/>
                    </w:rPr>
                    <w:t>0.3</w:t>
                  </w:r>
                </w:p>
              </w:tc>
            </w:tr>
            <w:tr w14:paraId="6DB3A3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9" w:hRule="atLeast"/>
              </w:trPr>
              <w:tc>
                <w:tcPr>
                  <w:tcW w:w="1231" w:type="dxa"/>
                  <w:vMerge w:val="continue"/>
                  <w:noWrap w:val="0"/>
                  <w:vAlign w:val="center"/>
                </w:tcPr>
                <w:p w14:paraId="46D26B95">
                  <w:pPr>
                    <w:keepNext w:val="0"/>
                    <w:keepLines w:val="0"/>
                    <w:widowControl w:val="0"/>
                    <w:suppressLineNumbers w:val="0"/>
                    <w:bidi w:val="0"/>
                    <w:spacing w:before="0" w:beforeAutospacing="0" w:after="0" w:afterAutospacing="0" w:line="240" w:lineRule="auto"/>
                    <w:ind w:right="0" w:rightChars="0" w:firstLine="480" w:firstLineChars="200"/>
                    <w:jc w:val="center"/>
                    <w:rPr>
                      <w:rFonts w:hint="default" w:ascii="Times New Roman" w:hAnsi="Times New Roman" w:cs="Times New Roman"/>
                      <w:color w:val="000000"/>
                      <w:highlight w:val="none"/>
                      <w:vertAlign w:val="baseline"/>
                      <w:lang w:val="en-US" w:eastAsia="zh-CN"/>
                    </w:rPr>
                  </w:pPr>
                </w:p>
              </w:tc>
              <w:tc>
                <w:tcPr>
                  <w:tcW w:w="2462" w:type="dxa"/>
                  <w:gridSpan w:val="2"/>
                  <w:noWrap w:val="0"/>
                  <w:vAlign w:val="center"/>
                </w:tcPr>
                <w:p w14:paraId="3973A962">
                  <w:pPr>
                    <w:pStyle w:val="31"/>
                    <w:bidi w:val="0"/>
                    <w:ind w:firstLine="0" w:firstLineChars="0"/>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lang w:val="en-US" w:eastAsia="zh-CN"/>
                    </w:rPr>
                    <w:t>0.9≤SV＜1.2</w:t>
                  </w:r>
                </w:p>
              </w:tc>
              <w:tc>
                <w:tcPr>
                  <w:tcW w:w="1231" w:type="dxa"/>
                  <w:noWrap w:val="0"/>
                  <w:vAlign w:val="center"/>
                </w:tcPr>
                <w:p w14:paraId="0185857D">
                  <w:pPr>
                    <w:pStyle w:val="31"/>
                    <w:bidi w:val="0"/>
                    <w:ind w:firstLine="0" w:firstLineChars="0"/>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lang w:val="en-US" w:eastAsia="zh-CN"/>
                    </w:rPr>
                    <w:t>5.0</w:t>
                  </w:r>
                </w:p>
              </w:tc>
              <w:tc>
                <w:tcPr>
                  <w:tcW w:w="1231" w:type="dxa"/>
                  <w:noWrap w:val="0"/>
                  <w:vAlign w:val="center"/>
                </w:tcPr>
                <w:p w14:paraId="445A5B8E">
                  <w:pPr>
                    <w:pStyle w:val="31"/>
                    <w:bidi w:val="0"/>
                    <w:ind w:firstLine="0" w:firstLineChars="0"/>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lang w:val="en-US" w:eastAsia="zh-CN"/>
                    </w:rPr>
                    <w:t>5.8</w:t>
                  </w:r>
                </w:p>
              </w:tc>
              <w:tc>
                <w:tcPr>
                  <w:tcW w:w="1232" w:type="dxa"/>
                  <w:noWrap w:val="0"/>
                  <w:vAlign w:val="center"/>
                </w:tcPr>
                <w:p w14:paraId="4845B711">
                  <w:pPr>
                    <w:pStyle w:val="31"/>
                    <w:bidi w:val="0"/>
                    <w:ind w:firstLine="0" w:firstLineChars="0"/>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lang w:val="en-US" w:eastAsia="zh-CN"/>
                    </w:rPr>
                    <w:t>1.0</w:t>
                  </w:r>
                </w:p>
              </w:tc>
              <w:tc>
                <w:tcPr>
                  <w:tcW w:w="1232" w:type="dxa"/>
                  <w:noWrap w:val="0"/>
                  <w:vAlign w:val="center"/>
                </w:tcPr>
                <w:p w14:paraId="372BC750">
                  <w:pPr>
                    <w:pStyle w:val="31"/>
                    <w:bidi w:val="0"/>
                    <w:ind w:firstLine="0" w:firstLineChars="0"/>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lang w:val="en-US" w:eastAsia="zh-CN"/>
                    </w:rPr>
                    <w:t>0.14</w:t>
                  </w:r>
                </w:p>
              </w:tc>
            </w:tr>
            <w:tr w14:paraId="058758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9" w:hRule="atLeast"/>
              </w:trPr>
              <w:tc>
                <w:tcPr>
                  <w:tcW w:w="1231" w:type="dxa"/>
                  <w:vMerge w:val="continue"/>
                  <w:noWrap w:val="0"/>
                  <w:vAlign w:val="center"/>
                </w:tcPr>
                <w:p w14:paraId="50C0BA00">
                  <w:pPr>
                    <w:keepNext w:val="0"/>
                    <w:keepLines w:val="0"/>
                    <w:widowControl w:val="0"/>
                    <w:suppressLineNumbers w:val="0"/>
                    <w:bidi w:val="0"/>
                    <w:spacing w:before="0" w:beforeAutospacing="0" w:after="0" w:afterAutospacing="0" w:line="240" w:lineRule="auto"/>
                    <w:ind w:right="0" w:rightChars="0" w:firstLine="480" w:firstLineChars="200"/>
                    <w:jc w:val="center"/>
                    <w:rPr>
                      <w:rFonts w:hint="default" w:ascii="Times New Roman" w:hAnsi="Times New Roman" w:cs="Times New Roman"/>
                      <w:color w:val="000000"/>
                      <w:highlight w:val="none"/>
                      <w:vertAlign w:val="baseline"/>
                      <w:lang w:val="en-US" w:eastAsia="zh-CN"/>
                    </w:rPr>
                  </w:pPr>
                </w:p>
              </w:tc>
              <w:tc>
                <w:tcPr>
                  <w:tcW w:w="2462" w:type="dxa"/>
                  <w:gridSpan w:val="2"/>
                  <w:noWrap w:val="0"/>
                  <w:vAlign w:val="center"/>
                </w:tcPr>
                <w:p w14:paraId="4101F491">
                  <w:pPr>
                    <w:pStyle w:val="31"/>
                    <w:bidi w:val="0"/>
                    <w:ind w:firstLine="0" w:firstLineChars="0"/>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lang w:val="en-US" w:eastAsia="zh-CN"/>
                    </w:rPr>
                    <w:t>1.2≤SV＜5</w:t>
                  </w:r>
                </w:p>
              </w:tc>
              <w:tc>
                <w:tcPr>
                  <w:tcW w:w="1231" w:type="dxa"/>
                  <w:noWrap w:val="0"/>
                  <w:vAlign w:val="center"/>
                </w:tcPr>
                <w:p w14:paraId="2FC39B1C">
                  <w:pPr>
                    <w:pStyle w:val="31"/>
                    <w:bidi w:val="0"/>
                    <w:ind w:firstLine="0" w:firstLineChars="0"/>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lang w:val="en-US" w:eastAsia="zh-CN"/>
                    </w:rPr>
                    <w:t>5.0</w:t>
                  </w:r>
                </w:p>
              </w:tc>
              <w:tc>
                <w:tcPr>
                  <w:tcW w:w="1231" w:type="dxa"/>
                  <w:noWrap w:val="0"/>
                  <w:vAlign w:val="center"/>
                </w:tcPr>
                <w:p w14:paraId="491E4822">
                  <w:pPr>
                    <w:pStyle w:val="31"/>
                    <w:bidi w:val="0"/>
                    <w:ind w:firstLine="0" w:firstLineChars="0"/>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lang w:val="en-US" w:eastAsia="zh-CN"/>
                    </w:rPr>
                    <w:t>5.8</w:t>
                  </w:r>
                </w:p>
              </w:tc>
              <w:tc>
                <w:tcPr>
                  <w:tcW w:w="1232" w:type="dxa"/>
                  <w:noWrap w:val="0"/>
                  <w:vAlign w:val="center"/>
                </w:tcPr>
                <w:p w14:paraId="05DCD120">
                  <w:pPr>
                    <w:pStyle w:val="31"/>
                    <w:bidi w:val="0"/>
                    <w:ind w:firstLine="0" w:firstLineChars="0"/>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lang w:val="en-US" w:eastAsia="zh-CN"/>
                    </w:rPr>
                    <w:t>1.0</w:t>
                  </w:r>
                </w:p>
              </w:tc>
              <w:tc>
                <w:tcPr>
                  <w:tcW w:w="1232" w:type="dxa"/>
                  <w:noWrap w:val="0"/>
                  <w:vAlign w:val="center"/>
                </w:tcPr>
                <w:p w14:paraId="2F5BF590">
                  <w:pPr>
                    <w:pStyle w:val="31"/>
                    <w:bidi w:val="0"/>
                    <w:ind w:firstLine="0" w:firstLineChars="0"/>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lang w:val="en-US" w:eastAsia="zh-CN"/>
                    </w:rPr>
                    <w:t>0.12</w:t>
                  </w:r>
                </w:p>
              </w:tc>
            </w:tr>
            <w:tr w14:paraId="072753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9" w:hRule="atLeast"/>
              </w:trPr>
              <w:tc>
                <w:tcPr>
                  <w:tcW w:w="1231" w:type="dxa"/>
                  <w:vMerge w:val="restart"/>
                  <w:noWrap w:val="0"/>
                  <w:vAlign w:val="center"/>
                </w:tcPr>
                <w:p w14:paraId="3838AFF6">
                  <w:pPr>
                    <w:pStyle w:val="31"/>
                    <w:bidi w:val="0"/>
                    <w:ind w:firstLine="0" w:firstLineChars="0"/>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lang w:val="en-US" w:eastAsia="zh-CN"/>
                    </w:rPr>
                    <w:t>第2类</w:t>
                  </w:r>
                </w:p>
              </w:tc>
              <w:tc>
                <w:tcPr>
                  <w:tcW w:w="1231" w:type="dxa"/>
                  <w:vMerge w:val="restart"/>
                  <w:noWrap w:val="0"/>
                  <w:vAlign w:val="center"/>
                </w:tcPr>
                <w:p w14:paraId="674D7270">
                  <w:pPr>
                    <w:pStyle w:val="31"/>
                    <w:bidi w:val="0"/>
                    <w:ind w:firstLine="0" w:firstLineChars="0"/>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lang w:val="en-US" w:eastAsia="zh-CN"/>
                    </w:rPr>
                    <w:t>5≤SV＜15</w:t>
                  </w:r>
                </w:p>
              </w:tc>
              <w:tc>
                <w:tcPr>
                  <w:tcW w:w="1231" w:type="dxa"/>
                  <w:noWrap w:val="0"/>
                  <w:vAlign w:val="center"/>
                </w:tcPr>
                <w:p w14:paraId="6D01F9F7">
                  <w:pPr>
                    <w:pStyle w:val="31"/>
                    <w:bidi w:val="0"/>
                    <w:ind w:firstLine="0" w:firstLineChars="0"/>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lang w:val="en-US" w:eastAsia="zh-CN"/>
                    </w:rPr>
                    <w:t>P＜2000</w:t>
                  </w:r>
                </w:p>
              </w:tc>
              <w:tc>
                <w:tcPr>
                  <w:tcW w:w="1231" w:type="dxa"/>
                  <w:noWrap w:val="0"/>
                  <w:vAlign w:val="center"/>
                </w:tcPr>
                <w:p w14:paraId="3FA163DB">
                  <w:pPr>
                    <w:pStyle w:val="31"/>
                    <w:bidi w:val="0"/>
                    <w:ind w:firstLine="0" w:firstLineChars="0"/>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lang w:val="en-US" w:eastAsia="zh-CN"/>
                    </w:rPr>
                    <w:t>5.0</w:t>
                  </w:r>
                </w:p>
              </w:tc>
              <w:tc>
                <w:tcPr>
                  <w:tcW w:w="1231" w:type="dxa"/>
                  <w:noWrap w:val="0"/>
                  <w:vAlign w:val="center"/>
                </w:tcPr>
                <w:p w14:paraId="0CDFEF10">
                  <w:pPr>
                    <w:pStyle w:val="31"/>
                    <w:bidi w:val="0"/>
                    <w:ind w:firstLine="0" w:firstLineChars="0"/>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lang w:val="en-US" w:eastAsia="zh-CN"/>
                    </w:rPr>
                    <w:t>6.2</w:t>
                  </w:r>
                </w:p>
              </w:tc>
              <w:tc>
                <w:tcPr>
                  <w:tcW w:w="1232" w:type="dxa"/>
                  <w:noWrap w:val="0"/>
                  <w:vAlign w:val="center"/>
                </w:tcPr>
                <w:p w14:paraId="3F562A6B">
                  <w:pPr>
                    <w:pStyle w:val="31"/>
                    <w:bidi w:val="0"/>
                    <w:ind w:firstLine="0" w:firstLineChars="0"/>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lang w:val="en-US" w:eastAsia="zh-CN"/>
                    </w:rPr>
                    <w:t>1.2</w:t>
                  </w:r>
                </w:p>
              </w:tc>
              <w:tc>
                <w:tcPr>
                  <w:tcW w:w="1232" w:type="dxa"/>
                  <w:noWrap w:val="0"/>
                  <w:vAlign w:val="center"/>
                </w:tcPr>
                <w:p w14:paraId="47B77E95">
                  <w:pPr>
                    <w:pStyle w:val="31"/>
                    <w:bidi w:val="0"/>
                    <w:ind w:firstLine="0" w:firstLineChars="0"/>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lang w:val="en-US" w:eastAsia="zh-CN"/>
                    </w:rPr>
                    <w:t>0.14</w:t>
                  </w:r>
                </w:p>
              </w:tc>
            </w:tr>
            <w:tr w14:paraId="352966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1" w:hRule="atLeast"/>
              </w:trPr>
              <w:tc>
                <w:tcPr>
                  <w:tcW w:w="1231" w:type="dxa"/>
                  <w:vMerge w:val="continue"/>
                  <w:noWrap w:val="0"/>
                  <w:vAlign w:val="center"/>
                </w:tcPr>
                <w:p w14:paraId="3ECABB6D">
                  <w:pPr>
                    <w:keepNext w:val="0"/>
                    <w:keepLines w:val="0"/>
                    <w:widowControl w:val="0"/>
                    <w:suppressLineNumbers w:val="0"/>
                    <w:bidi w:val="0"/>
                    <w:spacing w:before="0" w:beforeAutospacing="0" w:after="0" w:afterAutospacing="0" w:line="240" w:lineRule="auto"/>
                    <w:ind w:right="0" w:rightChars="0" w:firstLine="480" w:firstLineChars="200"/>
                    <w:jc w:val="center"/>
                    <w:rPr>
                      <w:rFonts w:hint="default" w:ascii="Times New Roman" w:hAnsi="Times New Roman" w:cs="Times New Roman"/>
                      <w:color w:val="000000"/>
                      <w:highlight w:val="none"/>
                      <w:vertAlign w:val="baseline"/>
                      <w:lang w:val="en-US" w:eastAsia="zh-CN"/>
                    </w:rPr>
                  </w:pPr>
                </w:p>
              </w:tc>
              <w:tc>
                <w:tcPr>
                  <w:tcW w:w="1231" w:type="dxa"/>
                  <w:vMerge w:val="continue"/>
                  <w:noWrap w:val="0"/>
                  <w:vAlign w:val="center"/>
                </w:tcPr>
                <w:p w14:paraId="78CC39B8">
                  <w:pPr>
                    <w:keepNext w:val="0"/>
                    <w:keepLines w:val="0"/>
                    <w:widowControl w:val="0"/>
                    <w:suppressLineNumbers w:val="0"/>
                    <w:bidi w:val="0"/>
                    <w:spacing w:before="0" w:beforeAutospacing="0" w:after="0" w:afterAutospacing="0" w:line="240" w:lineRule="auto"/>
                    <w:ind w:right="0" w:rightChars="0" w:firstLine="480" w:firstLineChars="200"/>
                    <w:jc w:val="center"/>
                    <w:rPr>
                      <w:rFonts w:hint="default" w:ascii="Times New Roman" w:hAnsi="Times New Roman" w:cs="Times New Roman"/>
                      <w:color w:val="000000"/>
                      <w:highlight w:val="none"/>
                      <w:vertAlign w:val="baseline"/>
                      <w:lang w:val="en-US" w:eastAsia="zh-CN"/>
                    </w:rPr>
                  </w:pPr>
                </w:p>
              </w:tc>
              <w:tc>
                <w:tcPr>
                  <w:tcW w:w="1231" w:type="dxa"/>
                  <w:noWrap w:val="0"/>
                  <w:vAlign w:val="center"/>
                </w:tcPr>
                <w:p w14:paraId="739FA177">
                  <w:pPr>
                    <w:pStyle w:val="31"/>
                    <w:bidi w:val="0"/>
                    <w:ind w:firstLine="0" w:firstLineChars="0"/>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lang w:val="en-US" w:eastAsia="zh-CN"/>
                    </w:rPr>
                    <w:t>2000≤P＜3700</w:t>
                  </w:r>
                </w:p>
              </w:tc>
              <w:tc>
                <w:tcPr>
                  <w:tcW w:w="1231" w:type="dxa"/>
                  <w:noWrap w:val="0"/>
                  <w:vAlign w:val="center"/>
                </w:tcPr>
                <w:p w14:paraId="0C1D6E2E">
                  <w:pPr>
                    <w:pStyle w:val="31"/>
                    <w:bidi w:val="0"/>
                    <w:ind w:firstLine="0" w:firstLineChars="0"/>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lang w:val="en-US" w:eastAsia="zh-CN"/>
                    </w:rPr>
                    <w:t>5.0</w:t>
                  </w:r>
                </w:p>
              </w:tc>
              <w:tc>
                <w:tcPr>
                  <w:tcW w:w="1231" w:type="dxa"/>
                  <w:noWrap w:val="0"/>
                  <w:vAlign w:val="center"/>
                </w:tcPr>
                <w:p w14:paraId="20DD4C6B">
                  <w:pPr>
                    <w:pStyle w:val="31"/>
                    <w:bidi w:val="0"/>
                    <w:ind w:firstLine="0" w:firstLineChars="0"/>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lang w:val="en-US" w:eastAsia="zh-CN"/>
                    </w:rPr>
                    <w:t>7.8</w:t>
                  </w:r>
                </w:p>
              </w:tc>
              <w:tc>
                <w:tcPr>
                  <w:tcW w:w="1232" w:type="dxa"/>
                  <w:noWrap w:val="0"/>
                  <w:vAlign w:val="center"/>
                </w:tcPr>
                <w:p w14:paraId="55718113">
                  <w:pPr>
                    <w:pStyle w:val="31"/>
                    <w:bidi w:val="0"/>
                    <w:ind w:firstLine="0" w:firstLineChars="0"/>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lang w:val="en-US" w:eastAsia="zh-CN"/>
                    </w:rPr>
                    <w:t>1.5</w:t>
                  </w:r>
                </w:p>
              </w:tc>
              <w:tc>
                <w:tcPr>
                  <w:tcW w:w="1232" w:type="dxa"/>
                  <w:noWrap w:val="0"/>
                  <w:vAlign w:val="center"/>
                </w:tcPr>
                <w:p w14:paraId="1A1A9B45">
                  <w:pPr>
                    <w:pStyle w:val="31"/>
                    <w:bidi w:val="0"/>
                    <w:ind w:firstLine="0" w:firstLineChars="0"/>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lang w:val="en-US" w:eastAsia="zh-CN"/>
                    </w:rPr>
                    <w:t>0.14</w:t>
                  </w:r>
                </w:p>
              </w:tc>
            </w:tr>
            <w:tr w14:paraId="2E8206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9" w:hRule="atLeast"/>
              </w:trPr>
              <w:tc>
                <w:tcPr>
                  <w:tcW w:w="1231" w:type="dxa"/>
                  <w:vMerge w:val="continue"/>
                  <w:noWrap w:val="0"/>
                  <w:vAlign w:val="center"/>
                </w:tcPr>
                <w:p w14:paraId="16203775">
                  <w:pPr>
                    <w:keepNext w:val="0"/>
                    <w:keepLines w:val="0"/>
                    <w:widowControl w:val="0"/>
                    <w:suppressLineNumbers w:val="0"/>
                    <w:bidi w:val="0"/>
                    <w:spacing w:before="0" w:beforeAutospacing="0" w:after="0" w:afterAutospacing="0" w:line="240" w:lineRule="auto"/>
                    <w:ind w:right="0" w:rightChars="0" w:firstLine="480" w:firstLineChars="200"/>
                    <w:jc w:val="center"/>
                    <w:rPr>
                      <w:rFonts w:hint="default" w:ascii="Times New Roman" w:hAnsi="Times New Roman" w:cs="Times New Roman"/>
                      <w:color w:val="000000"/>
                      <w:highlight w:val="none"/>
                      <w:vertAlign w:val="baseline"/>
                      <w:lang w:val="en-US" w:eastAsia="zh-CN"/>
                    </w:rPr>
                  </w:pPr>
                </w:p>
              </w:tc>
              <w:tc>
                <w:tcPr>
                  <w:tcW w:w="1231" w:type="dxa"/>
                  <w:vMerge w:val="continue"/>
                  <w:noWrap w:val="0"/>
                  <w:vAlign w:val="center"/>
                </w:tcPr>
                <w:p w14:paraId="1BA160AA">
                  <w:pPr>
                    <w:keepNext w:val="0"/>
                    <w:keepLines w:val="0"/>
                    <w:widowControl w:val="0"/>
                    <w:suppressLineNumbers w:val="0"/>
                    <w:bidi w:val="0"/>
                    <w:spacing w:before="0" w:beforeAutospacing="0" w:after="0" w:afterAutospacing="0" w:line="240" w:lineRule="auto"/>
                    <w:ind w:right="0" w:rightChars="0" w:firstLine="480" w:firstLineChars="200"/>
                    <w:jc w:val="center"/>
                    <w:rPr>
                      <w:rFonts w:hint="default" w:ascii="Times New Roman" w:hAnsi="Times New Roman" w:cs="Times New Roman"/>
                      <w:color w:val="000000"/>
                      <w:highlight w:val="none"/>
                      <w:vertAlign w:val="baseline"/>
                      <w:lang w:val="en-US" w:eastAsia="zh-CN"/>
                    </w:rPr>
                  </w:pPr>
                </w:p>
              </w:tc>
              <w:tc>
                <w:tcPr>
                  <w:tcW w:w="1231" w:type="dxa"/>
                  <w:noWrap w:val="0"/>
                  <w:vAlign w:val="center"/>
                </w:tcPr>
                <w:p w14:paraId="0F0312C9">
                  <w:pPr>
                    <w:pStyle w:val="31"/>
                    <w:bidi w:val="0"/>
                    <w:ind w:firstLine="0" w:firstLineChars="0"/>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lang w:val="en-US" w:eastAsia="zh-CN"/>
                    </w:rPr>
                    <w:t>P≥3700</w:t>
                  </w:r>
                </w:p>
              </w:tc>
              <w:tc>
                <w:tcPr>
                  <w:tcW w:w="1231" w:type="dxa"/>
                  <w:noWrap w:val="0"/>
                  <w:vAlign w:val="center"/>
                </w:tcPr>
                <w:p w14:paraId="4F865B07">
                  <w:pPr>
                    <w:pStyle w:val="31"/>
                    <w:bidi w:val="0"/>
                    <w:ind w:firstLine="0" w:firstLineChars="0"/>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lang w:val="en-US" w:eastAsia="zh-CN"/>
                    </w:rPr>
                    <w:t>5.0</w:t>
                  </w:r>
                </w:p>
              </w:tc>
              <w:tc>
                <w:tcPr>
                  <w:tcW w:w="1231" w:type="dxa"/>
                  <w:noWrap w:val="0"/>
                  <w:vAlign w:val="center"/>
                </w:tcPr>
                <w:p w14:paraId="7DDF18C2">
                  <w:pPr>
                    <w:pStyle w:val="31"/>
                    <w:bidi w:val="0"/>
                    <w:ind w:firstLine="0" w:firstLineChars="0"/>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lang w:val="en-US" w:eastAsia="zh-CN"/>
                    </w:rPr>
                    <w:t>7.8</w:t>
                  </w:r>
                </w:p>
              </w:tc>
              <w:tc>
                <w:tcPr>
                  <w:tcW w:w="1232" w:type="dxa"/>
                  <w:noWrap w:val="0"/>
                  <w:vAlign w:val="center"/>
                </w:tcPr>
                <w:p w14:paraId="0DF887A7">
                  <w:pPr>
                    <w:pStyle w:val="31"/>
                    <w:bidi w:val="0"/>
                    <w:ind w:firstLine="0" w:firstLineChars="0"/>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lang w:val="en-US" w:eastAsia="zh-CN"/>
                    </w:rPr>
                    <w:t>1.5</w:t>
                  </w:r>
                </w:p>
              </w:tc>
              <w:tc>
                <w:tcPr>
                  <w:tcW w:w="1232" w:type="dxa"/>
                  <w:noWrap w:val="0"/>
                  <w:vAlign w:val="center"/>
                </w:tcPr>
                <w:p w14:paraId="691F5B16">
                  <w:pPr>
                    <w:pStyle w:val="31"/>
                    <w:bidi w:val="0"/>
                    <w:ind w:firstLine="0" w:firstLineChars="0"/>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lang w:val="en-US" w:eastAsia="zh-CN"/>
                    </w:rPr>
                    <w:t>0.27</w:t>
                  </w:r>
                </w:p>
              </w:tc>
            </w:tr>
            <w:tr w14:paraId="5C6CB7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9" w:hRule="atLeast"/>
              </w:trPr>
              <w:tc>
                <w:tcPr>
                  <w:tcW w:w="1231" w:type="dxa"/>
                  <w:vMerge w:val="continue"/>
                  <w:noWrap w:val="0"/>
                  <w:vAlign w:val="center"/>
                </w:tcPr>
                <w:p w14:paraId="73CDDA3A">
                  <w:pPr>
                    <w:keepNext w:val="0"/>
                    <w:keepLines w:val="0"/>
                    <w:widowControl w:val="0"/>
                    <w:suppressLineNumbers w:val="0"/>
                    <w:bidi w:val="0"/>
                    <w:spacing w:before="0" w:beforeAutospacing="0" w:after="0" w:afterAutospacing="0" w:line="240" w:lineRule="auto"/>
                    <w:ind w:right="0" w:rightChars="0" w:firstLine="480" w:firstLineChars="200"/>
                    <w:jc w:val="center"/>
                    <w:rPr>
                      <w:rFonts w:hint="default" w:ascii="Times New Roman" w:hAnsi="Times New Roman" w:cs="Times New Roman"/>
                      <w:color w:val="000000"/>
                      <w:highlight w:val="none"/>
                      <w:vertAlign w:val="baseline"/>
                      <w:lang w:val="en-US" w:eastAsia="zh-CN"/>
                    </w:rPr>
                  </w:pPr>
                </w:p>
              </w:tc>
              <w:tc>
                <w:tcPr>
                  <w:tcW w:w="1231" w:type="dxa"/>
                  <w:vMerge w:val="restart"/>
                  <w:noWrap w:val="0"/>
                  <w:vAlign w:val="center"/>
                </w:tcPr>
                <w:p w14:paraId="0076FE96">
                  <w:pPr>
                    <w:pStyle w:val="31"/>
                    <w:bidi w:val="0"/>
                    <w:ind w:firstLine="0" w:firstLineChars="0"/>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lang w:val="en-US" w:eastAsia="zh-CN"/>
                    </w:rPr>
                    <w:t>15≤SV＜20</w:t>
                  </w:r>
                </w:p>
              </w:tc>
              <w:tc>
                <w:tcPr>
                  <w:tcW w:w="1231" w:type="dxa"/>
                  <w:noWrap w:val="0"/>
                  <w:vAlign w:val="center"/>
                </w:tcPr>
                <w:p w14:paraId="240E16A4">
                  <w:pPr>
                    <w:pStyle w:val="31"/>
                    <w:bidi w:val="0"/>
                    <w:ind w:firstLine="0" w:firstLineChars="0"/>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lang w:val="en-US" w:eastAsia="zh-CN"/>
                    </w:rPr>
                    <w:t>P＜2000</w:t>
                  </w:r>
                </w:p>
              </w:tc>
              <w:tc>
                <w:tcPr>
                  <w:tcW w:w="1231" w:type="dxa"/>
                  <w:noWrap w:val="0"/>
                  <w:vAlign w:val="center"/>
                </w:tcPr>
                <w:p w14:paraId="1D8C6866">
                  <w:pPr>
                    <w:pStyle w:val="31"/>
                    <w:bidi w:val="0"/>
                    <w:ind w:firstLine="0" w:firstLineChars="0"/>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lang w:val="en-US" w:eastAsia="zh-CN"/>
                    </w:rPr>
                    <w:t>5.0</w:t>
                  </w:r>
                </w:p>
              </w:tc>
              <w:tc>
                <w:tcPr>
                  <w:tcW w:w="1231" w:type="dxa"/>
                  <w:noWrap w:val="0"/>
                  <w:vAlign w:val="center"/>
                </w:tcPr>
                <w:p w14:paraId="7A0F829A">
                  <w:pPr>
                    <w:pStyle w:val="31"/>
                    <w:bidi w:val="0"/>
                    <w:ind w:firstLine="0" w:firstLineChars="0"/>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lang w:val="en-US" w:eastAsia="zh-CN"/>
                    </w:rPr>
                    <w:t>7.0</w:t>
                  </w:r>
                </w:p>
              </w:tc>
              <w:tc>
                <w:tcPr>
                  <w:tcW w:w="1232" w:type="dxa"/>
                  <w:noWrap w:val="0"/>
                  <w:vAlign w:val="center"/>
                </w:tcPr>
                <w:p w14:paraId="6BE0BB4A">
                  <w:pPr>
                    <w:pStyle w:val="31"/>
                    <w:bidi w:val="0"/>
                    <w:ind w:firstLine="0" w:firstLineChars="0"/>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lang w:val="en-US" w:eastAsia="zh-CN"/>
                    </w:rPr>
                    <w:t>1.5</w:t>
                  </w:r>
                </w:p>
              </w:tc>
              <w:tc>
                <w:tcPr>
                  <w:tcW w:w="1232" w:type="dxa"/>
                  <w:noWrap w:val="0"/>
                  <w:vAlign w:val="center"/>
                </w:tcPr>
                <w:p w14:paraId="5D6EE0E4">
                  <w:pPr>
                    <w:pStyle w:val="31"/>
                    <w:bidi w:val="0"/>
                    <w:ind w:firstLine="0" w:firstLineChars="0"/>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lang w:val="en-US" w:eastAsia="zh-CN"/>
                    </w:rPr>
                    <w:t>0.34</w:t>
                  </w:r>
                </w:p>
              </w:tc>
            </w:tr>
            <w:tr w14:paraId="1F39DE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1" w:hRule="atLeast"/>
              </w:trPr>
              <w:tc>
                <w:tcPr>
                  <w:tcW w:w="1231" w:type="dxa"/>
                  <w:vMerge w:val="continue"/>
                  <w:noWrap w:val="0"/>
                  <w:vAlign w:val="center"/>
                </w:tcPr>
                <w:p w14:paraId="1DE07450">
                  <w:pPr>
                    <w:keepNext w:val="0"/>
                    <w:keepLines w:val="0"/>
                    <w:widowControl w:val="0"/>
                    <w:suppressLineNumbers w:val="0"/>
                    <w:bidi w:val="0"/>
                    <w:spacing w:before="0" w:beforeAutospacing="0" w:after="0" w:afterAutospacing="0" w:line="240" w:lineRule="auto"/>
                    <w:ind w:right="0" w:rightChars="0" w:firstLine="480" w:firstLineChars="200"/>
                    <w:jc w:val="center"/>
                    <w:rPr>
                      <w:rFonts w:hint="default" w:ascii="Times New Roman" w:hAnsi="Times New Roman" w:cs="Times New Roman"/>
                      <w:color w:val="000000"/>
                      <w:highlight w:val="none"/>
                      <w:vertAlign w:val="baseline"/>
                      <w:lang w:val="en-US" w:eastAsia="zh-CN"/>
                    </w:rPr>
                  </w:pPr>
                </w:p>
              </w:tc>
              <w:tc>
                <w:tcPr>
                  <w:tcW w:w="1231" w:type="dxa"/>
                  <w:vMerge w:val="continue"/>
                  <w:noWrap w:val="0"/>
                  <w:vAlign w:val="center"/>
                </w:tcPr>
                <w:p w14:paraId="72FE21C6">
                  <w:pPr>
                    <w:keepNext w:val="0"/>
                    <w:keepLines w:val="0"/>
                    <w:widowControl w:val="0"/>
                    <w:suppressLineNumbers w:val="0"/>
                    <w:bidi w:val="0"/>
                    <w:spacing w:before="0" w:beforeAutospacing="0" w:after="0" w:afterAutospacing="0" w:line="240" w:lineRule="auto"/>
                    <w:ind w:right="0" w:rightChars="0" w:firstLine="480" w:firstLineChars="200"/>
                    <w:jc w:val="center"/>
                    <w:rPr>
                      <w:rFonts w:hint="default" w:ascii="Times New Roman" w:hAnsi="Times New Roman" w:cs="Times New Roman"/>
                      <w:color w:val="000000"/>
                      <w:highlight w:val="none"/>
                      <w:vertAlign w:val="baseline"/>
                      <w:lang w:val="en-US" w:eastAsia="zh-CN"/>
                    </w:rPr>
                  </w:pPr>
                </w:p>
              </w:tc>
              <w:tc>
                <w:tcPr>
                  <w:tcW w:w="1231" w:type="dxa"/>
                  <w:noWrap w:val="0"/>
                  <w:vAlign w:val="center"/>
                </w:tcPr>
                <w:p w14:paraId="06311B9D">
                  <w:pPr>
                    <w:pStyle w:val="31"/>
                    <w:bidi w:val="0"/>
                    <w:ind w:firstLine="0" w:firstLineChars="0"/>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lang w:val="en-US" w:eastAsia="zh-CN"/>
                    </w:rPr>
                    <w:t>2000≤P＜3300</w:t>
                  </w:r>
                </w:p>
              </w:tc>
              <w:tc>
                <w:tcPr>
                  <w:tcW w:w="1231" w:type="dxa"/>
                  <w:noWrap w:val="0"/>
                  <w:vAlign w:val="center"/>
                </w:tcPr>
                <w:p w14:paraId="13846E4B">
                  <w:pPr>
                    <w:pStyle w:val="31"/>
                    <w:bidi w:val="0"/>
                    <w:ind w:firstLine="0" w:firstLineChars="0"/>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lang w:val="en-US" w:eastAsia="zh-CN"/>
                    </w:rPr>
                    <w:t>5.0</w:t>
                  </w:r>
                </w:p>
              </w:tc>
              <w:tc>
                <w:tcPr>
                  <w:tcW w:w="1231" w:type="dxa"/>
                  <w:noWrap w:val="0"/>
                  <w:vAlign w:val="center"/>
                </w:tcPr>
                <w:p w14:paraId="4C7AA3B5">
                  <w:pPr>
                    <w:pStyle w:val="31"/>
                    <w:bidi w:val="0"/>
                    <w:ind w:firstLine="0" w:firstLineChars="0"/>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lang w:val="en-US" w:eastAsia="zh-CN"/>
                    </w:rPr>
                    <w:t>8.7</w:t>
                  </w:r>
                </w:p>
              </w:tc>
              <w:tc>
                <w:tcPr>
                  <w:tcW w:w="1232" w:type="dxa"/>
                  <w:noWrap w:val="0"/>
                  <w:vAlign w:val="center"/>
                </w:tcPr>
                <w:p w14:paraId="0622C172">
                  <w:pPr>
                    <w:pStyle w:val="31"/>
                    <w:bidi w:val="0"/>
                    <w:ind w:firstLine="0" w:firstLineChars="0"/>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lang w:val="en-US" w:eastAsia="zh-CN"/>
                    </w:rPr>
                    <w:t>1.6</w:t>
                  </w:r>
                </w:p>
              </w:tc>
              <w:tc>
                <w:tcPr>
                  <w:tcW w:w="1232" w:type="dxa"/>
                  <w:noWrap w:val="0"/>
                  <w:vAlign w:val="center"/>
                </w:tcPr>
                <w:p w14:paraId="6DAAB72E">
                  <w:pPr>
                    <w:pStyle w:val="31"/>
                    <w:bidi w:val="0"/>
                    <w:ind w:firstLine="0" w:firstLineChars="0"/>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lang w:val="en-US" w:eastAsia="zh-CN"/>
                    </w:rPr>
                    <w:t>0.50</w:t>
                  </w:r>
                </w:p>
              </w:tc>
            </w:tr>
            <w:tr w14:paraId="69A4D9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9" w:hRule="atLeast"/>
              </w:trPr>
              <w:tc>
                <w:tcPr>
                  <w:tcW w:w="1231" w:type="dxa"/>
                  <w:vMerge w:val="continue"/>
                  <w:noWrap w:val="0"/>
                  <w:vAlign w:val="center"/>
                </w:tcPr>
                <w:p w14:paraId="07760405">
                  <w:pPr>
                    <w:keepNext w:val="0"/>
                    <w:keepLines w:val="0"/>
                    <w:widowControl w:val="0"/>
                    <w:suppressLineNumbers w:val="0"/>
                    <w:bidi w:val="0"/>
                    <w:spacing w:before="0" w:beforeAutospacing="0" w:after="0" w:afterAutospacing="0" w:line="240" w:lineRule="auto"/>
                    <w:ind w:right="0" w:rightChars="0" w:firstLine="480" w:firstLineChars="200"/>
                    <w:jc w:val="center"/>
                    <w:rPr>
                      <w:rFonts w:hint="default" w:ascii="Times New Roman" w:hAnsi="Times New Roman" w:cs="Times New Roman"/>
                      <w:color w:val="000000"/>
                      <w:highlight w:val="none"/>
                      <w:vertAlign w:val="baseline"/>
                      <w:lang w:val="en-US" w:eastAsia="zh-CN"/>
                    </w:rPr>
                  </w:pPr>
                </w:p>
              </w:tc>
              <w:tc>
                <w:tcPr>
                  <w:tcW w:w="1231" w:type="dxa"/>
                  <w:vMerge w:val="continue"/>
                  <w:noWrap w:val="0"/>
                  <w:vAlign w:val="center"/>
                </w:tcPr>
                <w:p w14:paraId="588D022A">
                  <w:pPr>
                    <w:keepNext w:val="0"/>
                    <w:keepLines w:val="0"/>
                    <w:widowControl w:val="0"/>
                    <w:suppressLineNumbers w:val="0"/>
                    <w:bidi w:val="0"/>
                    <w:spacing w:before="0" w:beforeAutospacing="0" w:after="0" w:afterAutospacing="0" w:line="240" w:lineRule="auto"/>
                    <w:ind w:right="0" w:rightChars="0" w:firstLine="480" w:firstLineChars="200"/>
                    <w:jc w:val="center"/>
                    <w:rPr>
                      <w:rFonts w:hint="default" w:ascii="Times New Roman" w:hAnsi="Times New Roman" w:cs="Times New Roman"/>
                      <w:color w:val="000000"/>
                      <w:highlight w:val="none"/>
                      <w:vertAlign w:val="baseline"/>
                      <w:lang w:val="en-US" w:eastAsia="zh-CN"/>
                    </w:rPr>
                  </w:pPr>
                </w:p>
              </w:tc>
              <w:tc>
                <w:tcPr>
                  <w:tcW w:w="1231" w:type="dxa"/>
                  <w:noWrap w:val="0"/>
                  <w:vAlign w:val="center"/>
                </w:tcPr>
                <w:p w14:paraId="425C9D0B">
                  <w:pPr>
                    <w:pStyle w:val="31"/>
                    <w:bidi w:val="0"/>
                    <w:ind w:firstLine="0" w:firstLineChars="0"/>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lang w:val="en-US" w:eastAsia="zh-CN"/>
                    </w:rPr>
                    <w:t>P≥3300</w:t>
                  </w:r>
                </w:p>
              </w:tc>
              <w:tc>
                <w:tcPr>
                  <w:tcW w:w="1231" w:type="dxa"/>
                  <w:noWrap w:val="0"/>
                  <w:vAlign w:val="center"/>
                </w:tcPr>
                <w:p w14:paraId="3B8CC39B">
                  <w:pPr>
                    <w:pStyle w:val="31"/>
                    <w:bidi w:val="0"/>
                    <w:ind w:firstLine="0" w:firstLineChars="0"/>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lang w:val="en-US" w:eastAsia="zh-CN"/>
                    </w:rPr>
                    <w:t>5.0</w:t>
                  </w:r>
                </w:p>
              </w:tc>
              <w:tc>
                <w:tcPr>
                  <w:tcW w:w="1231" w:type="dxa"/>
                  <w:noWrap w:val="0"/>
                  <w:vAlign w:val="center"/>
                </w:tcPr>
                <w:p w14:paraId="21167713">
                  <w:pPr>
                    <w:pStyle w:val="31"/>
                    <w:bidi w:val="0"/>
                    <w:ind w:firstLine="0" w:firstLineChars="0"/>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lang w:val="en-US" w:eastAsia="zh-CN"/>
                    </w:rPr>
                    <w:t>9.8</w:t>
                  </w:r>
                </w:p>
              </w:tc>
              <w:tc>
                <w:tcPr>
                  <w:tcW w:w="1232" w:type="dxa"/>
                  <w:noWrap w:val="0"/>
                  <w:vAlign w:val="center"/>
                </w:tcPr>
                <w:p w14:paraId="721B9C2D">
                  <w:pPr>
                    <w:pStyle w:val="31"/>
                    <w:bidi w:val="0"/>
                    <w:ind w:firstLine="0" w:firstLineChars="0"/>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lang w:val="en-US" w:eastAsia="zh-CN"/>
                    </w:rPr>
                    <w:t>1.8</w:t>
                  </w:r>
                </w:p>
              </w:tc>
              <w:tc>
                <w:tcPr>
                  <w:tcW w:w="1232" w:type="dxa"/>
                  <w:noWrap w:val="0"/>
                  <w:vAlign w:val="center"/>
                </w:tcPr>
                <w:p w14:paraId="6E444AB5">
                  <w:pPr>
                    <w:pStyle w:val="31"/>
                    <w:bidi w:val="0"/>
                    <w:ind w:firstLine="0" w:firstLineChars="0"/>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lang w:val="en-US" w:eastAsia="zh-CN"/>
                    </w:rPr>
                    <w:t>0.50</w:t>
                  </w:r>
                </w:p>
              </w:tc>
            </w:tr>
            <w:tr w14:paraId="1B46E9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9" w:hRule="atLeast"/>
              </w:trPr>
              <w:tc>
                <w:tcPr>
                  <w:tcW w:w="1231" w:type="dxa"/>
                  <w:vMerge w:val="continue"/>
                  <w:noWrap w:val="0"/>
                  <w:vAlign w:val="center"/>
                </w:tcPr>
                <w:p w14:paraId="59081A6A">
                  <w:pPr>
                    <w:keepNext w:val="0"/>
                    <w:keepLines w:val="0"/>
                    <w:widowControl w:val="0"/>
                    <w:suppressLineNumbers w:val="0"/>
                    <w:bidi w:val="0"/>
                    <w:spacing w:before="0" w:beforeAutospacing="0" w:after="0" w:afterAutospacing="0" w:line="240" w:lineRule="auto"/>
                    <w:ind w:right="0" w:rightChars="0" w:firstLine="480" w:firstLineChars="200"/>
                    <w:jc w:val="center"/>
                    <w:rPr>
                      <w:rFonts w:hint="default" w:ascii="Times New Roman" w:hAnsi="Times New Roman" w:cs="Times New Roman"/>
                      <w:color w:val="000000"/>
                      <w:highlight w:val="none"/>
                      <w:vertAlign w:val="baseline"/>
                      <w:lang w:val="en-US" w:eastAsia="zh-CN"/>
                    </w:rPr>
                  </w:pPr>
                </w:p>
              </w:tc>
              <w:tc>
                <w:tcPr>
                  <w:tcW w:w="1231" w:type="dxa"/>
                  <w:vMerge w:val="restart"/>
                  <w:noWrap w:val="0"/>
                  <w:vAlign w:val="center"/>
                </w:tcPr>
                <w:p w14:paraId="689EA9E2">
                  <w:pPr>
                    <w:pStyle w:val="31"/>
                    <w:bidi w:val="0"/>
                    <w:ind w:firstLine="0" w:firstLineChars="0"/>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lang w:val="en-US" w:eastAsia="zh-CN"/>
                    </w:rPr>
                    <w:t>20≤SV＜25</w:t>
                  </w:r>
                </w:p>
              </w:tc>
              <w:tc>
                <w:tcPr>
                  <w:tcW w:w="1231" w:type="dxa"/>
                  <w:noWrap w:val="0"/>
                  <w:vAlign w:val="center"/>
                </w:tcPr>
                <w:p w14:paraId="0DB1062E">
                  <w:pPr>
                    <w:pStyle w:val="31"/>
                    <w:bidi w:val="0"/>
                    <w:ind w:firstLine="0" w:firstLineChars="0"/>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lang w:val="en-US" w:eastAsia="zh-CN"/>
                    </w:rPr>
                    <w:t>P＜2000</w:t>
                  </w:r>
                </w:p>
              </w:tc>
              <w:tc>
                <w:tcPr>
                  <w:tcW w:w="1231" w:type="dxa"/>
                  <w:noWrap w:val="0"/>
                  <w:vAlign w:val="center"/>
                </w:tcPr>
                <w:p w14:paraId="500A1695">
                  <w:pPr>
                    <w:pStyle w:val="31"/>
                    <w:bidi w:val="0"/>
                    <w:ind w:firstLine="0" w:firstLineChars="0"/>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lang w:val="en-US" w:eastAsia="zh-CN"/>
                    </w:rPr>
                    <w:t>5.0</w:t>
                  </w:r>
                </w:p>
              </w:tc>
              <w:tc>
                <w:tcPr>
                  <w:tcW w:w="1231" w:type="dxa"/>
                  <w:noWrap w:val="0"/>
                  <w:vAlign w:val="center"/>
                </w:tcPr>
                <w:p w14:paraId="3862DB62">
                  <w:pPr>
                    <w:pStyle w:val="31"/>
                    <w:bidi w:val="0"/>
                    <w:ind w:firstLine="0" w:firstLineChars="0"/>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lang w:val="en-US" w:eastAsia="zh-CN"/>
                    </w:rPr>
                    <w:t>9.8</w:t>
                  </w:r>
                </w:p>
              </w:tc>
              <w:tc>
                <w:tcPr>
                  <w:tcW w:w="1232" w:type="dxa"/>
                  <w:noWrap w:val="0"/>
                  <w:vAlign w:val="center"/>
                </w:tcPr>
                <w:p w14:paraId="49BD56C6">
                  <w:pPr>
                    <w:pStyle w:val="31"/>
                    <w:bidi w:val="0"/>
                    <w:ind w:firstLine="0" w:firstLineChars="0"/>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lang w:val="en-US" w:eastAsia="zh-CN"/>
                    </w:rPr>
                    <w:t>1.8</w:t>
                  </w:r>
                </w:p>
              </w:tc>
              <w:tc>
                <w:tcPr>
                  <w:tcW w:w="1232" w:type="dxa"/>
                  <w:noWrap w:val="0"/>
                  <w:vAlign w:val="center"/>
                </w:tcPr>
                <w:p w14:paraId="7FA1608D">
                  <w:pPr>
                    <w:pStyle w:val="31"/>
                    <w:bidi w:val="0"/>
                    <w:ind w:firstLine="0" w:firstLineChars="0"/>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lang w:val="en-US" w:eastAsia="zh-CN"/>
                    </w:rPr>
                    <w:t>0.27</w:t>
                  </w:r>
                </w:p>
              </w:tc>
            </w:tr>
            <w:tr w14:paraId="499DCD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9" w:hRule="atLeast"/>
              </w:trPr>
              <w:tc>
                <w:tcPr>
                  <w:tcW w:w="1231" w:type="dxa"/>
                  <w:vMerge w:val="continue"/>
                  <w:noWrap w:val="0"/>
                  <w:vAlign w:val="center"/>
                </w:tcPr>
                <w:p w14:paraId="1C005210">
                  <w:pPr>
                    <w:keepNext w:val="0"/>
                    <w:keepLines w:val="0"/>
                    <w:widowControl w:val="0"/>
                    <w:suppressLineNumbers w:val="0"/>
                    <w:bidi w:val="0"/>
                    <w:spacing w:before="0" w:beforeAutospacing="0" w:after="0" w:afterAutospacing="0" w:line="240" w:lineRule="auto"/>
                    <w:ind w:right="0" w:rightChars="0" w:firstLine="480" w:firstLineChars="200"/>
                    <w:jc w:val="center"/>
                    <w:rPr>
                      <w:rFonts w:hint="default" w:ascii="Times New Roman" w:hAnsi="Times New Roman" w:cs="Times New Roman"/>
                      <w:color w:val="000000"/>
                      <w:highlight w:val="none"/>
                      <w:vertAlign w:val="baseline"/>
                      <w:lang w:val="en-US" w:eastAsia="zh-CN"/>
                    </w:rPr>
                  </w:pPr>
                </w:p>
              </w:tc>
              <w:tc>
                <w:tcPr>
                  <w:tcW w:w="1231" w:type="dxa"/>
                  <w:vMerge w:val="continue"/>
                  <w:noWrap w:val="0"/>
                  <w:vAlign w:val="center"/>
                </w:tcPr>
                <w:p w14:paraId="0C7E1A09">
                  <w:pPr>
                    <w:keepNext w:val="0"/>
                    <w:keepLines w:val="0"/>
                    <w:widowControl w:val="0"/>
                    <w:suppressLineNumbers w:val="0"/>
                    <w:bidi w:val="0"/>
                    <w:spacing w:before="0" w:beforeAutospacing="0" w:after="0" w:afterAutospacing="0" w:line="240" w:lineRule="auto"/>
                    <w:ind w:right="0" w:rightChars="0" w:firstLine="480" w:firstLineChars="200"/>
                    <w:jc w:val="center"/>
                    <w:rPr>
                      <w:rFonts w:hint="default" w:ascii="Times New Roman" w:hAnsi="Times New Roman" w:cs="Times New Roman"/>
                      <w:color w:val="000000"/>
                      <w:highlight w:val="none"/>
                      <w:vertAlign w:val="baseline"/>
                      <w:lang w:val="en-US" w:eastAsia="zh-CN"/>
                    </w:rPr>
                  </w:pPr>
                </w:p>
              </w:tc>
              <w:tc>
                <w:tcPr>
                  <w:tcW w:w="1231" w:type="dxa"/>
                  <w:noWrap w:val="0"/>
                  <w:vAlign w:val="center"/>
                </w:tcPr>
                <w:p w14:paraId="66BF6BD5">
                  <w:pPr>
                    <w:pStyle w:val="31"/>
                    <w:bidi w:val="0"/>
                    <w:ind w:firstLine="0" w:firstLineChars="0"/>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lang w:val="en-US" w:eastAsia="zh-CN"/>
                    </w:rPr>
                    <w:t>P≥2000</w:t>
                  </w:r>
                </w:p>
              </w:tc>
              <w:tc>
                <w:tcPr>
                  <w:tcW w:w="1231" w:type="dxa"/>
                  <w:noWrap w:val="0"/>
                  <w:vAlign w:val="center"/>
                </w:tcPr>
                <w:p w14:paraId="1A953058">
                  <w:pPr>
                    <w:pStyle w:val="31"/>
                    <w:bidi w:val="0"/>
                    <w:ind w:firstLine="0" w:firstLineChars="0"/>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lang w:val="en-US" w:eastAsia="zh-CN"/>
                    </w:rPr>
                    <w:t>5.0</w:t>
                  </w:r>
                </w:p>
              </w:tc>
              <w:tc>
                <w:tcPr>
                  <w:tcW w:w="1231" w:type="dxa"/>
                  <w:noWrap w:val="0"/>
                  <w:vAlign w:val="center"/>
                </w:tcPr>
                <w:p w14:paraId="710312D2">
                  <w:pPr>
                    <w:pStyle w:val="31"/>
                    <w:bidi w:val="0"/>
                    <w:ind w:firstLine="0" w:firstLineChars="0"/>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lang w:val="en-US" w:eastAsia="zh-CN"/>
                    </w:rPr>
                    <w:t>9.8</w:t>
                  </w:r>
                </w:p>
              </w:tc>
              <w:tc>
                <w:tcPr>
                  <w:tcW w:w="1232" w:type="dxa"/>
                  <w:noWrap w:val="0"/>
                  <w:vAlign w:val="center"/>
                </w:tcPr>
                <w:p w14:paraId="096B2A9A">
                  <w:pPr>
                    <w:pStyle w:val="31"/>
                    <w:bidi w:val="0"/>
                    <w:ind w:firstLine="0" w:firstLineChars="0"/>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lang w:val="en-US" w:eastAsia="zh-CN"/>
                    </w:rPr>
                    <w:t>1.8</w:t>
                  </w:r>
                </w:p>
              </w:tc>
              <w:tc>
                <w:tcPr>
                  <w:tcW w:w="1232" w:type="dxa"/>
                  <w:noWrap w:val="0"/>
                  <w:vAlign w:val="center"/>
                </w:tcPr>
                <w:p w14:paraId="41448C7C">
                  <w:pPr>
                    <w:pStyle w:val="31"/>
                    <w:bidi w:val="0"/>
                    <w:ind w:firstLine="0" w:firstLineChars="0"/>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lang w:val="en-US" w:eastAsia="zh-CN"/>
                    </w:rPr>
                    <w:t>0.50</w:t>
                  </w:r>
                </w:p>
              </w:tc>
            </w:tr>
            <w:tr w14:paraId="21D661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9" w:hRule="atLeast"/>
              </w:trPr>
              <w:tc>
                <w:tcPr>
                  <w:tcW w:w="1231" w:type="dxa"/>
                  <w:vMerge w:val="continue"/>
                  <w:noWrap w:val="0"/>
                  <w:vAlign w:val="center"/>
                </w:tcPr>
                <w:p w14:paraId="156ABE1C">
                  <w:pPr>
                    <w:keepNext w:val="0"/>
                    <w:keepLines w:val="0"/>
                    <w:widowControl w:val="0"/>
                    <w:suppressLineNumbers w:val="0"/>
                    <w:bidi w:val="0"/>
                    <w:spacing w:before="0" w:beforeAutospacing="0" w:after="0" w:afterAutospacing="0" w:line="240" w:lineRule="auto"/>
                    <w:ind w:right="0" w:rightChars="0" w:firstLine="480" w:firstLineChars="200"/>
                    <w:jc w:val="center"/>
                    <w:rPr>
                      <w:rFonts w:hint="default" w:ascii="Times New Roman" w:hAnsi="Times New Roman" w:cs="Times New Roman"/>
                      <w:color w:val="000000"/>
                      <w:highlight w:val="none"/>
                      <w:vertAlign w:val="baseline"/>
                      <w:lang w:val="en-US" w:eastAsia="zh-CN"/>
                    </w:rPr>
                  </w:pPr>
                </w:p>
              </w:tc>
              <w:tc>
                <w:tcPr>
                  <w:tcW w:w="1231" w:type="dxa"/>
                  <w:vMerge w:val="restart"/>
                  <w:noWrap w:val="0"/>
                  <w:vAlign w:val="center"/>
                </w:tcPr>
                <w:p w14:paraId="6C775DDD">
                  <w:pPr>
                    <w:pStyle w:val="31"/>
                    <w:bidi w:val="0"/>
                    <w:ind w:firstLine="0" w:firstLineChars="0"/>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lang w:val="en-US" w:eastAsia="zh-CN"/>
                    </w:rPr>
                    <w:t>25≤SV＜30</w:t>
                  </w:r>
                </w:p>
              </w:tc>
              <w:tc>
                <w:tcPr>
                  <w:tcW w:w="1231" w:type="dxa"/>
                  <w:noWrap w:val="0"/>
                  <w:vAlign w:val="center"/>
                </w:tcPr>
                <w:p w14:paraId="33D00624">
                  <w:pPr>
                    <w:pStyle w:val="31"/>
                    <w:bidi w:val="0"/>
                    <w:ind w:firstLine="0" w:firstLineChars="0"/>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lang w:val="en-US" w:eastAsia="zh-CN"/>
                    </w:rPr>
                    <w:t>P＜2000</w:t>
                  </w:r>
                </w:p>
              </w:tc>
              <w:tc>
                <w:tcPr>
                  <w:tcW w:w="1231" w:type="dxa"/>
                  <w:noWrap w:val="0"/>
                  <w:vAlign w:val="center"/>
                </w:tcPr>
                <w:p w14:paraId="62F405E8">
                  <w:pPr>
                    <w:pStyle w:val="31"/>
                    <w:bidi w:val="0"/>
                    <w:ind w:firstLine="0" w:firstLineChars="0"/>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lang w:val="en-US" w:eastAsia="zh-CN"/>
                    </w:rPr>
                    <w:t>5.0</w:t>
                  </w:r>
                </w:p>
              </w:tc>
              <w:tc>
                <w:tcPr>
                  <w:tcW w:w="1231" w:type="dxa"/>
                  <w:noWrap w:val="0"/>
                  <w:vAlign w:val="center"/>
                </w:tcPr>
                <w:p w14:paraId="010F214F">
                  <w:pPr>
                    <w:pStyle w:val="31"/>
                    <w:bidi w:val="0"/>
                    <w:ind w:firstLine="0" w:firstLineChars="0"/>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lang w:val="en-US" w:eastAsia="zh-CN"/>
                    </w:rPr>
                    <w:t>11.0</w:t>
                  </w:r>
                </w:p>
              </w:tc>
              <w:tc>
                <w:tcPr>
                  <w:tcW w:w="1232" w:type="dxa"/>
                  <w:noWrap w:val="0"/>
                  <w:vAlign w:val="center"/>
                </w:tcPr>
                <w:p w14:paraId="724A8B09">
                  <w:pPr>
                    <w:pStyle w:val="31"/>
                    <w:bidi w:val="0"/>
                    <w:ind w:firstLine="0" w:firstLineChars="0"/>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lang w:val="en-US" w:eastAsia="zh-CN"/>
                    </w:rPr>
                    <w:t>2.0</w:t>
                  </w:r>
                </w:p>
              </w:tc>
              <w:tc>
                <w:tcPr>
                  <w:tcW w:w="1232" w:type="dxa"/>
                  <w:noWrap w:val="0"/>
                  <w:vAlign w:val="center"/>
                </w:tcPr>
                <w:p w14:paraId="57BFF339">
                  <w:pPr>
                    <w:pStyle w:val="31"/>
                    <w:bidi w:val="0"/>
                    <w:ind w:firstLine="0" w:firstLineChars="0"/>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lang w:val="en-US" w:eastAsia="zh-CN"/>
                    </w:rPr>
                    <w:t>0.27</w:t>
                  </w:r>
                </w:p>
              </w:tc>
            </w:tr>
            <w:tr w14:paraId="315E4D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9" w:hRule="atLeast"/>
              </w:trPr>
              <w:tc>
                <w:tcPr>
                  <w:tcW w:w="1231" w:type="dxa"/>
                  <w:vMerge w:val="continue"/>
                  <w:noWrap w:val="0"/>
                  <w:vAlign w:val="center"/>
                </w:tcPr>
                <w:p w14:paraId="6683F4D1">
                  <w:pPr>
                    <w:keepNext w:val="0"/>
                    <w:keepLines w:val="0"/>
                    <w:widowControl w:val="0"/>
                    <w:suppressLineNumbers w:val="0"/>
                    <w:bidi w:val="0"/>
                    <w:spacing w:before="0" w:beforeAutospacing="0" w:after="0" w:afterAutospacing="0" w:line="240" w:lineRule="auto"/>
                    <w:ind w:right="0" w:rightChars="0" w:firstLine="480" w:firstLineChars="200"/>
                    <w:jc w:val="center"/>
                    <w:rPr>
                      <w:rFonts w:hint="default" w:ascii="Times New Roman" w:hAnsi="Times New Roman" w:cs="Times New Roman"/>
                      <w:color w:val="000000"/>
                      <w:highlight w:val="none"/>
                      <w:vertAlign w:val="baseline"/>
                      <w:lang w:val="en-US" w:eastAsia="zh-CN"/>
                    </w:rPr>
                  </w:pPr>
                </w:p>
              </w:tc>
              <w:tc>
                <w:tcPr>
                  <w:tcW w:w="1231" w:type="dxa"/>
                  <w:vMerge w:val="continue"/>
                  <w:noWrap w:val="0"/>
                  <w:vAlign w:val="center"/>
                </w:tcPr>
                <w:p w14:paraId="4992FDC3">
                  <w:pPr>
                    <w:keepNext w:val="0"/>
                    <w:keepLines w:val="0"/>
                    <w:widowControl w:val="0"/>
                    <w:suppressLineNumbers w:val="0"/>
                    <w:bidi w:val="0"/>
                    <w:spacing w:before="0" w:beforeAutospacing="0" w:after="0" w:afterAutospacing="0" w:line="240" w:lineRule="auto"/>
                    <w:ind w:right="0" w:rightChars="0" w:firstLine="480" w:firstLineChars="200"/>
                    <w:jc w:val="center"/>
                    <w:rPr>
                      <w:rFonts w:hint="default" w:ascii="Times New Roman" w:hAnsi="Times New Roman" w:cs="Times New Roman"/>
                      <w:color w:val="000000"/>
                      <w:highlight w:val="none"/>
                      <w:vertAlign w:val="baseline"/>
                      <w:lang w:val="en-US" w:eastAsia="zh-CN"/>
                    </w:rPr>
                  </w:pPr>
                </w:p>
              </w:tc>
              <w:tc>
                <w:tcPr>
                  <w:tcW w:w="1231" w:type="dxa"/>
                  <w:noWrap w:val="0"/>
                  <w:vAlign w:val="center"/>
                </w:tcPr>
                <w:p w14:paraId="0E2371E6">
                  <w:pPr>
                    <w:pStyle w:val="31"/>
                    <w:bidi w:val="0"/>
                    <w:ind w:firstLine="0" w:firstLineChars="0"/>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lang w:val="en-US" w:eastAsia="zh-CN"/>
                    </w:rPr>
                    <w:t>P≥2000</w:t>
                  </w:r>
                </w:p>
              </w:tc>
              <w:tc>
                <w:tcPr>
                  <w:tcW w:w="1231" w:type="dxa"/>
                  <w:noWrap w:val="0"/>
                  <w:vAlign w:val="center"/>
                </w:tcPr>
                <w:p w14:paraId="46D671A6">
                  <w:pPr>
                    <w:pStyle w:val="31"/>
                    <w:bidi w:val="0"/>
                    <w:ind w:firstLine="0" w:firstLineChars="0"/>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lang w:val="en-US" w:eastAsia="zh-CN"/>
                    </w:rPr>
                    <w:t>5.0</w:t>
                  </w:r>
                </w:p>
              </w:tc>
              <w:tc>
                <w:tcPr>
                  <w:tcW w:w="1231" w:type="dxa"/>
                  <w:noWrap w:val="0"/>
                  <w:vAlign w:val="center"/>
                </w:tcPr>
                <w:p w14:paraId="3155BA46">
                  <w:pPr>
                    <w:pStyle w:val="31"/>
                    <w:bidi w:val="0"/>
                    <w:ind w:firstLine="0" w:firstLineChars="0"/>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lang w:val="en-US" w:eastAsia="zh-CN"/>
                    </w:rPr>
                    <w:t>11.0</w:t>
                  </w:r>
                </w:p>
              </w:tc>
              <w:tc>
                <w:tcPr>
                  <w:tcW w:w="1232" w:type="dxa"/>
                  <w:noWrap w:val="0"/>
                  <w:vAlign w:val="center"/>
                </w:tcPr>
                <w:p w14:paraId="41ED5653">
                  <w:pPr>
                    <w:pStyle w:val="31"/>
                    <w:bidi w:val="0"/>
                    <w:ind w:firstLine="0" w:firstLineChars="0"/>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lang w:val="en-US" w:eastAsia="zh-CN"/>
                    </w:rPr>
                    <w:t>2.0</w:t>
                  </w:r>
                </w:p>
              </w:tc>
              <w:tc>
                <w:tcPr>
                  <w:tcW w:w="1232" w:type="dxa"/>
                  <w:noWrap w:val="0"/>
                  <w:vAlign w:val="center"/>
                </w:tcPr>
                <w:p w14:paraId="08DBFE95">
                  <w:pPr>
                    <w:pStyle w:val="31"/>
                    <w:bidi w:val="0"/>
                    <w:ind w:firstLine="0" w:firstLineChars="0"/>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lang w:val="en-US" w:eastAsia="zh-CN"/>
                    </w:rPr>
                    <w:t>0.50</w:t>
                  </w:r>
                </w:p>
              </w:tc>
            </w:tr>
            <w:tr w14:paraId="3A18FA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59" w:hRule="atLeast"/>
              </w:trPr>
              <w:tc>
                <w:tcPr>
                  <w:tcW w:w="8619" w:type="dxa"/>
                  <w:gridSpan w:val="7"/>
                  <w:noWrap w:val="0"/>
                  <w:vAlign w:val="center"/>
                </w:tcPr>
                <w:p w14:paraId="52AAF440">
                  <w:pPr>
                    <w:pStyle w:val="31"/>
                    <w:bidi w:val="0"/>
                    <w:ind w:firstLine="0" w:firstLineChars="0"/>
                    <w:jc w:val="both"/>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lang w:val="en-US" w:eastAsia="zh-CN"/>
                    </w:rPr>
                    <w:t>注：（1）仅适用于NG（含双燃料）船机。</w:t>
                  </w:r>
                </w:p>
              </w:tc>
            </w:tr>
          </w:tbl>
          <w:p w14:paraId="17C3D97E">
            <w:pPr>
              <w:pStyle w:val="11"/>
              <w:rPr>
                <w:rFonts w:hint="default" w:ascii="Times New Roman" w:hAnsi="Times New Roman" w:cs="Times New Roman"/>
                <w:color w:val="000000"/>
                <w:highlight w:val="none"/>
                <w:lang w:val="en-US" w:eastAsia="zh-CN"/>
              </w:rPr>
            </w:pPr>
            <w:bookmarkStart w:id="258" w:name="_Ref4141"/>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3.17</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表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6</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val="en-US" w:eastAsia="zh-CN"/>
              </w:rPr>
              <w:t xml:space="preserve"> 《恶臭污染物排放标准》（GB 14554-1993）（摘录）</w:t>
            </w:r>
          </w:p>
          <w:tbl>
            <w:tblPr>
              <w:tblStyle w:val="22"/>
              <w:tblW w:w="861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21"/>
              <w:gridCol w:w="1829"/>
              <w:gridCol w:w="1678"/>
              <w:gridCol w:w="3889"/>
            </w:tblGrid>
            <w:tr w14:paraId="10E546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21" w:type="dxa"/>
                  <w:noWrap w:val="0"/>
                  <w:vAlign w:val="center"/>
                </w:tcPr>
                <w:p w14:paraId="686665F2">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序号</w:t>
                  </w:r>
                </w:p>
              </w:tc>
              <w:tc>
                <w:tcPr>
                  <w:tcW w:w="1829" w:type="dxa"/>
                  <w:noWrap w:val="0"/>
                  <w:vAlign w:val="center"/>
                </w:tcPr>
                <w:p w14:paraId="6520BD43">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控制项目</w:t>
                  </w:r>
                </w:p>
              </w:tc>
              <w:tc>
                <w:tcPr>
                  <w:tcW w:w="1678" w:type="dxa"/>
                  <w:noWrap w:val="0"/>
                  <w:vAlign w:val="center"/>
                </w:tcPr>
                <w:p w14:paraId="0EC956D4">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单位</w:t>
                  </w:r>
                </w:p>
              </w:tc>
              <w:tc>
                <w:tcPr>
                  <w:tcW w:w="3889" w:type="dxa"/>
                  <w:noWrap w:val="0"/>
                  <w:vAlign w:val="center"/>
                </w:tcPr>
                <w:p w14:paraId="302FDCC5">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二级恶臭污染物厂界标准值（新改扩建）</w:t>
                  </w:r>
                </w:p>
              </w:tc>
            </w:tr>
            <w:tr w14:paraId="0F5104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21" w:type="dxa"/>
                  <w:noWrap w:val="0"/>
                  <w:vAlign w:val="center"/>
                </w:tcPr>
                <w:p w14:paraId="2E9AC8EE">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w:t>
                  </w:r>
                </w:p>
              </w:tc>
              <w:tc>
                <w:tcPr>
                  <w:tcW w:w="1829" w:type="dxa"/>
                  <w:noWrap w:val="0"/>
                  <w:vAlign w:val="center"/>
                </w:tcPr>
                <w:p w14:paraId="637E0C64">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氨</w:t>
                  </w:r>
                </w:p>
              </w:tc>
              <w:tc>
                <w:tcPr>
                  <w:tcW w:w="1678" w:type="dxa"/>
                  <w:noWrap w:val="0"/>
                  <w:vAlign w:val="center"/>
                </w:tcPr>
                <w:p w14:paraId="3A6AD761">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mg/m</w:t>
                  </w:r>
                  <w:r>
                    <w:rPr>
                      <w:rFonts w:hint="default" w:ascii="Times New Roman" w:hAnsi="Times New Roman" w:cs="Times New Roman"/>
                      <w:color w:val="000000"/>
                      <w:highlight w:val="none"/>
                      <w:vertAlign w:val="superscript"/>
                      <w:lang w:val="en-US" w:eastAsia="zh-CN"/>
                    </w:rPr>
                    <w:t>3</w:t>
                  </w:r>
                </w:p>
              </w:tc>
              <w:tc>
                <w:tcPr>
                  <w:tcW w:w="3889" w:type="dxa"/>
                  <w:noWrap w:val="0"/>
                  <w:vAlign w:val="center"/>
                </w:tcPr>
                <w:p w14:paraId="40A5611A">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1.5</w:t>
                  </w:r>
                </w:p>
              </w:tc>
            </w:tr>
            <w:tr w14:paraId="3A0EEE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21" w:type="dxa"/>
                  <w:noWrap w:val="0"/>
                  <w:vAlign w:val="center"/>
                </w:tcPr>
                <w:p w14:paraId="2C7AA59E">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w:t>
                  </w:r>
                </w:p>
              </w:tc>
              <w:tc>
                <w:tcPr>
                  <w:tcW w:w="1829" w:type="dxa"/>
                  <w:noWrap w:val="0"/>
                  <w:vAlign w:val="center"/>
                </w:tcPr>
                <w:p w14:paraId="34020D3B">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硫化氢</w:t>
                  </w:r>
                </w:p>
              </w:tc>
              <w:tc>
                <w:tcPr>
                  <w:tcW w:w="1678" w:type="dxa"/>
                  <w:noWrap w:val="0"/>
                  <w:vAlign w:val="center"/>
                </w:tcPr>
                <w:p w14:paraId="34CEC4B9">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mg/m</w:t>
                  </w:r>
                  <w:r>
                    <w:rPr>
                      <w:rFonts w:hint="default" w:ascii="Times New Roman" w:hAnsi="Times New Roman" w:cs="Times New Roman"/>
                      <w:color w:val="000000"/>
                      <w:highlight w:val="none"/>
                      <w:vertAlign w:val="superscript"/>
                      <w:lang w:val="en-US" w:eastAsia="zh-CN"/>
                    </w:rPr>
                    <w:t>3</w:t>
                  </w:r>
                </w:p>
              </w:tc>
              <w:tc>
                <w:tcPr>
                  <w:tcW w:w="3889" w:type="dxa"/>
                  <w:noWrap w:val="0"/>
                  <w:vAlign w:val="center"/>
                </w:tcPr>
                <w:p w14:paraId="529FABD2">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0.06</w:t>
                  </w:r>
                </w:p>
              </w:tc>
            </w:tr>
            <w:tr w14:paraId="5B01C0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21" w:type="dxa"/>
                  <w:noWrap w:val="0"/>
                  <w:vAlign w:val="center"/>
                </w:tcPr>
                <w:p w14:paraId="6ACE25D1">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3</w:t>
                  </w:r>
                </w:p>
              </w:tc>
              <w:tc>
                <w:tcPr>
                  <w:tcW w:w="1829" w:type="dxa"/>
                  <w:noWrap w:val="0"/>
                  <w:vAlign w:val="center"/>
                </w:tcPr>
                <w:p w14:paraId="6E676AA3">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臭气浓度</w:t>
                  </w:r>
                </w:p>
              </w:tc>
              <w:tc>
                <w:tcPr>
                  <w:tcW w:w="1678" w:type="dxa"/>
                  <w:noWrap w:val="0"/>
                  <w:vAlign w:val="center"/>
                </w:tcPr>
                <w:p w14:paraId="7EBC4771">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无量纲</w:t>
                  </w:r>
                </w:p>
              </w:tc>
              <w:tc>
                <w:tcPr>
                  <w:tcW w:w="3889" w:type="dxa"/>
                  <w:noWrap w:val="0"/>
                  <w:vAlign w:val="center"/>
                </w:tcPr>
                <w:p w14:paraId="3D4642FD">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20</w:t>
                  </w:r>
                </w:p>
              </w:tc>
            </w:tr>
          </w:tbl>
          <w:p w14:paraId="6380854F">
            <w:pPr>
              <w:pStyle w:val="11"/>
              <w:rPr>
                <w:rFonts w:hint="default" w:ascii="Times New Roman" w:hAnsi="Times New Roman" w:cs="Times New Roman"/>
                <w:color w:val="000000"/>
                <w:highlight w:val="none"/>
                <w:lang w:val="en-US" w:eastAsia="zh-CN"/>
              </w:rPr>
            </w:pPr>
            <w:bookmarkStart w:id="259" w:name="_Ref3575"/>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3.17</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表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7</w:t>
            </w:r>
            <w:r>
              <w:rPr>
                <w:rFonts w:hint="default" w:ascii="Times New Roman" w:hAnsi="Times New Roman" w:cs="Times New Roman"/>
                <w:color w:val="000000"/>
                <w:highlight w:val="none"/>
              </w:rPr>
              <w:fldChar w:fldCharType="end"/>
            </w:r>
            <w:bookmarkEnd w:id="259"/>
            <w:r>
              <w:rPr>
                <w:rFonts w:hint="default" w:ascii="Times New Roman" w:hAnsi="Times New Roman" w:cs="Times New Roman"/>
                <w:color w:val="000000"/>
                <w:highlight w:val="none"/>
                <w:lang w:val="en-US" w:eastAsia="zh-CN"/>
              </w:rPr>
              <w:t xml:space="preserve"> 《饮食业油烟排放标准（试行）》（GB18483-2001）（摘录）</w:t>
            </w:r>
          </w:p>
          <w:tbl>
            <w:tblPr>
              <w:tblStyle w:val="21"/>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35"/>
              <w:gridCol w:w="1146"/>
              <w:gridCol w:w="3056"/>
              <w:gridCol w:w="2949"/>
            </w:tblGrid>
            <w:tr w14:paraId="68A9D0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6" w:type="pct"/>
                  <w:vMerge w:val="restart"/>
                  <w:noWrap w:val="0"/>
                  <w:vAlign w:val="center"/>
                </w:tcPr>
                <w:p w14:paraId="0E700785">
                  <w:pPr>
                    <w:pStyle w:val="31"/>
                    <w:bidi w:val="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rPr>
                    <w:t>污染物</w:t>
                  </w:r>
                </w:p>
              </w:tc>
              <w:tc>
                <w:tcPr>
                  <w:tcW w:w="4163" w:type="pct"/>
                  <w:gridSpan w:val="3"/>
                  <w:noWrap w:val="0"/>
                  <w:vAlign w:val="center"/>
                </w:tcPr>
                <w:p w14:paraId="60F97553">
                  <w:pPr>
                    <w:pStyle w:val="31"/>
                    <w:bidi w:val="0"/>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rPr>
                    <w:t>《饮食业油烟排放标准</w:t>
                  </w: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rPr>
                    <w:t>试行</w:t>
                  </w: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rPr>
                    <w:t>》（GB18483-2001）表2中</w:t>
                  </w:r>
                  <w:r>
                    <w:rPr>
                      <w:rFonts w:hint="default" w:ascii="Times New Roman" w:hAnsi="Times New Roman" w:cs="Times New Roman"/>
                      <w:b/>
                      <w:bCs/>
                      <w:color w:val="000000"/>
                      <w:highlight w:val="none"/>
                      <w:lang w:val="en-US" w:eastAsia="zh-CN"/>
                    </w:rPr>
                    <w:t>小型</w:t>
                  </w:r>
                  <w:r>
                    <w:rPr>
                      <w:rFonts w:hint="default" w:ascii="Times New Roman" w:hAnsi="Times New Roman" w:cs="Times New Roman"/>
                      <w:b/>
                      <w:bCs/>
                      <w:color w:val="000000"/>
                      <w:highlight w:val="none"/>
                    </w:rPr>
                    <w:t>标准</w:t>
                  </w:r>
                </w:p>
              </w:tc>
            </w:tr>
            <w:tr w14:paraId="436054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6" w:type="pct"/>
                  <w:vMerge w:val="continue"/>
                  <w:noWrap w:val="0"/>
                  <w:vAlign w:val="center"/>
                </w:tcPr>
                <w:p w14:paraId="09506217">
                  <w:pPr>
                    <w:pStyle w:val="31"/>
                    <w:bidi w:val="0"/>
                    <w:rPr>
                      <w:rFonts w:hint="default" w:ascii="Times New Roman" w:hAnsi="Times New Roman" w:cs="Times New Roman"/>
                      <w:b/>
                      <w:bCs/>
                      <w:color w:val="000000"/>
                      <w:highlight w:val="none"/>
                      <w:lang w:val="en-US" w:eastAsia="zh-CN"/>
                    </w:rPr>
                  </w:pPr>
                </w:p>
              </w:tc>
              <w:tc>
                <w:tcPr>
                  <w:tcW w:w="667" w:type="pct"/>
                  <w:noWrap w:val="0"/>
                  <w:vAlign w:val="center"/>
                </w:tcPr>
                <w:p w14:paraId="04771D9E">
                  <w:pPr>
                    <w:pStyle w:val="31"/>
                    <w:bidi w:val="0"/>
                    <w:rPr>
                      <w:rFonts w:hint="default" w:ascii="Times New Roman" w:hAnsi="Times New Roman" w:eastAsia="宋体" w:cs="Times New Roman"/>
                      <w:b/>
                      <w:bCs/>
                      <w:color w:val="000000"/>
                      <w:highlight w:val="none"/>
                      <w:lang w:val="en-US" w:eastAsia="zh-CN"/>
                    </w:rPr>
                  </w:pPr>
                  <w:r>
                    <w:rPr>
                      <w:rFonts w:hint="default" w:ascii="Times New Roman" w:hAnsi="Times New Roman" w:cs="Times New Roman"/>
                      <w:b/>
                      <w:bCs/>
                      <w:color w:val="000000"/>
                      <w:highlight w:val="none"/>
                      <w:lang w:val="en-US" w:eastAsia="zh-CN"/>
                    </w:rPr>
                    <w:t>规模</w:t>
                  </w:r>
                </w:p>
              </w:tc>
              <w:tc>
                <w:tcPr>
                  <w:tcW w:w="1779" w:type="pct"/>
                  <w:noWrap w:val="0"/>
                  <w:vAlign w:val="center"/>
                </w:tcPr>
                <w:p w14:paraId="68370918">
                  <w:pPr>
                    <w:pStyle w:val="31"/>
                    <w:bidi w:val="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最高允许</w:t>
                  </w:r>
                  <w:r>
                    <w:rPr>
                      <w:rFonts w:hint="default" w:ascii="Times New Roman" w:hAnsi="Times New Roman" w:cs="Times New Roman"/>
                      <w:b/>
                      <w:bCs/>
                      <w:color w:val="000000"/>
                      <w:highlight w:val="none"/>
                    </w:rPr>
                    <w:t>排放浓度（mg/m</w:t>
                  </w:r>
                  <w:r>
                    <w:rPr>
                      <w:rFonts w:hint="default" w:ascii="Times New Roman" w:hAnsi="Times New Roman" w:cs="Times New Roman"/>
                      <w:b/>
                      <w:bCs/>
                      <w:color w:val="000000"/>
                      <w:highlight w:val="none"/>
                      <w:vertAlign w:val="superscript"/>
                    </w:rPr>
                    <w:t>3</w:t>
                  </w:r>
                  <w:r>
                    <w:rPr>
                      <w:rFonts w:hint="default" w:ascii="Times New Roman" w:hAnsi="Times New Roman" w:cs="Times New Roman"/>
                      <w:b/>
                      <w:bCs/>
                      <w:color w:val="000000"/>
                      <w:highlight w:val="none"/>
                    </w:rPr>
                    <w:t>）</w:t>
                  </w:r>
                </w:p>
              </w:tc>
              <w:tc>
                <w:tcPr>
                  <w:tcW w:w="1716" w:type="pct"/>
                  <w:noWrap w:val="0"/>
                  <w:vAlign w:val="center"/>
                </w:tcPr>
                <w:p w14:paraId="72AB025C">
                  <w:pPr>
                    <w:pStyle w:val="31"/>
                    <w:bidi w:val="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rPr>
                    <w:t>净化设施最低去除效率(</w:t>
                  </w:r>
                  <w:r>
                    <w:rPr>
                      <w:rFonts w:hint="default" w:ascii="Times New Roman" w:hAnsi="Times New Roman" w:cs="Times New Roman"/>
                      <w:b/>
                      <w:bCs/>
                      <w:color w:val="000000"/>
                      <w:highlight w:val="none"/>
                      <w:lang w:val="en-US" w:eastAsia="zh-CN"/>
                    </w:rPr>
                    <w:t>%</w:t>
                  </w:r>
                  <w:r>
                    <w:rPr>
                      <w:rFonts w:hint="default" w:ascii="Times New Roman" w:hAnsi="Times New Roman" w:cs="Times New Roman"/>
                      <w:b/>
                      <w:bCs/>
                      <w:color w:val="000000"/>
                      <w:highlight w:val="none"/>
                    </w:rPr>
                    <w:t>)</w:t>
                  </w:r>
                </w:p>
              </w:tc>
            </w:tr>
            <w:tr w14:paraId="6623E1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6" w:type="pct"/>
                  <w:noWrap w:val="0"/>
                  <w:vAlign w:val="center"/>
                </w:tcPr>
                <w:p w14:paraId="761FCC4C">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rPr>
                    <w:t>油烟</w:t>
                  </w:r>
                </w:p>
              </w:tc>
              <w:tc>
                <w:tcPr>
                  <w:tcW w:w="667" w:type="pct"/>
                  <w:noWrap w:val="0"/>
                  <w:vAlign w:val="center"/>
                </w:tcPr>
                <w:p w14:paraId="7A38C005">
                  <w:pPr>
                    <w:pStyle w:val="31"/>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小型</w:t>
                  </w:r>
                </w:p>
              </w:tc>
              <w:tc>
                <w:tcPr>
                  <w:tcW w:w="1779" w:type="pct"/>
                  <w:noWrap w:val="0"/>
                  <w:vAlign w:val="center"/>
                </w:tcPr>
                <w:p w14:paraId="7A922473">
                  <w:pPr>
                    <w:pStyle w:val="31"/>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2.0</w:t>
                  </w:r>
                </w:p>
              </w:tc>
              <w:tc>
                <w:tcPr>
                  <w:tcW w:w="1716" w:type="pct"/>
                  <w:noWrap w:val="0"/>
                  <w:vAlign w:val="center"/>
                </w:tcPr>
                <w:p w14:paraId="3C8D475C">
                  <w:pPr>
                    <w:pStyle w:val="31"/>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60</w:t>
                  </w:r>
                </w:p>
              </w:tc>
            </w:tr>
            <w:bookmarkEnd w:id="258"/>
          </w:tbl>
          <w:p w14:paraId="18253B4F">
            <w:pPr>
              <w:pStyle w:val="5"/>
              <w:tabs>
                <w:tab w:val="left" w:pos="0"/>
              </w:tabs>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噪声</w:t>
            </w:r>
          </w:p>
          <w:p w14:paraId="320B15A2">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（1）施工期</w:t>
            </w:r>
          </w:p>
          <w:p w14:paraId="602CE362">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施工期噪声执行《建筑施工噪声排放标准》（GB 12523-2025），具体标准限值见</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REF _Ref7308 \h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3.17</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8</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val="en-US" w:eastAsia="zh-CN"/>
              </w:rPr>
              <w:t>。</w:t>
            </w:r>
          </w:p>
          <w:p w14:paraId="43D86C7B">
            <w:pPr>
              <w:pStyle w:val="11"/>
              <w:rPr>
                <w:rFonts w:hint="default" w:ascii="Times New Roman" w:hAnsi="Times New Roman" w:cs="Times New Roman"/>
                <w:color w:val="000000"/>
                <w:highlight w:val="none"/>
                <w:lang w:val="en-US" w:eastAsia="zh-CN"/>
              </w:rPr>
            </w:pPr>
            <w:bookmarkStart w:id="260" w:name="_Ref7308"/>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3.17</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表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8</w:t>
            </w:r>
            <w:r>
              <w:rPr>
                <w:rFonts w:hint="default" w:ascii="Times New Roman" w:hAnsi="Times New Roman" w:cs="Times New Roman"/>
                <w:color w:val="000000"/>
                <w:highlight w:val="none"/>
              </w:rPr>
              <w:fldChar w:fldCharType="end"/>
            </w:r>
            <w:bookmarkEnd w:id="260"/>
            <w:r>
              <w:rPr>
                <w:rFonts w:hint="default" w:ascii="Times New Roman" w:hAnsi="Times New Roman" w:cs="Times New Roman"/>
                <w:color w:val="000000"/>
                <w:highlight w:val="none"/>
                <w:lang w:val="en-US" w:eastAsia="zh-CN"/>
              </w:rPr>
              <w:t xml:space="preserve"> 《建筑施工噪声排放标准》（GB 12523-2025）（摘录）</w:t>
            </w:r>
          </w:p>
          <w:tbl>
            <w:tblPr>
              <w:tblStyle w:val="22"/>
              <w:tblW w:w="863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79"/>
              <w:gridCol w:w="2880"/>
              <w:gridCol w:w="2880"/>
            </w:tblGrid>
            <w:tr w14:paraId="1868CB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79" w:type="dxa"/>
                  <w:noWrap w:val="0"/>
                  <w:vAlign w:val="center"/>
                </w:tcPr>
                <w:p w14:paraId="606D1F4F">
                  <w:pPr>
                    <w:pStyle w:val="31"/>
                    <w:bidi w:val="0"/>
                    <w:jc w:val="center"/>
                    <w:rPr>
                      <w:rFonts w:hint="default" w:ascii="Times New Roman" w:hAnsi="Times New Roman" w:cs="Times New Roman"/>
                      <w:b/>
                      <w:bCs/>
                      <w:color w:val="000000"/>
                      <w:highlight w:val="none"/>
                      <w:vertAlign w:val="baseline"/>
                      <w:lang w:val="en-US" w:eastAsia="zh-CN"/>
                    </w:rPr>
                  </w:pPr>
                  <w:r>
                    <w:rPr>
                      <w:rFonts w:hint="default" w:ascii="Times New Roman" w:hAnsi="Times New Roman" w:cs="Times New Roman"/>
                      <w:b/>
                      <w:bCs/>
                      <w:color w:val="000000"/>
                      <w:highlight w:val="none"/>
                      <w:vertAlign w:val="baseline"/>
                      <w:lang w:val="en-US" w:eastAsia="zh-CN"/>
                    </w:rPr>
                    <w:t>昼间</w:t>
                  </w:r>
                </w:p>
              </w:tc>
              <w:tc>
                <w:tcPr>
                  <w:tcW w:w="2880" w:type="dxa"/>
                  <w:noWrap w:val="0"/>
                  <w:vAlign w:val="center"/>
                </w:tcPr>
                <w:p w14:paraId="4790DD0A">
                  <w:pPr>
                    <w:pStyle w:val="31"/>
                    <w:bidi w:val="0"/>
                    <w:jc w:val="center"/>
                    <w:rPr>
                      <w:rFonts w:hint="default" w:ascii="Times New Roman" w:hAnsi="Times New Roman" w:cs="Times New Roman"/>
                      <w:b/>
                      <w:bCs/>
                      <w:color w:val="000000"/>
                      <w:highlight w:val="none"/>
                      <w:vertAlign w:val="baseline"/>
                      <w:lang w:val="en-US" w:eastAsia="zh-CN"/>
                    </w:rPr>
                  </w:pPr>
                  <w:r>
                    <w:rPr>
                      <w:rFonts w:hint="default" w:ascii="Times New Roman" w:hAnsi="Times New Roman" w:cs="Times New Roman"/>
                      <w:b/>
                      <w:bCs/>
                      <w:color w:val="000000"/>
                      <w:highlight w:val="none"/>
                      <w:vertAlign w:val="baseline"/>
                      <w:lang w:val="en-US" w:eastAsia="zh-CN"/>
                    </w:rPr>
                    <w:t>夜间</w:t>
                  </w:r>
                </w:p>
              </w:tc>
              <w:tc>
                <w:tcPr>
                  <w:tcW w:w="2880" w:type="dxa"/>
                  <w:noWrap w:val="0"/>
                  <w:vAlign w:val="center"/>
                </w:tcPr>
                <w:p w14:paraId="04C692B5">
                  <w:pPr>
                    <w:pStyle w:val="31"/>
                    <w:bidi w:val="0"/>
                    <w:jc w:val="center"/>
                    <w:rPr>
                      <w:rFonts w:hint="default" w:ascii="Times New Roman" w:hAnsi="Times New Roman" w:cs="Times New Roman"/>
                      <w:b/>
                      <w:bCs/>
                      <w:color w:val="000000"/>
                      <w:highlight w:val="none"/>
                      <w:vertAlign w:val="baseline"/>
                      <w:lang w:val="en-US" w:eastAsia="zh-CN"/>
                    </w:rPr>
                  </w:pPr>
                  <w:r>
                    <w:rPr>
                      <w:rFonts w:hint="default" w:ascii="Times New Roman" w:hAnsi="Times New Roman" w:cs="Times New Roman"/>
                      <w:b/>
                      <w:bCs/>
                      <w:color w:val="000000"/>
                      <w:highlight w:val="none"/>
                      <w:vertAlign w:val="baseline"/>
                      <w:lang w:val="en-US" w:eastAsia="zh-CN"/>
                    </w:rPr>
                    <w:t>单位</w:t>
                  </w:r>
                </w:p>
              </w:tc>
            </w:tr>
            <w:tr w14:paraId="4FAFFB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79" w:type="dxa"/>
                  <w:noWrap w:val="0"/>
                  <w:vAlign w:val="center"/>
                </w:tcPr>
                <w:p w14:paraId="04541544">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70</w:t>
                  </w:r>
                </w:p>
              </w:tc>
              <w:tc>
                <w:tcPr>
                  <w:tcW w:w="2880" w:type="dxa"/>
                  <w:noWrap w:val="0"/>
                  <w:vAlign w:val="center"/>
                </w:tcPr>
                <w:p w14:paraId="1029491C">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55</w:t>
                  </w:r>
                </w:p>
              </w:tc>
              <w:tc>
                <w:tcPr>
                  <w:tcW w:w="2880" w:type="dxa"/>
                  <w:noWrap w:val="0"/>
                  <w:vAlign w:val="center"/>
                </w:tcPr>
                <w:p w14:paraId="541913FC">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dB（A）</w:t>
                  </w:r>
                </w:p>
              </w:tc>
            </w:tr>
          </w:tbl>
          <w:p w14:paraId="719464ED">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bookmarkStart w:id="261" w:name="_Ref7338"/>
            <w:r>
              <w:rPr>
                <w:rFonts w:hint="default" w:ascii="Times New Roman" w:hAnsi="Times New Roman" w:cs="Times New Roman"/>
                <w:color w:val="000000"/>
                <w:highlight w:val="none"/>
                <w:lang w:val="en-US" w:eastAsia="zh-CN"/>
              </w:rPr>
              <w:t>（2）运营期</w:t>
            </w:r>
          </w:p>
          <w:p w14:paraId="491C03F8">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本项目所在区域声环境质量执行2类标准，运营期渔港边界噪声执行《工业企业厂界环境噪声排放标准》（GB 12348-2008）中的2类标准，具体标准限值见</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REF _Ref27506 \h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3.17</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9</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val="en-US" w:eastAsia="zh-CN"/>
              </w:rPr>
              <w:t>。</w:t>
            </w:r>
          </w:p>
          <w:p w14:paraId="610D1DCC">
            <w:pPr>
              <w:pStyle w:val="11"/>
              <w:rPr>
                <w:rFonts w:hint="default" w:ascii="Times New Roman" w:hAnsi="Times New Roman" w:cs="Times New Roman"/>
                <w:color w:val="000000"/>
                <w:highlight w:val="none"/>
                <w:lang w:val="en-US" w:eastAsia="zh-CN"/>
              </w:rPr>
            </w:pPr>
            <w:bookmarkStart w:id="262" w:name="_Ref27506"/>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3.17</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表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9</w:t>
            </w:r>
            <w:r>
              <w:rPr>
                <w:rFonts w:hint="default" w:ascii="Times New Roman" w:hAnsi="Times New Roman" w:cs="Times New Roman"/>
                <w:color w:val="000000"/>
                <w:highlight w:val="none"/>
              </w:rPr>
              <w:fldChar w:fldCharType="end"/>
            </w:r>
            <w:bookmarkEnd w:id="261"/>
            <w:bookmarkEnd w:id="262"/>
            <w:r>
              <w:rPr>
                <w:rFonts w:hint="default" w:ascii="Times New Roman" w:hAnsi="Times New Roman" w:cs="Times New Roman"/>
                <w:color w:val="000000"/>
                <w:highlight w:val="none"/>
                <w:lang w:val="en-US" w:eastAsia="zh-CN"/>
              </w:rPr>
              <w:t xml:space="preserve"> 《工业企业厂界环境噪声排放标准》（GB 12348-2008）（摘录）</w:t>
            </w:r>
          </w:p>
          <w:tbl>
            <w:tblPr>
              <w:tblStyle w:val="22"/>
              <w:tblW w:w="863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26"/>
              <w:gridCol w:w="1692"/>
              <w:gridCol w:w="2160"/>
              <w:gridCol w:w="2160"/>
            </w:tblGrid>
            <w:tr w14:paraId="71821F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2626" w:type="dxa"/>
                  <w:vMerge w:val="restart"/>
                  <w:noWrap w:val="0"/>
                  <w:vAlign w:val="center"/>
                </w:tcPr>
                <w:p w14:paraId="1649EAC4">
                  <w:pPr>
                    <w:pStyle w:val="31"/>
                    <w:bidi w:val="0"/>
                    <w:jc w:val="center"/>
                    <w:rPr>
                      <w:rFonts w:hint="default" w:ascii="Times New Roman" w:hAnsi="Times New Roman" w:cs="Times New Roman"/>
                      <w:b/>
                      <w:bCs/>
                      <w:color w:val="000000"/>
                      <w:highlight w:val="none"/>
                      <w:vertAlign w:val="baseline"/>
                      <w:lang w:val="en-US" w:eastAsia="zh-CN"/>
                    </w:rPr>
                  </w:pPr>
                  <w:r>
                    <w:rPr>
                      <w:rFonts w:hint="default" w:ascii="Times New Roman" w:hAnsi="Times New Roman" w:cs="Times New Roman"/>
                      <w:b/>
                      <w:bCs/>
                      <w:color w:val="000000"/>
                      <w:highlight w:val="none"/>
                      <w:vertAlign w:val="baseline"/>
                      <w:lang w:val="en-US" w:eastAsia="zh-CN"/>
                    </w:rPr>
                    <w:t>厂界外声环境功能区类别</w:t>
                  </w:r>
                </w:p>
              </w:tc>
              <w:tc>
                <w:tcPr>
                  <w:tcW w:w="3852" w:type="dxa"/>
                  <w:gridSpan w:val="2"/>
                  <w:noWrap w:val="0"/>
                  <w:vAlign w:val="center"/>
                </w:tcPr>
                <w:p w14:paraId="289818CE">
                  <w:pPr>
                    <w:pStyle w:val="31"/>
                    <w:bidi w:val="0"/>
                    <w:jc w:val="center"/>
                    <w:rPr>
                      <w:rFonts w:hint="default" w:ascii="Times New Roman" w:hAnsi="Times New Roman" w:cs="Times New Roman"/>
                      <w:b/>
                      <w:bCs/>
                      <w:color w:val="000000"/>
                      <w:highlight w:val="none"/>
                      <w:vertAlign w:val="baseline"/>
                      <w:lang w:val="en-US" w:eastAsia="zh-CN"/>
                    </w:rPr>
                  </w:pPr>
                  <w:r>
                    <w:rPr>
                      <w:rFonts w:hint="default" w:ascii="Times New Roman" w:hAnsi="Times New Roman" w:cs="Times New Roman"/>
                      <w:b/>
                      <w:bCs/>
                      <w:color w:val="000000"/>
                      <w:highlight w:val="none"/>
                      <w:vertAlign w:val="baseline"/>
                      <w:lang w:val="en-US" w:eastAsia="zh-CN"/>
                    </w:rPr>
                    <w:t>时段</w:t>
                  </w:r>
                </w:p>
              </w:tc>
              <w:tc>
                <w:tcPr>
                  <w:tcW w:w="2160" w:type="dxa"/>
                  <w:vMerge w:val="restart"/>
                  <w:noWrap w:val="0"/>
                  <w:vAlign w:val="center"/>
                </w:tcPr>
                <w:p w14:paraId="70335797">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b/>
                      <w:bCs/>
                      <w:color w:val="000000"/>
                      <w:highlight w:val="none"/>
                      <w:vertAlign w:val="baseline"/>
                      <w:lang w:val="en-US" w:eastAsia="zh-CN"/>
                    </w:rPr>
                    <w:t>单位</w:t>
                  </w:r>
                </w:p>
              </w:tc>
            </w:tr>
            <w:tr w14:paraId="2BD8EF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2626" w:type="dxa"/>
                  <w:vMerge w:val="continue"/>
                  <w:noWrap w:val="0"/>
                  <w:vAlign w:val="center"/>
                </w:tcPr>
                <w:p w14:paraId="2FC503C5">
                  <w:pPr>
                    <w:pStyle w:val="31"/>
                    <w:bidi w:val="0"/>
                    <w:jc w:val="center"/>
                    <w:rPr>
                      <w:rFonts w:hint="default" w:ascii="Times New Roman" w:hAnsi="Times New Roman" w:cs="Times New Roman"/>
                      <w:b/>
                      <w:bCs/>
                      <w:color w:val="000000"/>
                      <w:highlight w:val="none"/>
                      <w:vertAlign w:val="baseline"/>
                      <w:lang w:val="en-US" w:eastAsia="zh-CN"/>
                    </w:rPr>
                  </w:pPr>
                </w:p>
              </w:tc>
              <w:tc>
                <w:tcPr>
                  <w:tcW w:w="1692" w:type="dxa"/>
                  <w:noWrap w:val="0"/>
                  <w:vAlign w:val="center"/>
                </w:tcPr>
                <w:p w14:paraId="08958976">
                  <w:pPr>
                    <w:pStyle w:val="31"/>
                    <w:bidi w:val="0"/>
                    <w:jc w:val="center"/>
                    <w:rPr>
                      <w:rFonts w:hint="default" w:ascii="Times New Roman" w:hAnsi="Times New Roman" w:cs="Times New Roman"/>
                      <w:b/>
                      <w:bCs/>
                      <w:color w:val="000000"/>
                      <w:highlight w:val="none"/>
                      <w:vertAlign w:val="baseline"/>
                      <w:lang w:val="en-US" w:eastAsia="zh-CN"/>
                    </w:rPr>
                  </w:pPr>
                  <w:r>
                    <w:rPr>
                      <w:rFonts w:hint="default" w:ascii="Times New Roman" w:hAnsi="Times New Roman" w:cs="Times New Roman"/>
                      <w:b/>
                      <w:bCs/>
                      <w:color w:val="000000"/>
                      <w:highlight w:val="none"/>
                      <w:vertAlign w:val="baseline"/>
                      <w:lang w:val="en-US" w:eastAsia="zh-CN"/>
                    </w:rPr>
                    <w:t>昼间</w:t>
                  </w:r>
                </w:p>
              </w:tc>
              <w:tc>
                <w:tcPr>
                  <w:tcW w:w="2160" w:type="dxa"/>
                  <w:noWrap w:val="0"/>
                  <w:vAlign w:val="center"/>
                </w:tcPr>
                <w:p w14:paraId="3B8D2DB1">
                  <w:pPr>
                    <w:pStyle w:val="31"/>
                    <w:bidi w:val="0"/>
                    <w:jc w:val="center"/>
                    <w:rPr>
                      <w:rFonts w:hint="default" w:ascii="Times New Roman" w:hAnsi="Times New Roman" w:cs="Times New Roman"/>
                      <w:b/>
                      <w:bCs/>
                      <w:color w:val="000000"/>
                      <w:highlight w:val="none"/>
                      <w:vertAlign w:val="baseline"/>
                      <w:lang w:val="en-US" w:eastAsia="zh-CN"/>
                    </w:rPr>
                  </w:pPr>
                  <w:r>
                    <w:rPr>
                      <w:rFonts w:hint="default" w:ascii="Times New Roman" w:hAnsi="Times New Roman" w:cs="Times New Roman"/>
                      <w:b/>
                      <w:bCs/>
                      <w:color w:val="000000"/>
                      <w:highlight w:val="none"/>
                      <w:vertAlign w:val="baseline"/>
                      <w:lang w:val="en-US" w:eastAsia="zh-CN"/>
                    </w:rPr>
                    <w:t>夜间</w:t>
                  </w:r>
                </w:p>
              </w:tc>
              <w:tc>
                <w:tcPr>
                  <w:tcW w:w="2160" w:type="dxa"/>
                  <w:vMerge w:val="continue"/>
                  <w:noWrap w:val="0"/>
                  <w:vAlign w:val="center"/>
                </w:tcPr>
                <w:p w14:paraId="2DB95A3A">
                  <w:pPr>
                    <w:pStyle w:val="31"/>
                    <w:bidi w:val="0"/>
                    <w:jc w:val="center"/>
                    <w:rPr>
                      <w:rFonts w:hint="default" w:ascii="Times New Roman" w:hAnsi="Times New Roman" w:cs="Times New Roman"/>
                      <w:color w:val="000000"/>
                      <w:highlight w:val="none"/>
                      <w:vertAlign w:val="baseline"/>
                      <w:lang w:val="en-US" w:eastAsia="zh-CN"/>
                    </w:rPr>
                  </w:pPr>
                </w:p>
              </w:tc>
            </w:tr>
            <w:tr w14:paraId="5D721E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56" w:hRule="atLeast"/>
              </w:trPr>
              <w:tc>
                <w:tcPr>
                  <w:tcW w:w="2626" w:type="dxa"/>
                  <w:noWrap w:val="0"/>
                  <w:vAlign w:val="center"/>
                </w:tcPr>
                <w:p w14:paraId="1E5CBBD6">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2</w:t>
                  </w:r>
                </w:p>
              </w:tc>
              <w:tc>
                <w:tcPr>
                  <w:tcW w:w="1692" w:type="dxa"/>
                  <w:noWrap w:val="0"/>
                  <w:vAlign w:val="center"/>
                </w:tcPr>
                <w:p w14:paraId="7E666CBB">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60</w:t>
                  </w:r>
                </w:p>
              </w:tc>
              <w:tc>
                <w:tcPr>
                  <w:tcW w:w="2160" w:type="dxa"/>
                  <w:noWrap w:val="0"/>
                  <w:vAlign w:val="center"/>
                </w:tcPr>
                <w:p w14:paraId="034CEAFD">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50</w:t>
                  </w:r>
                </w:p>
              </w:tc>
              <w:tc>
                <w:tcPr>
                  <w:tcW w:w="2160" w:type="dxa"/>
                  <w:noWrap w:val="0"/>
                  <w:vAlign w:val="center"/>
                </w:tcPr>
                <w:p w14:paraId="675BB7E0">
                  <w:pPr>
                    <w:pStyle w:val="31"/>
                    <w:bidi w:val="0"/>
                    <w:jc w:val="cente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dB（A）</w:t>
                  </w:r>
                </w:p>
              </w:tc>
            </w:tr>
          </w:tbl>
          <w:p w14:paraId="7025B013">
            <w:pPr>
              <w:pStyle w:val="5"/>
              <w:tabs>
                <w:tab w:val="left" w:pos="0"/>
              </w:tabs>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固体废物</w:t>
            </w:r>
          </w:p>
          <w:p w14:paraId="203A2EEA">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lang w:val="en-US"/>
              </w:rPr>
            </w:pPr>
            <w:r>
              <w:rPr>
                <w:rFonts w:hint="default" w:ascii="Times New Roman" w:hAnsi="Times New Roman" w:cs="Times New Roman"/>
                <w:color w:val="000000"/>
                <w:highlight w:val="none"/>
                <w:lang w:val="en-US" w:eastAsia="zh-CN"/>
              </w:rPr>
              <w:t>一般固体废物处置执行《一般工业固体废物贮存和填埋污染控制标准》（GB18599-2020）中相关要求，危险废物处置执行《危险废物贮存污染控制标准》（GB 18597-2023）中相关要求，陆域生活垃圾委托当地环卫部门及时收集、运送处置。船舶垃圾排放执行《船舶水污染物排放控制标准》（GB 3552-2018），船舶垃圾分类收集后交由海事部门认可的船舶污染物接收单位接收处理，不在港区排放。</w:t>
            </w:r>
            <w:bookmarkEnd w:id="251"/>
            <w:bookmarkEnd w:id="252"/>
          </w:p>
        </w:tc>
      </w:tr>
      <w:tr w14:paraId="430BFF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8" w:type="dxa"/>
            <w:left w:w="108" w:type="dxa"/>
            <w:bottom w:w="108" w:type="dxa"/>
            <w:right w:w="108" w:type="dxa"/>
          </w:tblCellMar>
        </w:tblPrEx>
        <w:trPr>
          <w:trHeight w:val="2337" w:hRule="atLeast"/>
          <w:jc w:val="center"/>
        </w:trPr>
        <w:tc>
          <w:tcPr>
            <w:tcW w:w="762" w:type="dxa"/>
            <w:noWrap w:val="0"/>
            <w:vAlign w:val="center"/>
          </w:tcPr>
          <w:p w14:paraId="794E0B67">
            <w:pPr>
              <w:adjustRightInd w:val="0"/>
              <w:snapToGrid w:val="0"/>
              <w:spacing w:line="360" w:lineRule="auto"/>
              <w:jc w:val="center"/>
              <w:rPr>
                <w:rFonts w:hint="default" w:ascii="Times New Roman" w:hAnsi="Times New Roman" w:cs="Times New Roman"/>
                <w:color w:val="000000"/>
                <w:kern w:val="0"/>
                <w:szCs w:val="21"/>
                <w:u w:val="none"/>
              </w:rPr>
            </w:pPr>
            <w:r>
              <w:rPr>
                <w:rFonts w:hint="default" w:ascii="Times New Roman" w:hAnsi="Times New Roman" w:cs="Times New Roman"/>
                <w:color w:val="000000"/>
                <w:kern w:val="0"/>
                <w:szCs w:val="21"/>
                <w:u w:val="none"/>
              </w:rPr>
              <w:t>其他</w:t>
            </w:r>
          </w:p>
        </w:tc>
        <w:tc>
          <w:tcPr>
            <w:tcW w:w="8814" w:type="dxa"/>
            <w:noWrap w:val="0"/>
            <w:vAlign w:val="center"/>
          </w:tcPr>
          <w:p w14:paraId="46A32978">
            <w:pPr>
              <w:pStyle w:val="3"/>
              <w:bidi w:val="0"/>
              <w:ind w:left="567" w:leftChars="0" w:hanging="567" w:firstLineChars="0"/>
              <w:rPr>
                <w:rFonts w:hint="default"/>
                <w:lang w:val="en-US" w:eastAsia="zh-CN"/>
              </w:rPr>
            </w:pPr>
            <w:bookmarkStart w:id="263" w:name="_Toc21465"/>
            <w:bookmarkStart w:id="264" w:name="_Toc21059"/>
            <w:bookmarkStart w:id="265" w:name="_Toc6068"/>
            <w:r>
              <w:rPr>
                <w:rFonts w:hint="default"/>
                <w:lang w:val="en-US" w:eastAsia="zh-CN"/>
              </w:rPr>
              <w:t>总量控制指标</w:t>
            </w:r>
            <w:bookmarkEnd w:id="263"/>
            <w:bookmarkEnd w:id="264"/>
            <w:bookmarkEnd w:id="265"/>
          </w:p>
          <w:p w14:paraId="0FB60E30">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污染物排放总量控制是我国环境保护管理的一项重要内容，是考核各级政府和企业环境保护目标责任制的重要指标，也是改善环境质量的具体措施之一。其原则是将污染物排放总量控制在某一限度之内。总量控制方案的确定，应在考虑区域总量控制目标及当地环境质量、环境功能和环境管理要求的基础上，结合项目的实际条件和污染控制措施的经济技术可行性进行。目前，国家实施污染物总量控制的基本程序是：由各级政府层层分解、下达区域控制指标，各级政府再根据辖区内企业发展状况和污染防治规划情况，给企业分解、下达具体控制指标。</w:t>
            </w:r>
          </w:p>
          <w:p w14:paraId="2CF5E5C3">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按照《国务院关于印发“十四五”节能减排综合工作方案的通知》（国发〔2021〕33号）以及《福建省人民政府办公厅关于印发“十四五”生态环境保护专项规划的通知》（闽政办〔2021〕59号）的要求，“十四五”期间，氮氧化物、化学需氧量、氨氮、挥发性有机物4种主要污染物实行排放总量控制计划管理。</w:t>
            </w:r>
          </w:p>
          <w:p w14:paraId="1172BBFB">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本项目为渔业基础设施建设项目，新增的氮氧化物和挥发性有机物为船舶和车辆源排放，不建议纳入总量控制。本项目建设完成后，港区生产废水、生活污水经自建污水处理站处理后回用于港区绿化灌溉、洒水及冲洗用水，不外排。船舶污水由海事部门认可的船舶污染物接收单位接收处理，不在港区排放。</w:t>
            </w:r>
          </w:p>
          <w:p w14:paraId="299A597C">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u w:val="none"/>
                <w:lang w:val="en-US" w:eastAsia="zh-CN"/>
              </w:rPr>
            </w:pPr>
            <w:r>
              <w:rPr>
                <w:rFonts w:hint="default" w:ascii="Times New Roman" w:hAnsi="Times New Roman" w:cs="Times New Roman"/>
                <w:color w:val="000000"/>
                <w:highlight w:val="none"/>
                <w:lang w:val="en-US" w:eastAsia="zh-CN"/>
              </w:rPr>
              <w:t>因此，本项目无需申请总量控制指标。</w:t>
            </w:r>
          </w:p>
          <w:p w14:paraId="06093211">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u w:val="none"/>
                <w:lang w:val="en-US" w:eastAsia="zh-CN"/>
              </w:rPr>
            </w:pPr>
          </w:p>
          <w:p w14:paraId="5135484F">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u w:val="none"/>
                <w:lang w:val="en-US" w:eastAsia="zh-CN"/>
              </w:rPr>
            </w:pPr>
          </w:p>
          <w:p w14:paraId="17FCC8C2">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u w:val="none"/>
                <w:lang w:val="en-US" w:eastAsia="zh-CN"/>
              </w:rPr>
            </w:pPr>
          </w:p>
          <w:p w14:paraId="1086D45F">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u w:val="none"/>
                <w:lang w:val="en-US" w:eastAsia="zh-CN"/>
              </w:rPr>
            </w:pPr>
          </w:p>
          <w:p w14:paraId="61BE7266">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lang w:val="en-US" w:eastAsia="zh-CN"/>
              </w:rPr>
            </w:pPr>
          </w:p>
          <w:p w14:paraId="3F1E2B5C">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u w:val="none"/>
                <w:lang w:val="en-US" w:eastAsia="zh-CN"/>
              </w:rPr>
            </w:pPr>
          </w:p>
          <w:p w14:paraId="1EC33A04">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u w:val="none"/>
                <w:lang w:val="en-US" w:eastAsia="zh-CN"/>
              </w:rPr>
            </w:pPr>
          </w:p>
          <w:p w14:paraId="6F6BD067">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u w:val="none"/>
                <w:lang w:val="en-US" w:eastAsia="zh-CN"/>
              </w:rPr>
            </w:pPr>
          </w:p>
          <w:p w14:paraId="14197C8C">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u w:val="none"/>
                <w:lang w:val="en-US" w:eastAsia="zh-CN"/>
              </w:rPr>
            </w:pPr>
          </w:p>
          <w:p w14:paraId="1AB29D98">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u w:val="none"/>
                <w:lang w:val="en-US" w:eastAsia="zh-CN"/>
              </w:rPr>
            </w:pPr>
          </w:p>
          <w:p w14:paraId="712BD78E">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lang w:val="en-US" w:eastAsia="zh-CN"/>
              </w:rPr>
            </w:pPr>
          </w:p>
          <w:p w14:paraId="7BA13119">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lang w:val="en-US" w:eastAsia="zh-CN"/>
              </w:rPr>
            </w:pPr>
          </w:p>
          <w:p w14:paraId="560474E0">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u w:val="none"/>
                <w:lang w:val="en-US" w:eastAsia="zh-CN"/>
              </w:rPr>
            </w:pPr>
          </w:p>
          <w:p w14:paraId="727FA41B">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u w:val="none"/>
                <w:lang w:val="en-US" w:eastAsia="zh-CN"/>
              </w:rPr>
            </w:pPr>
          </w:p>
          <w:p w14:paraId="5250E5C2">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u w:val="none"/>
                <w:lang w:val="en-US" w:eastAsia="zh-CN"/>
              </w:rPr>
            </w:pPr>
          </w:p>
          <w:p w14:paraId="3878902E">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u w:val="none"/>
                <w:lang w:val="en-US" w:eastAsia="zh-CN"/>
              </w:rPr>
            </w:pPr>
          </w:p>
          <w:p w14:paraId="4C07D261">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u w:val="none"/>
                <w:lang w:val="en-US" w:eastAsia="zh-CN"/>
              </w:rPr>
            </w:pPr>
          </w:p>
          <w:p w14:paraId="58AC6DAA">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u w:val="none"/>
                <w:lang w:val="en-US" w:eastAsia="zh-CN"/>
              </w:rPr>
            </w:pPr>
          </w:p>
          <w:p w14:paraId="0A55059D">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u w:val="none"/>
                <w:lang w:val="en-US" w:eastAsia="zh-CN"/>
              </w:rPr>
            </w:pPr>
          </w:p>
          <w:p w14:paraId="5920BF7E">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u w:val="none"/>
                <w:lang w:val="en-US" w:eastAsia="zh-CN"/>
              </w:rPr>
            </w:pPr>
          </w:p>
          <w:p w14:paraId="49E634C2">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u w:val="none"/>
                <w:lang w:val="en-US" w:eastAsia="zh-CN"/>
              </w:rPr>
            </w:pPr>
          </w:p>
          <w:p w14:paraId="312CAB91">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lang w:val="en-US"/>
              </w:rPr>
            </w:pPr>
          </w:p>
        </w:tc>
      </w:tr>
    </w:tbl>
    <w:p w14:paraId="57C919EE">
      <w:pPr>
        <w:bidi w:val="0"/>
        <w:rPr>
          <w:rFonts w:hint="default" w:ascii="Times New Roman" w:hAnsi="Times New Roman" w:cs="Times New Roman"/>
          <w:color w:val="000000"/>
        </w:rPr>
        <w:sectPr>
          <w:pgSz w:w="11906" w:h="16838"/>
          <w:pgMar w:top="1701" w:right="1531" w:bottom="1701" w:left="1531" w:header="851" w:footer="1077" w:gutter="0"/>
          <w:pgNumType w:fmt="decimal"/>
          <w:cols w:space="720" w:num="1"/>
          <w:docGrid w:linePitch="312" w:charSpace="0"/>
        </w:sectPr>
      </w:pPr>
    </w:p>
    <w:p w14:paraId="45F86DBF">
      <w:pPr>
        <w:pStyle w:val="2"/>
        <w:bidi w:val="0"/>
        <w:ind w:left="425" w:leftChars="0" w:hanging="425" w:firstLineChars="0"/>
        <w:rPr>
          <w:rFonts w:hint="default"/>
        </w:rPr>
      </w:pPr>
      <w:bookmarkStart w:id="266" w:name="_Toc4003"/>
      <w:bookmarkStart w:id="267" w:name="_Toc6632"/>
      <w:bookmarkStart w:id="268" w:name="_Toc8620"/>
      <w:bookmarkStart w:id="269" w:name="_Toc1262"/>
      <w:bookmarkStart w:id="270" w:name="_Toc4825"/>
      <w:r>
        <w:rPr>
          <w:rFonts w:hint="default"/>
        </w:rPr>
        <w:t>生态环境影响分析</w:t>
      </w:r>
      <w:bookmarkEnd w:id="266"/>
      <w:bookmarkEnd w:id="267"/>
      <w:bookmarkEnd w:id="268"/>
      <w:bookmarkEnd w:id="269"/>
      <w:bookmarkEnd w:id="270"/>
    </w:p>
    <w:tbl>
      <w:tblPr>
        <w:tblStyle w:val="21"/>
        <w:tblW w:w="924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8" w:type="dxa"/>
          <w:left w:w="108" w:type="dxa"/>
          <w:bottom w:w="108" w:type="dxa"/>
          <w:right w:w="108" w:type="dxa"/>
        </w:tblCellMar>
      </w:tblPr>
      <w:tblGrid>
        <w:gridCol w:w="783"/>
        <w:gridCol w:w="8459"/>
      </w:tblGrid>
      <w:tr w14:paraId="6CBFA7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8" w:type="dxa"/>
            <w:left w:w="108" w:type="dxa"/>
            <w:bottom w:w="108" w:type="dxa"/>
            <w:right w:w="108" w:type="dxa"/>
          </w:tblCellMar>
        </w:tblPrEx>
        <w:trPr>
          <w:trHeight w:val="2653" w:hRule="atLeast"/>
          <w:jc w:val="center"/>
        </w:trPr>
        <w:tc>
          <w:tcPr>
            <w:tcW w:w="783" w:type="dxa"/>
            <w:noWrap w:val="0"/>
            <w:tcMar>
              <w:left w:w="28" w:type="dxa"/>
              <w:right w:w="28" w:type="dxa"/>
            </w:tcMar>
            <w:vAlign w:val="center"/>
          </w:tcPr>
          <w:p w14:paraId="36009A03">
            <w:pPr>
              <w:adjustRightInd w:val="0"/>
              <w:snapToGrid w:val="0"/>
              <w:spacing w:before="0" w:beforeAutospacing="0" w:after="0" w:afterAutospacing="0" w:line="360" w:lineRule="auto"/>
              <w:jc w:val="center"/>
              <w:rPr>
                <w:rFonts w:hint="default" w:ascii="Times New Roman" w:hAnsi="Times New Roman" w:cs="Times New Roman"/>
                <w:bCs/>
                <w:color w:val="000000"/>
                <w:kern w:val="2"/>
                <w:sz w:val="24"/>
                <w:szCs w:val="24"/>
                <w:u w:val="none"/>
              </w:rPr>
            </w:pPr>
            <w:bookmarkStart w:id="271" w:name="_Hlk49796138"/>
            <w:r>
              <w:rPr>
                <w:rFonts w:hint="default" w:ascii="Times New Roman" w:hAnsi="Times New Roman" w:cs="Times New Roman"/>
                <w:bCs/>
                <w:color w:val="000000"/>
                <w:spacing w:val="10"/>
                <w:kern w:val="2"/>
                <w:sz w:val="24"/>
                <w:szCs w:val="24"/>
                <w:u w:val="none"/>
              </w:rPr>
              <w:t>施工期生态环境影响分析</w:t>
            </w:r>
            <w:bookmarkEnd w:id="271"/>
          </w:p>
        </w:tc>
        <w:tc>
          <w:tcPr>
            <w:tcW w:w="8459" w:type="dxa"/>
            <w:noWrap w:val="0"/>
            <w:vAlign w:val="center"/>
          </w:tcPr>
          <w:p w14:paraId="33E63F01">
            <w:pPr>
              <w:pStyle w:val="3"/>
              <w:bidi w:val="0"/>
              <w:ind w:left="567" w:leftChars="0" w:hanging="567" w:firstLineChars="0"/>
              <w:rPr>
                <w:rFonts w:hint="default"/>
              </w:rPr>
            </w:pPr>
            <w:bookmarkStart w:id="272" w:name="_Toc20521"/>
            <w:bookmarkStart w:id="273" w:name="_Toc18016"/>
            <w:bookmarkStart w:id="274" w:name="_Toc28698"/>
            <w:r>
              <w:rPr>
                <w:rFonts w:hint="default"/>
              </w:rPr>
              <w:t>施工期工艺分析</w:t>
            </w:r>
            <w:bookmarkEnd w:id="272"/>
          </w:p>
          <w:p w14:paraId="3B7DB82C">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本项目主体工程包括东防波堤、南防波堤兼码头、港池疏浚、陆域形成、施工便桥搭设及拆除、渔港综合管理大楼、污水处理站等建设。</w:t>
            </w:r>
          </w:p>
          <w:p w14:paraId="34138553">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根据施工工艺特点，结合项目区附近环境特征，确定本项目主要环境影响因素为：基槽开挖、港池疏浚、基床抛石施工过程扰动海床淤泥、泥砂流失对海水水质、海洋生态环境的影响；施工扬尘以及施工机械设备废气对大气环境的影响；施工过程中机械噪声、钻机噪声和船舶运输噪声等对声环境的影响；此外还有施工船舶废污水、陆上人员生活污水、固体废物对周边环境的影响。</w:t>
            </w:r>
          </w:p>
          <w:p w14:paraId="74BAE675">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本项目施工过程产污节点见</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REF _Ref31511 \h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rPr>
              <w:t>图</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4.1</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1</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val="en-US" w:eastAsia="zh-CN"/>
              </w:rPr>
              <w:t>~</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REF _Ref7157 \h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rPr>
              <w:t>图</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4.1</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5</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val="en-US" w:eastAsia="zh-CN"/>
              </w:rPr>
              <w:t>。</w:t>
            </w:r>
          </w:p>
          <w:p w14:paraId="2FC2CE2A">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drawing>
                <wp:inline distT="0" distB="0" distL="114300" distR="114300">
                  <wp:extent cx="5219700" cy="2635885"/>
                  <wp:effectExtent l="0" t="0" r="0" b="12065"/>
                  <wp:docPr id="292" name="图片 1074" descr="1工艺流程图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1074" descr="1工艺流程图2"/>
                          <pic:cNvPicPr>
                            <a:picLocks noChangeAspect="1"/>
                          </pic:cNvPicPr>
                        </pic:nvPicPr>
                        <pic:blipFill>
                          <a:blip r:embed="rId21"/>
                          <a:stretch>
                            <a:fillRect/>
                          </a:stretch>
                        </pic:blipFill>
                        <pic:spPr>
                          <a:xfrm>
                            <a:off x="0" y="0"/>
                            <a:ext cx="5219700" cy="2635885"/>
                          </a:xfrm>
                          <a:prstGeom prst="rect">
                            <a:avLst/>
                          </a:prstGeom>
                          <a:noFill/>
                          <a:ln>
                            <a:noFill/>
                          </a:ln>
                        </pic:spPr>
                      </pic:pic>
                    </a:graphicData>
                  </a:graphic>
                </wp:inline>
              </w:drawing>
            </w:r>
          </w:p>
          <w:p w14:paraId="5F623E17">
            <w:pPr>
              <w:pStyle w:val="30"/>
              <w:bidi w:val="0"/>
              <w:rPr>
                <w:rFonts w:hint="default" w:ascii="Times New Roman" w:hAnsi="Times New Roman" w:cs="Times New Roman"/>
                <w:color w:val="000000"/>
                <w:highlight w:val="none"/>
                <w:lang w:val="en-US" w:eastAsia="zh-CN"/>
              </w:rPr>
            </w:pPr>
            <w:bookmarkStart w:id="275" w:name="_Ref31511"/>
            <w:r>
              <w:rPr>
                <w:rFonts w:hint="default" w:ascii="Times New Roman" w:hAnsi="Times New Roman" w:cs="Times New Roman"/>
                <w:color w:val="000000"/>
                <w:highlight w:val="none"/>
              </w:rPr>
              <w:t>图</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4.1</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图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1</w:t>
            </w:r>
            <w:r>
              <w:rPr>
                <w:rFonts w:hint="default" w:ascii="Times New Roman" w:hAnsi="Times New Roman" w:cs="Times New Roman"/>
                <w:color w:val="000000"/>
                <w:highlight w:val="none"/>
              </w:rPr>
              <w:fldChar w:fldCharType="end"/>
            </w:r>
            <w:bookmarkEnd w:id="275"/>
            <w:r>
              <w:rPr>
                <w:rFonts w:hint="default" w:ascii="Times New Roman" w:hAnsi="Times New Roman" w:cs="Times New Roman"/>
                <w:color w:val="000000"/>
                <w:highlight w:val="none"/>
                <w:lang w:val="en-US" w:eastAsia="zh-CN"/>
              </w:rPr>
              <w:t xml:space="preserve"> 南防波堤施工期产污环节示意图</w:t>
            </w:r>
          </w:p>
          <w:p w14:paraId="357711C6">
            <w:pPr>
              <w:pStyle w:val="31"/>
              <w:bidi w:val="0"/>
              <w:rPr>
                <w:rFonts w:hint="default" w:ascii="Times New Roman" w:hAnsi="Times New Roman" w:eastAsia="宋体" w:cs="Times New Roman"/>
                <w:color w:val="000000"/>
                <w:highlight w:val="none"/>
                <w:lang w:eastAsia="zh-CN"/>
              </w:rPr>
            </w:pPr>
            <w:r>
              <w:rPr>
                <w:rFonts w:hint="default" w:ascii="Times New Roman" w:hAnsi="Times New Roman" w:cs="Times New Roman"/>
                <w:color w:val="000000"/>
                <w:highlight w:val="none"/>
              </w:rPr>
              <w:drawing>
                <wp:inline distT="0" distB="0" distL="114300" distR="114300">
                  <wp:extent cx="5219700" cy="1278890"/>
                  <wp:effectExtent l="0" t="0" r="0" b="16510"/>
                  <wp:docPr id="293" name="图片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1076"/>
                          <pic:cNvPicPr>
                            <a:picLocks noChangeAspect="1"/>
                          </pic:cNvPicPr>
                        </pic:nvPicPr>
                        <pic:blipFill>
                          <a:blip r:embed="rId22"/>
                          <a:stretch>
                            <a:fillRect/>
                          </a:stretch>
                        </pic:blipFill>
                        <pic:spPr>
                          <a:xfrm>
                            <a:off x="0" y="0"/>
                            <a:ext cx="5219700" cy="1278890"/>
                          </a:xfrm>
                          <a:prstGeom prst="rect">
                            <a:avLst/>
                          </a:prstGeom>
                          <a:noFill/>
                          <a:ln>
                            <a:noFill/>
                          </a:ln>
                        </pic:spPr>
                      </pic:pic>
                    </a:graphicData>
                  </a:graphic>
                </wp:inline>
              </w:drawing>
            </w:r>
          </w:p>
          <w:p w14:paraId="5A997B48">
            <w:pPr>
              <w:pStyle w:val="30"/>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rPr>
              <w:t>图</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4.1</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图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2</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val="en-US" w:eastAsia="zh-CN"/>
              </w:rPr>
              <w:t xml:space="preserve"> 港池疏浚工序及产污环节示意图</w:t>
            </w:r>
          </w:p>
          <w:p w14:paraId="73121591">
            <w:pPr>
              <w:pStyle w:val="31"/>
              <w:bidi w:val="0"/>
              <w:rPr>
                <w:rFonts w:hint="default" w:ascii="Times New Roman" w:hAnsi="Times New Roman" w:eastAsia="宋体" w:cs="Times New Roman"/>
                <w:color w:val="000000"/>
                <w:highlight w:val="none"/>
                <w:lang w:eastAsia="zh-CN"/>
              </w:rPr>
            </w:pPr>
            <w:r>
              <w:rPr>
                <w:rFonts w:hint="default" w:ascii="Times New Roman" w:hAnsi="Times New Roman" w:eastAsia="宋体" w:cs="Times New Roman"/>
                <w:color w:val="000000"/>
                <w:highlight w:val="none"/>
                <w:lang w:eastAsia="zh-CN"/>
              </w:rPr>
              <w:drawing>
                <wp:inline distT="0" distB="0" distL="114300" distR="114300">
                  <wp:extent cx="5219700" cy="2356485"/>
                  <wp:effectExtent l="0" t="0" r="0" b="5715"/>
                  <wp:docPr id="294" name="图片 57" descr="1工艺流程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57" descr="1工艺流程图1"/>
                          <pic:cNvPicPr>
                            <a:picLocks noChangeAspect="1"/>
                          </pic:cNvPicPr>
                        </pic:nvPicPr>
                        <pic:blipFill>
                          <a:blip r:embed="rId23"/>
                          <a:stretch>
                            <a:fillRect/>
                          </a:stretch>
                        </pic:blipFill>
                        <pic:spPr>
                          <a:xfrm>
                            <a:off x="0" y="0"/>
                            <a:ext cx="5219700" cy="2356485"/>
                          </a:xfrm>
                          <a:prstGeom prst="rect">
                            <a:avLst/>
                          </a:prstGeom>
                          <a:noFill/>
                          <a:ln>
                            <a:noFill/>
                          </a:ln>
                        </pic:spPr>
                      </pic:pic>
                    </a:graphicData>
                  </a:graphic>
                </wp:inline>
              </w:drawing>
            </w:r>
          </w:p>
          <w:p w14:paraId="1C5E5120">
            <w:pPr>
              <w:pStyle w:val="30"/>
              <w:bidi w:val="0"/>
              <w:rPr>
                <w:rFonts w:hint="default" w:ascii="Times New Roman" w:hAnsi="Times New Roman" w:cs="Times New Roman"/>
                <w:color w:val="000000"/>
                <w:highlight w:val="none"/>
                <w:lang w:val="en-US" w:eastAsia="zh-CN"/>
              </w:rPr>
            </w:pPr>
            <w:bookmarkStart w:id="276" w:name="_Ref7151"/>
            <w:r>
              <w:rPr>
                <w:rFonts w:hint="default" w:ascii="Times New Roman" w:hAnsi="Times New Roman" w:cs="Times New Roman"/>
                <w:color w:val="000000"/>
                <w:highlight w:val="none"/>
              </w:rPr>
              <w:t>图</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4.1</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图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w:t>
            </w:r>
            <w:r>
              <w:rPr>
                <w:rFonts w:hint="default" w:ascii="Times New Roman" w:hAnsi="Times New Roman" w:cs="Times New Roman"/>
                <w:color w:val="000000"/>
                <w:highlight w:val="none"/>
              </w:rPr>
              <w:fldChar w:fldCharType="end"/>
            </w:r>
            <w:bookmarkEnd w:id="276"/>
            <w:r>
              <w:rPr>
                <w:rFonts w:hint="default" w:ascii="Times New Roman" w:hAnsi="Times New Roman" w:cs="Times New Roman"/>
                <w:color w:val="000000"/>
                <w:highlight w:val="none"/>
                <w:lang w:val="en-US" w:eastAsia="zh-CN"/>
              </w:rPr>
              <w:t xml:space="preserve"> 东防波堤施工期产污环节示意图</w:t>
            </w:r>
          </w:p>
          <w:p w14:paraId="6076F8FF">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drawing>
                <wp:inline distT="0" distB="0" distL="114300" distR="114300">
                  <wp:extent cx="5219700" cy="1177290"/>
                  <wp:effectExtent l="0" t="0" r="0" b="3810"/>
                  <wp:docPr id="295" name="图片 60" descr="1工艺流程图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60" descr="1工艺流程图4"/>
                          <pic:cNvPicPr>
                            <a:picLocks noChangeAspect="1"/>
                          </pic:cNvPicPr>
                        </pic:nvPicPr>
                        <pic:blipFill>
                          <a:blip r:embed="rId24"/>
                          <a:stretch>
                            <a:fillRect/>
                          </a:stretch>
                        </pic:blipFill>
                        <pic:spPr>
                          <a:xfrm>
                            <a:off x="0" y="0"/>
                            <a:ext cx="5219700" cy="1177290"/>
                          </a:xfrm>
                          <a:prstGeom prst="rect">
                            <a:avLst/>
                          </a:prstGeom>
                          <a:noFill/>
                          <a:ln>
                            <a:noFill/>
                          </a:ln>
                        </pic:spPr>
                      </pic:pic>
                    </a:graphicData>
                  </a:graphic>
                </wp:inline>
              </w:drawing>
            </w:r>
          </w:p>
          <w:p w14:paraId="4AEC01CA">
            <w:pPr>
              <w:pStyle w:val="30"/>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rPr>
              <w:t>图</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4.1</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图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val="en-US" w:eastAsia="zh-CN"/>
              </w:rPr>
              <w:t xml:space="preserve"> 陆域形成施工工序及产污环节示意图</w:t>
            </w:r>
          </w:p>
          <w:p w14:paraId="0FB3FA69">
            <w:pPr>
              <w:pStyle w:val="31"/>
              <w:bidi w:val="0"/>
              <w:rPr>
                <w:rFonts w:hint="default" w:ascii="Times New Roman" w:hAnsi="Times New Roman" w:eastAsia="宋体" w:cs="Times New Roman"/>
                <w:color w:val="000000"/>
                <w:highlight w:val="none"/>
                <w:lang w:eastAsia="zh-CN"/>
              </w:rPr>
            </w:pPr>
            <w:r>
              <w:rPr>
                <w:rFonts w:hint="default" w:ascii="Times New Roman" w:hAnsi="Times New Roman" w:eastAsia="宋体" w:cs="Times New Roman"/>
                <w:color w:val="000000"/>
                <w:highlight w:val="none"/>
                <w:lang w:eastAsia="zh-CN"/>
              </w:rPr>
              <w:drawing>
                <wp:inline distT="0" distB="0" distL="114300" distR="114300">
                  <wp:extent cx="5219700" cy="1369060"/>
                  <wp:effectExtent l="0" t="0" r="0" b="2540"/>
                  <wp:docPr id="296" name="图片 61" descr="1工艺流程图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61" descr="1工艺流程图5"/>
                          <pic:cNvPicPr>
                            <a:picLocks noChangeAspect="1"/>
                          </pic:cNvPicPr>
                        </pic:nvPicPr>
                        <pic:blipFill>
                          <a:blip r:embed="rId25"/>
                          <a:stretch>
                            <a:fillRect/>
                          </a:stretch>
                        </pic:blipFill>
                        <pic:spPr>
                          <a:xfrm>
                            <a:off x="0" y="0"/>
                            <a:ext cx="5219700" cy="1369060"/>
                          </a:xfrm>
                          <a:prstGeom prst="rect">
                            <a:avLst/>
                          </a:prstGeom>
                          <a:noFill/>
                          <a:ln>
                            <a:noFill/>
                          </a:ln>
                        </pic:spPr>
                      </pic:pic>
                    </a:graphicData>
                  </a:graphic>
                </wp:inline>
              </w:drawing>
            </w:r>
          </w:p>
          <w:p w14:paraId="637DF1D5">
            <w:pPr>
              <w:pStyle w:val="30"/>
              <w:bidi w:val="0"/>
              <w:rPr>
                <w:rFonts w:hint="default" w:ascii="Times New Roman" w:hAnsi="Times New Roman" w:cs="Times New Roman"/>
                <w:color w:val="000000"/>
                <w:highlight w:val="none"/>
                <w:lang w:val="en-US" w:eastAsia="zh-CN"/>
              </w:rPr>
            </w:pPr>
            <w:bookmarkStart w:id="277" w:name="_Ref7157"/>
            <w:r>
              <w:rPr>
                <w:rFonts w:hint="default" w:ascii="Times New Roman" w:hAnsi="Times New Roman" w:cs="Times New Roman"/>
                <w:color w:val="000000"/>
                <w:highlight w:val="none"/>
              </w:rPr>
              <w:t>图</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4.1</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图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5</w:t>
            </w:r>
            <w:r>
              <w:rPr>
                <w:rFonts w:hint="default" w:ascii="Times New Roman" w:hAnsi="Times New Roman" w:cs="Times New Roman"/>
                <w:color w:val="000000"/>
                <w:highlight w:val="none"/>
              </w:rPr>
              <w:fldChar w:fldCharType="end"/>
            </w:r>
            <w:bookmarkEnd w:id="277"/>
            <w:r>
              <w:rPr>
                <w:rFonts w:hint="default" w:ascii="Times New Roman" w:hAnsi="Times New Roman" w:cs="Times New Roman"/>
                <w:color w:val="000000"/>
                <w:highlight w:val="none"/>
                <w:lang w:val="en-US" w:eastAsia="zh-CN"/>
              </w:rPr>
              <w:t xml:space="preserve"> 渔港综合管理大楼、污水处理站等施工工序及产污环节示意图</w:t>
            </w:r>
          </w:p>
          <w:p w14:paraId="7053A9D6">
            <w:pPr>
              <w:pStyle w:val="3"/>
              <w:bidi w:val="0"/>
              <w:rPr>
                <w:rFonts w:hint="default"/>
              </w:rPr>
            </w:pPr>
            <w:bookmarkStart w:id="278" w:name="_Toc8876"/>
            <w:r>
              <w:rPr>
                <w:rFonts w:hint="default"/>
              </w:rPr>
              <w:t>施工期主要污染源分析</w:t>
            </w:r>
            <w:bookmarkEnd w:id="278"/>
          </w:p>
          <w:p w14:paraId="0638A74E">
            <w:pPr>
              <w:pStyle w:val="4"/>
              <w:bidi w:val="0"/>
              <w:rPr>
                <w:rFonts w:hint="default"/>
                <w:lang w:val="en-US" w:eastAsia="zh-CN"/>
              </w:rPr>
            </w:pPr>
            <w:r>
              <w:rPr>
                <w:rFonts w:hint="default"/>
                <w:lang w:val="en-US" w:eastAsia="zh-CN"/>
              </w:rPr>
              <w:t>悬浮泥沙入海源强分析</w:t>
            </w:r>
          </w:p>
          <w:p w14:paraId="60FCD855">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施工期的悬浮物主要来源于防波堤基槽开挖、施工便桥搭设及拆除、抛石、施打塑料排水板、沉箱安放等。</w:t>
            </w:r>
          </w:p>
          <w:p w14:paraId="08DD1900">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1</w:t>
            </w: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rPr>
              <w:t>基槽开挖、港池疏浚悬浮泥沙入海产生量</w:t>
            </w:r>
          </w:p>
          <w:p w14:paraId="7D8A9C51">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本项目南防波堤建设、海亮二级渔港码头前沿港池疏浚需要进行开挖，具体施工范围见</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REF _Ref21281 \h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rPr>
              <w:t>图</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4.2</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1</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val="en-US" w:eastAsia="zh-CN"/>
              </w:rPr>
              <w:t>。本项目疏浚及基槽开挖拟采用8m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抓斗挖泥船。抓斗挖泥船悬浮泥砂（SS）发生量按《港口建设项目环境影响评价规范》（JTJ 226-1997）中提出的公式进行估算。</w:t>
            </w:r>
          </w:p>
          <w:p w14:paraId="360C6B31">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drawing>
                <wp:inline distT="0" distB="0" distL="114300" distR="114300">
                  <wp:extent cx="1348740" cy="601980"/>
                  <wp:effectExtent l="0" t="0" r="3810" b="7620"/>
                  <wp:docPr id="297" name="图片 25" descr="16289106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25" descr="1628910668(1)"/>
                          <pic:cNvPicPr>
                            <a:picLocks noChangeAspect="1"/>
                          </pic:cNvPicPr>
                        </pic:nvPicPr>
                        <pic:blipFill>
                          <a:blip r:embed="rId26"/>
                          <a:stretch>
                            <a:fillRect/>
                          </a:stretch>
                        </pic:blipFill>
                        <pic:spPr>
                          <a:xfrm>
                            <a:off x="0" y="0"/>
                            <a:ext cx="1348740" cy="601980"/>
                          </a:xfrm>
                          <a:prstGeom prst="rect">
                            <a:avLst/>
                          </a:prstGeom>
                          <a:noFill/>
                          <a:ln>
                            <a:noFill/>
                          </a:ln>
                        </pic:spPr>
                      </pic:pic>
                    </a:graphicData>
                  </a:graphic>
                </wp:inline>
              </w:drawing>
            </w:r>
          </w:p>
          <w:p w14:paraId="5D5A393E">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式中：</w:t>
            </w:r>
            <w:r>
              <w:rPr>
                <w:rFonts w:hint="default" w:ascii="Times New Roman" w:hAnsi="Times New Roman" w:cs="Times New Roman"/>
                <w:i/>
                <w:iCs/>
                <w:color w:val="000000"/>
                <w:highlight w:val="none"/>
              </w:rPr>
              <w:t>Q</w:t>
            </w:r>
            <w:r>
              <w:rPr>
                <w:rFonts w:hint="default" w:ascii="Times New Roman" w:hAnsi="Times New Roman" w:cs="Times New Roman"/>
                <w:color w:val="000000"/>
                <w:highlight w:val="none"/>
              </w:rPr>
              <w:t>－疏浚作业悬浮物发生量（t/h）；</w:t>
            </w:r>
          </w:p>
          <w:p w14:paraId="75021309">
            <w:pPr>
              <w:keepNext w:val="0"/>
              <w:keepLines w:val="0"/>
              <w:pageBreakBefore w:val="0"/>
              <w:widowControl w:val="0"/>
              <w:kinsoku/>
              <w:wordWrap/>
              <w:overflowPunct/>
              <w:topLinePunct w:val="0"/>
              <w:autoSpaceDE/>
              <w:autoSpaceDN/>
              <w:bidi w:val="0"/>
              <w:adjustRightInd/>
              <w:snapToGrid/>
              <w:ind w:firstLine="1200" w:firstLineChars="500"/>
              <w:textAlignment w:val="auto"/>
              <w:rPr>
                <w:rFonts w:hint="default" w:ascii="Times New Roman" w:hAnsi="Times New Roman" w:cs="Times New Roman"/>
                <w:color w:val="000000"/>
                <w:highlight w:val="none"/>
              </w:rPr>
            </w:pPr>
            <w:r>
              <w:rPr>
                <w:rFonts w:hint="default" w:ascii="Times New Roman" w:hAnsi="Times New Roman" w:cs="Times New Roman"/>
                <w:i/>
                <w:iCs/>
                <w:color w:val="000000"/>
                <w:highlight w:val="none"/>
              </w:rPr>
              <w:t>W</w:t>
            </w:r>
            <w:r>
              <w:rPr>
                <w:rFonts w:hint="default" w:ascii="Times New Roman" w:hAnsi="Times New Roman" w:cs="Times New Roman"/>
                <w:i/>
                <w:iCs/>
                <w:color w:val="000000"/>
                <w:highlight w:val="none"/>
                <w:vertAlign w:val="subscript"/>
              </w:rPr>
              <w:t>0</w:t>
            </w:r>
            <w:r>
              <w:rPr>
                <w:rFonts w:hint="default" w:ascii="Times New Roman" w:hAnsi="Times New Roman" w:cs="Times New Roman"/>
                <w:color w:val="000000"/>
                <w:highlight w:val="none"/>
              </w:rPr>
              <w:t>－悬浮物发生系数（t/m</w:t>
            </w:r>
            <w:r>
              <w:rPr>
                <w:rFonts w:hint="default" w:ascii="Times New Roman" w:hAnsi="Times New Roman" w:cs="Times New Roman"/>
                <w:color w:val="000000"/>
                <w:highlight w:val="none"/>
                <w:vertAlign w:val="superscript"/>
              </w:rPr>
              <w:t>3</w:t>
            </w:r>
            <w:r>
              <w:rPr>
                <w:rFonts w:hint="default" w:ascii="Times New Roman" w:hAnsi="Times New Roman" w:cs="Times New Roman"/>
                <w:color w:val="000000"/>
                <w:highlight w:val="none"/>
              </w:rPr>
              <w:t>）；</w:t>
            </w:r>
          </w:p>
          <w:p w14:paraId="2EF36716">
            <w:pPr>
              <w:keepNext w:val="0"/>
              <w:keepLines w:val="0"/>
              <w:pageBreakBefore w:val="0"/>
              <w:widowControl w:val="0"/>
              <w:kinsoku/>
              <w:wordWrap/>
              <w:overflowPunct/>
              <w:topLinePunct w:val="0"/>
              <w:autoSpaceDE/>
              <w:autoSpaceDN/>
              <w:bidi w:val="0"/>
              <w:adjustRightInd/>
              <w:snapToGrid/>
              <w:ind w:firstLine="1200" w:firstLineChars="500"/>
              <w:textAlignment w:val="auto"/>
              <w:rPr>
                <w:rFonts w:hint="default" w:ascii="Times New Roman" w:hAnsi="Times New Roman" w:cs="Times New Roman"/>
                <w:color w:val="000000"/>
                <w:highlight w:val="none"/>
              </w:rPr>
            </w:pPr>
            <w:r>
              <w:rPr>
                <w:rFonts w:hint="default" w:ascii="Times New Roman" w:hAnsi="Times New Roman" w:cs="Times New Roman"/>
                <w:i/>
                <w:iCs/>
                <w:color w:val="000000"/>
                <w:highlight w:val="none"/>
              </w:rPr>
              <w:t>R</w:t>
            </w:r>
            <w:r>
              <w:rPr>
                <w:rFonts w:hint="default" w:ascii="Times New Roman" w:hAnsi="Times New Roman" w:cs="Times New Roman"/>
                <w:color w:val="000000"/>
                <w:highlight w:val="none"/>
              </w:rPr>
              <w:t>－发生系数</w:t>
            </w:r>
            <w:r>
              <w:rPr>
                <w:rFonts w:hint="default" w:ascii="Times New Roman" w:hAnsi="Times New Roman" w:cs="Times New Roman"/>
                <w:i/>
                <w:iCs/>
                <w:color w:val="000000"/>
                <w:highlight w:val="none"/>
              </w:rPr>
              <w:t>W</w:t>
            </w:r>
            <w:r>
              <w:rPr>
                <w:rFonts w:hint="default" w:ascii="Times New Roman" w:hAnsi="Times New Roman" w:cs="Times New Roman"/>
                <w:i/>
                <w:iCs/>
                <w:color w:val="000000"/>
                <w:highlight w:val="none"/>
                <w:vertAlign w:val="subscript"/>
              </w:rPr>
              <w:t>0</w:t>
            </w:r>
            <w:r>
              <w:rPr>
                <w:rFonts w:hint="default" w:ascii="Times New Roman" w:hAnsi="Times New Roman" w:cs="Times New Roman"/>
                <w:color w:val="000000"/>
                <w:highlight w:val="none"/>
              </w:rPr>
              <w:t>时的悬浮物</w:t>
            </w:r>
            <w:r>
              <w:rPr>
                <w:rFonts w:hint="default" w:ascii="Times New Roman" w:hAnsi="Times New Roman" w:cs="Times New Roman"/>
                <w:color w:val="000000"/>
                <w:highlight w:val="none"/>
                <w:lang w:eastAsia="zh-CN"/>
              </w:rPr>
              <w:t>粒径</w:t>
            </w:r>
            <w:r>
              <w:rPr>
                <w:rFonts w:hint="default" w:ascii="Times New Roman" w:hAnsi="Times New Roman" w:cs="Times New Roman"/>
                <w:color w:val="000000"/>
                <w:highlight w:val="none"/>
              </w:rPr>
              <w:t>累计百分比（%）；</w:t>
            </w:r>
          </w:p>
          <w:p w14:paraId="502AB869">
            <w:pPr>
              <w:keepNext w:val="0"/>
              <w:keepLines w:val="0"/>
              <w:pageBreakBefore w:val="0"/>
              <w:widowControl w:val="0"/>
              <w:kinsoku/>
              <w:wordWrap/>
              <w:overflowPunct/>
              <w:topLinePunct w:val="0"/>
              <w:autoSpaceDE/>
              <w:autoSpaceDN/>
              <w:bidi w:val="0"/>
              <w:adjustRightInd/>
              <w:snapToGrid/>
              <w:ind w:firstLine="1200" w:firstLineChars="500"/>
              <w:textAlignment w:val="auto"/>
              <w:rPr>
                <w:rFonts w:hint="default" w:ascii="Times New Roman" w:hAnsi="Times New Roman" w:cs="Times New Roman"/>
                <w:color w:val="000000"/>
                <w:highlight w:val="none"/>
              </w:rPr>
            </w:pPr>
            <w:r>
              <w:rPr>
                <w:rFonts w:hint="default" w:ascii="Times New Roman" w:hAnsi="Times New Roman" w:cs="Times New Roman"/>
                <w:i/>
                <w:iCs/>
                <w:color w:val="000000"/>
                <w:highlight w:val="none"/>
              </w:rPr>
              <w:t>R</w:t>
            </w:r>
            <w:r>
              <w:rPr>
                <w:rFonts w:hint="default" w:ascii="Times New Roman" w:hAnsi="Times New Roman" w:cs="Times New Roman"/>
                <w:i/>
                <w:iCs/>
                <w:color w:val="000000"/>
                <w:highlight w:val="none"/>
                <w:vertAlign w:val="subscript"/>
              </w:rPr>
              <w:t>0</w:t>
            </w:r>
            <w:r>
              <w:rPr>
                <w:rFonts w:hint="default" w:ascii="Times New Roman" w:hAnsi="Times New Roman" w:cs="Times New Roman"/>
                <w:color w:val="000000"/>
                <w:highlight w:val="none"/>
              </w:rPr>
              <w:t xml:space="preserve">－现场流速悬浮物临界粒子累计百分比（%）； </w:t>
            </w:r>
          </w:p>
          <w:p w14:paraId="28FFB853">
            <w:pPr>
              <w:keepNext w:val="0"/>
              <w:keepLines w:val="0"/>
              <w:pageBreakBefore w:val="0"/>
              <w:widowControl w:val="0"/>
              <w:kinsoku/>
              <w:wordWrap/>
              <w:overflowPunct/>
              <w:topLinePunct w:val="0"/>
              <w:autoSpaceDE/>
              <w:autoSpaceDN/>
              <w:bidi w:val="0"/>
              <w:adjustRightInd/>
              <w:snapToGrid/>
              <w:ind w:firstLine="1200" w:firstLineChars="500"/>
              <w:textAlignment w:val="auto"/>
              <w:rPr>
                <w:rFonts w:hint="default" w:ascii="Times New Roman" w:hAnsi="Times New Roman" w:cs="Times New Roman"/>
                <w:color w:val="000000"/>
                <w:highlight w:val="none"/>
              </w:rPr>
            </w:pPr>
            <w:r>
              <w:rPr>
                <w:rFonts w:hint="default" w:ascii="Times New Roman" w:hAnsi="Times New Roman" w:cs="Times New Roman"/>
                <w:i/>
                <w:iCs/>
                <w:color w:val="000000"/>
                <w:highlight w:val="none"/>
              </w:rPr>
              <w:t>T</w:t>
            </w:r>
            <w:r>
              <w:rPr>
                <w:rFonts w:hint="default" w:ascii="Times New Roman" w:hAnsi="Times New Roman" w:cs="Times New Roman"/>
                <w:color w:val="000000"/>
                <w:highlight w:val="none"/>
              </w:rPr>
              <w:t>－挖泥船疏浚效率（m</w:t>
            </w:r>
            <w:r>
              <w:rPr>
                <w:rFonts w:hint="default" w:ascii="Times New Roman" w:hAnsi="Times New Roman" w:cs="Times New Roman"/>
                <w:color w:val="000000"/>
                <w:highlight w:val="none"/>
                <w:vertAlign w:val="superscript"/>
              </w:rPr>
              <w:t>3</w:t>
            </w:r>
            <w:r>
              <w:rPr>
                <w:rFonts w:hint="default" w:ascii="Times New Roman" w:hAnsi="Times New Roman" w:cs="Times New Roman"/>
                <w:color w:val="000000"/>
                <w:highlight w:val="none"/>
              </w:rPr>
              <w:t>/h）。</w:t>
            </w:r>
          </w:p>
          <w:p w14:paraId="531D5DBA">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i w:val="0"/>
                <w:iCs w:val="0"/>
                <w:color w:val="000000"/>
                <w:highlight w:val="none"/>
                <w:lang w:val="en-US" w:eastAsia="zh-CN"/>
              </w:rPr>
            </w:pPr>
            <w:r>
              <w:rPr>
                <w:rFonts w:hint="default" w:ascii="Times New Roman" w:hAnsi="Times New Roman" w:cs="Times New Roman"/>
                <w:i w:val="0"/>
                <w:iCs w:val="0"/>
                <w:color w:val="000000"/>
                <w:highlight w:val="none"/>
                <w:lang w:val="en-US" w:eastAsia="zh-CN"/>
              </w:rPr>
              <w:t>R/R</w:t>
            </w:r>
            <w:r>
              <w:rPr>
                <w:rFonts w:hint="default" w:ascii="Times New Roman" w:hAnsi="Times New Roman" w:cs="Times New Roman"/>
                <w:i w:val="0"/>
                <w:iCs w:val="0"/>
                <w:color w:val="000000"/>
                <w:highlight w:val="none"/>
                <w:vertAlign w:val="subscript"/>
                <w:lang w:val="en-US" w:eastAsia="zh-CN"/>
              </w:rPr>
              <w:t>0</w:t>
            </w:r>
            <w:r>
              <w:rPr>
                <w:rFonts w:hint="default" w:ascii="Times New Roman" w:hAnsi="Times New Roman" w:cs="Times New Roman"/>
                <w:i w:val="0"/>
                <w:iCs w:val="0"/>
                <w:color w:val="000000"/>
                <w:highlight w:val="none"/>
                <w:lang w:val="en-US" w:eastAsia="zh-CN"/>
              </w:rPr>
              <w:t>×W</w:t>
            </w:r>
            <w:r>
              <w:rPr>
                <w:rFonts w:hint="default" w:ascii="Times New Roman" w:hAnsi="Times New Roman" w:cs="Times New Roman"/>
                <w:i w:val="0"/>
                <w:iCs w:val="0"/>
                <w:color w:val="000000"/>
                <w:highlight w:val="none"/>
                <w:vertAlign w:val="subscript"/>
                <w:lang w:val="en-US" w:eastAsia="zh-CN"/>
              </w:rPr>
              <w:t>0</w:t>
            </w:r>
            <w:r>
              <w:rPr>
                <w:rFonts w:hint="default" w:ascii="Times New Roman" w:hAnsi="Times New Roman" w:cs="Times New Roman"/>
                <w:i w:val="0"/>
                <w:iCs w:val="0"/>
                <w:color w:val="000000"/>
                <w:highlight w:val="none"/>
                <w:lang w:val="en-US" w:eastAsia="zh-CN"/>
              </w:rPr>
              <w:t>即为悬浮物再悬浮率，因此上式可简化为：</w:t>
            </w:r>
          </w:p>
          <w:p w14:paraId="105508A4">
            <w:pPr>
              <w:ind w:left="0" w:leftChars="0" w:firstLine="0" w:firstLineChars="0"/>
              <w:jc w:val="center"/>
              <w:rPr>
                <w:rFonts w:hint="default" w:ascii="Times New Roman" w:hAnsi="Times New Roman" w:cs="Times New Roman"/>
                <w:i w:val="0"/>
                <w:iCs w:val="0"/>
                <w:color w:val="000000"/>
                <w:highlight w:val="none"/>
                <w:lang w:val="en-US" w:eastAsia="zh-CN"/>
              </w:rPr>
            </w:pPr>
            <w:r>
              <w:rPr>
                <w:rFonts w:hint="default" w:ascii="Times New Roman" w:hAnsi="Times New Roman" w:cs="Times New Roman"/>
                <w:i w:val="0"/>
                <w:iCs w:val="0"/>
                <w:color w:val="000000"/>
                <w:highlight w:val="none"/>
                <w:lang w:val="en-US" w:eastAsia="zh-CN"/>
              </w:rPr>
              <w:t>Q=T×M/3600</w:t>
            </w:r>
          </w:p>
          <w:p w14:paraId="47712AB8">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式中：Q－悬浮物源强，kg/s；</w:t>
            </w:r>
          </w:p>
          <w:p w14:paraId="458842B4">
            <w:pPr>
              <w:keepNext w:val="0"/>
              <w:keepLines w:val="0"/>
              <w:pageBreakBefore w:val="0"/>
              <w:widowControl w:val="0"/>
              <w:kinsoku/>
              <w:wordWrap/>
              <w:overflowPunct/>
              <w:topLinePunct w:val="0"/>
              <w:autoSpaceDE/>
              <w:autoSpaceDN/>
              <w:bidi w:val="0"/>
              <w:adjustRightInd/>
              <w:snapToGrid/>
              <w:ind w:firstLine="1200" w:firstLineChars="5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T－挖泥船疏浚效率，m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/h；</w:t>
            </w:r>
          </w:p>
          <w:p w14:paraId="296A4715">
            <w:pPr>
              <w:keepNext w:val="0"/>
              <w:keepLines w:val="0"/>
              <w:pageBreakBefore w:val="0"/>
              <w:widowControl w:val="0"/>
              <w:kinsoku/>
              <w:wordWrap/>
              <w:overflowPunct/>
              <w:topLinePunct w:val="0"/>
              <w:autoSpaceDE/>
              <w:autoSpaceDN/>
              <w:bidi w:val="0"/>
              <w:adjustRightInd/>
              <w:snapToGrid/>
              <w:ind w:firstLine="1200" w:firstLineChars="500"/>
              <w:textAlignment w:val="auto"/>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M－泥沙再悬浮率，kg/m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w:t>
            </w:r>
          </w:p>
          <w:p w14:paraId="084E77D7">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根据曾建军（曾建军.不同类型挖泥船疏浚悬浮物影响的对比分析[J]</w:t>
            </w:r>
            <w:r>
              <w:rPr>
                <w:rFonts w:hint="default" w:ascii="Times New Roman" w:hAnsi="Times New Roman" w:cs="Times New Roman"/>
                <w:color w:val="000000"/>
                <w:highlight w:val="none"/>
                <w:lang w:val="en-US" w:eastAsia="zh-CN"/>
              </w:rPr>
              <w:t>.</w:t>
            </w:r>
            <w:r>
              <w:rPr>
                <w:rFonts w:hint="default" w:ascii="Times New Roman" w:hAnsi="Times New Roman" w:cs="Times New Roman"/>
                <w:color w:val="000000"/>
                <w:highlight w:val="none"/>
              </w:rPr>
              <w:t>海峡科学</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2017</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07:58-59）对不同疏浚效率8m</w:t>
            </w:r>
            <w:r>
              <w:rPr>
                <w:rFonts w:hint="default" w:ascii="Times New Roman" w:hAnsi="Times New Roman" w:cs="Times New Roman"/>
                <w:color w:val="000000"/>
                <w:highlight w:val="none"/>
                <w:vertAlign w:val="superscript"/>
              </w:rPr>
              <w:t>3</w:t>
            </w:r>
            <w:r>
              <w:rPr>
                <w:rFonts w:hint="default" w:ascii="Times New Roman" w:hAnsi="Times New Roman" w:cs="Times New Roman"/>
                <w:color w:val="000000"/>
                <w:highlight w:val="none"/>
              </w:rPr>
              <w:t>挖泥船悬浮物源强统计分析，疏浚效率0.93m</w:t>
            </w:r>
            <w:r>
              <w:rPr>
                <w:rFonts w:hint="default" w:ascii="Times New Roman" w:hAnsi="Times New Roman" w:cs="Times New Roman"/>
                <w:color w:val="000000"/>
                <w:highlight w:val="none"/>
                <w:vertAlign w:val="superscript"/>
              </w:rPr>
              <w:t>3</w:t>
            </w:r>
            <w:r>
              <w:rPr>
                <w:rFonts w:hint="default" w:ascii="Times New Roman" w:hAnsi="Times New Roman" w:cs="Times New Roman"/>
                <w:color w:val="000000"/>
                <w:highlight w:val="none"/>
              </w:rPr>
              <w:t>/h～375m</w:t>
            </w:r>
            <w:r>
              <w:rPr>
                <w:rFonts w:hint="default" w:ascii="Times New Roman" w:hAnsi="Times New Roman" w:cs="Times New Roman"/>
                <w:color w:val="000000"/>
                <w:highlight w:val="none"/>
                <w:vertAlign w:val="superscript"/>
              </w:rPr>
              <w:t>3</w:t>
            </w:r>
            <w:r>
              <w:rPr>
                <w:rFonts w:hint="default" w:ascii="Times New Roman" w:hAnsi="Times New Roman" w:cs="Times New Roman"/>
                <w:color w:val="000000"/>
                <w:highlight w:val="none"/>
              </w:rPr>
              <w:t>/h范围的8m</w:t>
            </w:r>
            <w:r>
              <w:rPr>
                <w:rFonts w:hint="default" w:ascii="Times New Roman" w:hAnsi="Times New Roman" w:cs="Times New Roman"/>
                <w:color w:val="000000"/>
                <w:highlight w:val="none"/>
                <w:vertAlign w:val="superscript"/>
              </w:rPr>
              <w:t>3</w:t>
            </w:r>
            <w:r>
              <w:rPr>
                <w:rFonts w:hint="default" w:ascii="Times New Roman" w:hAnsi="Times New Roman" w:cs="Times New Roman"/>
                <w:color w:val="000000"/>
                <w:highlight w:val="none"/>
              </w:rPr>
              <w:t>挖泥船的泥沙再悬浮率平均约为22kg/m</w:t>
            </w:r>
            <w:r>
              <w:rPr>
                <w:rFonts w:hint="default" w:ascii="Times New Roman" w:hAnsi="Times New Roman" w:cs="Times New Roman"/>
                <w:color w:val="000000"/>
                <w:highlight w:val="none"/>
                <w:vertAlign w:val="superscript"/>
              </w:rPr>
              <w:t>3</w:t>
            </w:r>
            <w:r>
              <w:rPr>
                <w:rFonts w:hint="default" w:ascii="Times New Roman" w:hAnsi="Times New Roman" w:cs="Times New Roman"/>
                <w:color w:val="000000"/>
                <w:highlight w:val="none"/>
              </w:rPr>
              <w:t>，悬浮泥沙最大为</w:t>
            </w:r>
            <w:r>
              <w:rPr>
                <w:rFonts w:hint="default" w:ascii="Times New Roman" w:hAnsi="Times New Roman" w:cs="Times New Roman"/>
                <w:color w:val="000000"/>
                <w:highlight w:val="none"/>
                <w:lang w:val="en-US" w:eastAsia="zh-CN"/>
              </w:rPr>
              <w:t>2.29</w:t>
            </w:r>
            <w:r>
              <w:rPr>
                <w:rFonts w:hint="default" w:ascii="Times New Roman" w:hAnsi="Times New Roman" w:cs="Times New Roman"/>
                <w:color w:val="000000"/>
                <w:highlight w:val="none"/>
              </w:rPr>
              <w:t>kg/s。</w:t>
            </w:r>
          </w:p>
          <w:p w14:paraId="07C87B1B">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（2）施工便桥搭设、拆除</w:t>
            </w:r>
          </w:p>
          <w:p w14:paraId="6C282BE7">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栈桥设置对海域水环境的影响主要在钢管桩打入和拔出阶段，由于振动锤的振打，致使海床泥沙上浮，造成局部浑浊。钢管桩的打入及拔出，泥沙入海影响的时间很短、泥沙量很少。</w:t>
            </w:r>
          </w:p>
          <w:p w14:paraId="7321CFE8">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3</w:t>
            </w: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rPr>
              <w:t>抛石入海悬浮泥沙源强</w:t>
            </w:r>
          </w:p>
          <w:p w14:paraId="07D8A44E">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东防波堤、南防波堤需抛填堤心石，具体施工范围见</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REF _Ref21300 \h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图</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4.2</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2</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rPr>
              <w:t>。堤石施工产生的悬浮泥沙来源于两部分，一部分是抛填块石所夹带的细颗粒泥沙，一部分为块石入海扰动底土所引起的悬浮泥沙。由于施工基本采用5kg～300kg抛填的大块石，细颗粒泥沙含量极小，因此不计抛石直接带入水中的泥沙。</w:t>
            </w:r>
          </w:p>
          <w:p w14:paraId="31548857">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本工程计划日抛量为6000m</w:t>
            </w:r>
            <w:r>
              <w:rPr>
                <w:rFonts w:hint="default" w:ascii="Times New Roman" w:hAnsi="Times New Roman" w:cs="Times New Roman"/>
                <w:color w:val="000000"/>
                <w:highlight w:val="none"/>
                <w:vertAlign w:val="superscript"/>
              </w:rPr>
              <w:t>3</w:t>
            </w:r>
            <w:r>
              <w:rPr>
                <w:rFonts w:hint="default" w:ascii="Times New Roman" w:hAnsi="Times New Roman" w:cs="Times New Roman"/>
                <w:color w:val="000000"/>
                <w:highlight w:val="none"/>
              </w:rPr>
              <w:t>/d，每天作业10h。由于挤压作用，抛石入海挤淤量为5%（郭晓峰</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王翠</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陈楚汉</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et al.湄洲湾峰尾围垦工程施工期间海水悬浮泥沙输移扩散的数值模拟[J].应用海洋学学报</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2014</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033(001):P.125-132.），因此入海淤泥强度为0.0083m</w:t>
            </w:r>
            <w:r>
              <w:rPr>
                <w:rFonts w:hint="default" w:ascii="Times New Roman" w:hAnsi="Times New Roman" w:cs="Times New Roman"/>
                <w:color w:val="000000"/>
                <w:highlight w:val="none"/>
                <w:vertAlign w:val="superscript"/>
              </w:rPr>
              <w:t>3</w:t>
            </w:r>
            <w:r>
              <w:rPr>
                <w:rFonts w:hint="default" w:ascii="Times New Roman" w:hAnsi="Times New Roman" w:cs="Times New Roman"/>
                <w:color w:val="000000"/>
                <w:highlight w:val="none"/>
              </w:rPr>
              <w:t>/s，淤泥悬浮颗粒物所占百分比取20%，底质湿密度按1.8t/m</w:t>
            </w:r>
            <w:r>
              <w:rPr>
                <w:rFonts w:hint="default" w:ascii="Times New Roman" w:hAnsi="Times New Roman" w:cs="Times New Roman"/>
                <w:color w:val="000000"/>
                <w:highlight w:val="none"/>
                <w:vertAlign w:val="superscript"/>
              </w:rPr>
              <w:t>3</w:t>
            </w:r>
            <w:r>
              <w:rPr>
                <w:rFonts w:hint="default" w:ascii="Times New Roman" w:hAnsi="Times New Roman" w:cs="Times New Roman"/>
                <w:color w:val="000000"/>
                <w:highlight w:val="none"/>
              </w:rPr>
              <w:t>计，根据项目勘探资料，淤泥层含水率40.5%～79.6%，取平均60.05%，则抛石形成的悬浮泥沙源强为1.20kg/s。</w:t>
            </w:r>
          </w:p>
          <w:p w14:paraId="234BF825">
            <w:pPr>
              <w:pStyle w:val="30"/>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4.2</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表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1</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val="en-US" w:eastAsia="zh-CN"/>
              </w:rPr>
              <w:t xml:space="preserve"> 块石抛填悬沙源强计算表</w:t>
            </w:r>
          </w:p>
          <w:tbl>
            <w:tblPr>
              <w:tblStyle w:val="21"/>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228"/>
              <w:gridCol w:w="1126"/>
              <w:gridCol w:w="1125"/>
              <w:gridCol w:w="1274"/>
              <w:gridCol w:w="876"/>
              <w:gridCol w:w="1098"/>
              <w:gridCol w:w="1503"/>
            </w:tblGrid>
            <w:tr w14:paraId="034F08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746" w:type="pct"/>
                  <w:noWrap w:val="0"/>
                  <w:vAlign w:val="center"/>
                </w:tcPr>
                <w:p w14:paraId="6653B3FB">
                  <w:pPr>
                    <w:pStyle w:val="31"/>
                    <w:bidi w:val="0"/>
                    <w:jc w:val="center"/>
                    <w:rPr>
                      <w:rFonts w:hint="default" w:ascii="Times New Roman" w:hAnsi="Times New Roman" w:cs="Times New Roman"/>
                      <w:b/>
                      <w:bCs/>
                      <w:color w:val="000000"/>
                      <w:highlight w:val="none"/>
                      <w:lang w:eastAsia="en-US"/>
                    </w:rPr>
                  </w:pPr>
                  <w:r>
                    <w:rPr>
                      <w:rFonts w:hint="default" w:ascii="Times New Roman" w:hAnsi="Times New Roman" w:cs="Times New Roman"/>
                      <w:b/>
                      <w:bCs/>
                      <w:color w:val="000000"/>
                      <w:highlight w:val="none"/>
                      <w:lang w:eastAsia="en-US"/>
                    </w:rPr>
                    <w:t>抛石日抛量</w:t>
                  </w:r>
                </w:p>
                <w:p w14:paraId="5D6F15C8">
                  <w:pPr>
                    <w:pStyle w:val="31"/>
                    <w:bidi w:val="0"/>
                    <w:jc w:val="center"/>
                    <w:rPr>
                      <w:rFonts w:hint="default" w:ascii="Times New Roman" w:hAnsi="Times New Roman" w:cs="Times New Roman"/>
                      <w:b/>
                      <w:bCs/>
                      <w:color w:val="000000"/>
                      <w:highlight w:val="none"/>
                      <w:lang w:eastAsia="en-US"/>
                    </w:rPr>
                  </w:pPr>
                  <w:r>
                    <w:rPr>
                      <w:rFonts w:hint="default" w:ascii="Times New Roman" w:hAnsi="Times New Roman" w:cs="Times New Roman"/>
                      <w:b/>
                      <w:bCs/>
                      <w:color w:val="000000"/>
                      <w:highlight w:val="none"/>
                      <w:lang w:eastAsia="en-US"/>
                    </w:rPr>
                    <w:t>（m</w:t>
                  </w:r>
                  <w:r>
                    <w:rPr>
                      <w:rFonts w:hint="default" w:ascii="Times New Roman" w:hAnsi="Times New Roman" w:cs="Times New Roman"/>
                      <w:b/>
                      <w:bCs/>
                      <w:color w:val="000000"/>
                      <w:highlight w:val="none"/>
                      <w:vertAlign w:val="superscript"/>
                      <w:lang w:eastAsia="en-US"/>
                    </w:rPr>
                    <w:t>3</w:t>
                  </w:r>
                  <w:r>
                    <w:rPr>
                      <w:rFonts w:hint="default" w:ascii="Times New Roman" w:hAnsi="Times New Roman" w:cs="Times New Roman"/>
                      <w:b/>
                      <w:bCs/>
                      <w:color w:val="000000"/>
                      <w:highlight w:val="none"/>
                      <w:lang w:eastAsia="en-US"/>
                    </w:rPr>
                    <w:t>/d）</w:t>
                  </w:r>
                </w:p>
              </w:tc>
              <w:tc>
                <w:tcPr>
                  <w:tcW w:w="684" w:type="pct"/>
                  <w:noWrap w:val="0"/>
                  <w:vAlign w:val="center"/>
                </w:tcPr>
                <w:p w14:paraId="55A91675">
                  <w:pPr>
                    <w:pStyle w:val="31"/>
                    <w:bidi w:val="0"/>
                    <w:jc w:val="center"/>
                    <w:rPr>
                      <w:rFonts w:hint="default" w:ascii="Times New Roman" w:hAnsi="Times New Roman" w:cs="Times New Roman"/>
                      <w:b/>
                      <w:bCs/>
                      <w:color w:val="000000"/>
                      <w:highlight w:val="none"/>
                      <w:lang w:eastAsia="en-US"/>
                    </w:rPr>
                  </w:pPr>
                  <w:r>
                    <w:rPr>
                      <w:rFonts w:hint="default" w:ascii="Times New Roman" w:hAnsi="Times New Roman" w:cs="Times New Roman"/>
                      <w:b/>
                      <w:bCs/>
                      <w:color w:val="000000"/>
                      <w:highlight w:val="none"/>
                      <w:lang w:eastAsia="en-US"/>
                    </w:rPr>
                    <w:t>日工作时间</w:t>
                  </w:r>
                </w:p>
                <w:p w14:paraId="669B1FAF">
                  <w:pPr>
                    <w:pStyle w:val="31"/>
                    <w:bidi w:val="0"/>
                    <w:jc w:val="center"/>
                    <w:rPr>
                      <w:rFonts w:hint="default" w:ascii="Times New Roman" w:hAnsi="Times New Roman" w:cs="Times New Roman"/>
                      <w:b/>
                      <w:bCs/>
                      <w:color w:val="000000"/>
                      <w:highlight w:val="none"/>
                      <w:lang w:eastAsia="en-US"/>
                    </w:rPr>
                  </w:pPr>
                  <w:r>
                    <w:rPr>
                      <w:rFonts w:hint="default" w:ascii="Times New Roman" w:hAnsi="Times New Roman" w:cs="Times New Roman"/>
                      <w:b/>
                      <w:bCs/>
                      <w:color w:val="000000"/>
                      <w:highlight w:val="none"/>
                      <w:lang w:eastAsia="en-US"/>
                    </w:rPr>
                    <w:t>（h）</w:t>
                  </w:r>
                </w:p>
              </w:tc>
              <w:tc>
                <w:tcPr>
                  <w:tcW w:w="683" w:type="pct"/>
                  <w:noWrap w:val="0"/>
                  <w:vAlign w:val="center"/>
                </w:tcPr>
                <w:p w14:paraId="230703ED">
                  <w:pPr>
                    <w:pStyle w:val="31"/>
                    <w:bidi w:val="0"/>
                    <w:jc w:val="center"/>
                    <w:rPr>
                      <w:rFonts w:hint="default" w:ascii="Times New Roman" w:hAnsi="Times New Roman" w:cs="Times New Roman"/>
                      <w:b/>
                      <w:bCs/>
                      <w:color w:val="000000"/>
                      <w:highlight w:val="none"/>
                      <w:lang w:eastAsia="en-US"/>
                    </w:rPr>
                  </w:pPr>
                  <w:r>
                    <w:rPr>
                      <w:rFonts w:hint="default" w:ascii="Times New Roman" w:hAnsi="Times New Roman" w:cs="Times New Roman"/>
                      <w:b/>
                      <w:bCs/>
                      <w:color w:val="000000"/>
                      <w:highlight w:val="none"/>
                      <w:lang w:eastAsia="en-US"/>
                    </w:rPr>
                    <w:t>挤淤量</w:t>
                  </w:r>
                </w:p>
                <w:p w14:paraId="0A235893">
                  <w:pPr>
                    <w:pStyle w:val="31"/>
                    <w:bidi w:val="0"/>
                    <w:jc w:val="center"/>
                    <w:rPr>
                      <w:rFonts w:hint="default" w:ascii="Times New Roman" w:hAnsi="Times New Roman" w:cs="Times New Roman"/>
                      <w:b/>
                      <w:bCs/>
                      <w:color w:val="000000"/>
                      <w:highlight w:val="none"/>
                      <w:lang w:eastAsia="en-US"/>
                    </w:rPr>
                  </w:pPr>
                  <w:r>
                    <w:rPr>
                      <w:rFonts w:hint="default" w:ascii="Times New Roman" w:hAnsi="Times New Roman" w:cs="Times New Roman"/>
                      <w:b/>
                      <w:bCs/>
                      <w:color w:val="000000"/>
                      <w:highlight w:val="none"/>
                      <w:lang w:eastAsia="en-US"/>
                    </w:rPr>
                    <w:t>（%）</w:t>
                  </w:r>
                </w:p>
              </w:tc>
              <w:tc>
                <w:tcPr>
                  <w:tcW w:w="774" w:type="pct"/>
                  <w:noWrap w:val="0"/>
                  <w:vAlign w:val="center"/>
                </w:tcPr>
                <w:p w14:paraId="52CDA2F1">
                  <w:pPr>
                    <w:pStyle w:val="31"/>
                    <w:bidi w:val="0"/>
                    <w:jc w:val="center"/>
                    <w:rPr>
                      <w:rFonts w:hint="default" w:ascii="Times New Roman" w:hAnsi="Times New Roman" w:cs="Times New Roman"/>
                      <w:b/>
                      <w:bCs/>
                      <w:color w:val="000000"/>
                      <w:highlight w:val="none"/>
                      <w:lang w:eastAsia="en-US"/>
                    </w:rPr>
                  </w:pPr>
                  <w:r>
                    <w:rPr>
                      <w:rFonts w:hint="default" w:ascii="Times New Roman" w:hAnsi="Times New Roman" w:cs="Times New Roman"/>
                      <w:b/>
                      <w:bCs/>
                      <w:color w:val="000000"/>
                      <w:highlight w:val="none"/>
                      <w:lang w:eastAsia="en-US"/>
                    </w:rPr>
                    <w:t>悬浮颗粒物占比（%）</w:t>
                  </w:r>
                </w:p>
              </w:tc>
              <w:tc>
                <w:tcPr>
                  <w:tcW w:w="532" w:type="pct"/>
                  <w:noWrap w:val="0"/>
                  <w:vAlign w:val="center"/>
                </w:tcPr>
                <w:p w14:paraId="466C904D">
                  <w:pPr>
                    <w:pStyle w:val="31"/>
                    <w:bidi w:val="0"/>
                    <w:jc w:val="center"/>
                    <w:rPr>
                      <w:rFonts w:hint="default" w:ascii="Times New Roman" w:hAnsi="Times New Roman" w:cs="Times New Roman"/>
                      <w:b/>
                      <w:bCs/>
                      <w:color w:val="000000"/>
                      <w:highlight w:val="none"/>
                      <w:lang w:eastAsia="en-US"/>
                    </w:rPr>
                  </w:pPr>
                  <w:r>
                    <w:rPr>
                      <w:rFonts w:hint="default" w:ascii="Times New Roman" w:hAnsi="Times New Roman" w:cs="Times New Roman"/>
                      <w:b/>
                      <w:bCs/>
                      <w:color w:val="000000"/>
                      <w:highlight w:val="none"/>
                      <w:lang w:eastAsia="en-US"/>
                    </w:rPr>
                    <w:t>湿密度</w:t>
                  </w:r>
                </w:p>
                <w:p w14:paraId="1925CE9D">
                  <w:pPr>
                    <w:pStyle w:val="31"/>
                    <w:bidi w:val="0"/>
                    <w:jc w:val="center"/>
                    <w:rPr>
                      <w:rFonts w:hint="default" w:ascii="Times New Roman" w:hAnsi="Times New Roman" w:cs="Times New Roman"/>
                      <w:b/>
                      <w:bCs/>
                      <w:color w:val="000000"/>
                      <w:highlight w:val="none"/>
                      <w:lang w:eastAsia="en-US"/>
                    </w:rPr>
                  </w:pPr>
                  <w:r>
                    <w:rPr>
                      <w:rFonts w:hint="default" w:ascii="Times New Roman" w:hAnsi="Times New Roman" w:cs="Times New Roman"/>
                      <w:b/>
                      <w:bCs/>
                      <w:color w:val="000000"/>
                      <w:highlight w:val="none"/>
                      <w:lang w:eastAsia="en-US"/>
                    </w:rPr>
                    <w:t>（t/m</w:t>
                  </w:r>
                  <w:r>
                    <w:rPr>
                      <w:rFonts w:hint="default" w:ascii="Times New Roman" w:hAnsi="Times New Roman" w:cs="Times New Roman"/>
                      <w:b/>
                      <w:bCs/>
                      <w:color w:val="000000"/>
                      <w:highlight w:val="none"/>
                      <w:vertAlign w:val="superscript"/>
                      <w:lang w:eastAsia="en-US"/>
                    </w:rPr>
                    <w:t>3</w:t>
                  </w:r>
                  <w:r>
                    <w:rPr>
                      <w:rFonts w:hint="default" w:ascii="Times New Roman" w:hAnsi="Times New Roman" w:cs="Times New Roman"/>
                      <w:b/>
                      <w:bCs/>
                      <w:color w:val="000000"/>
                      <w:highlight w:val="none"/>
                      <w:lang w:eastAsia="en-US"/>
                    </w:rPr>
                    <w:t>）</w:t>
                  </w:r>
                </w:p>
              </w:tc>
              <w:tc>
                <w:tcPr>
                  <w:tcW w:w="667" w:type="pct"/>
                  <w:noWrap w:val="0"/>
                  <w:vAlign w:val="center"/>
                </w:tcPr>
                <w:p w14:paraId="26881CE5">
                  <w:pPr>
                    <w:pStyle w:val="31"/>
                    <w:bidi w:val="0"/>
                    <w:jc w:val="center"/>
                    <w:rPr>
                      <w:rFonts w:hint="default" w:ascii="Times New Roman" w:hAnsi="Times New Roman" w:cs="Times New Roman"/>
                      <w:b/>
                      <w:bCs/>
                      <w:color w:val="000000"/>
                      <w:highlight w:val="none"/>
                      <w:lang w:eastAsia="en-US"/>
                    </w:rPr>
                  </w:pPr>
                  <w:r>
                    <w:rPr>
                      <w:rFonts w:hint="default" w:ascii="Times New Roman" w:hAnsi="Times New Roman" w:cs="Times New Roman"/>
                      <w:b/>
                      <w:bCs/>
                      <w:color w:val="000000"/>
                      <w:highlight w:val="none"/>
                      <w:lang w:eastAsia="en-US"/>
                    </w:rPr>
                    <w:t>含水率</w:t>
                  </w:r>
                </w:p>
                <w:p w14:paraId="0C6ED457">
                  <w:pPr>
                    <w:pStyle w:val="31"/>
                    <w:bidi w:val="0"/>
                    <w:jc w:val="center"/>
                    <w:rPr>
                      <w:rFonts w:hint="default" w:ascii="Times New Roman" w:hAnsi="Times New Roman" w:cs="Times New Roman"/>
                      <w:b/>
                      <w:bCs/>
                      <w:color w:val="000000"/>
                      <w:highlight w:val="none"/>
                      <w:lang w:eastAsia="en-US"/>
                    </w:rPr>
                  </w:pPr>
                  <w:r>
                    <w:rPr>
                      <w:rFonts w:hint="default" w:ascii="Times New Roman" w:hAnsi="Times New Roman" w:cs="Times New Roman"/>
                      <w:b/>
                      <w:bCs/>
                      <w:color w:val="000000"/>
                      <w:highlight w:val="none"/>
                      <w:lang w:eastAsia="en-US"/>
                    </w:rPr>
                    <w:t>（%）</w:t>
                  </w:r>
                </w:p>
              </w:tc>
              <w:tc>
                <w:tcPr>
                  <w:tcW w:w="912" w:type="pct"/>
                  <w:noWrap w:val="0"/>
                  <w:vAlign w:val="center"/>
                </w:tcPr>
                <w:p w14:paraId="2C976BD6">
                  <w:pPr>
                    <w:pStyle w:val="31"/>
                    <w:bidi w:val="0"/>
                    <w:jc w:val="center"/>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rPr>
                    <w:t>抛石悬沙源强</w:t>
                  </w:r>
                </w:p>
                <w:p w14:paraId="6987B69E">
                  <w:pPr>
                    <w:pStyle w:val="31"/>
                    <w:bidi w:val="0"/>
                    <w:jc w:val="center"/>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rPr>
                    <w:t>（kg/s）</w:t>
                  </w:r>
                </w:p>
              </w:tc>
            </w:tr>
            <w:tr w14:paraId="554792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746" w:type="pct"/>
                  <w:noWrap w:val="0"/>
                  <w:vAlign w:val="center"/>
                </w:tcPr>
                <w:p w14:paraId="2DA0FEB2">
                  <w:pPr>
                    <w:pStyle w:val="31"/>
                    <w:bidi w:val="0"/>
                    <w:jc w:val="center"/>
                    <w:rPr>
                      <w:rFonts w:hint="default" w:ascii="Times New Roman" w:hAnsi="Times New Roman" w:cs="Times New Roman"/>
                      <w:color w:val="000000"/>
                      <w:highlight w:val="none"/>
                      <w:lang w:eastAsia="en-US"/>
                    </w:rPr>
                  </w:pPr>
                  <w:r>
                    <w:rPr>
                      <w:rFonts w:hint="default" w:ascii="Times New Roman" w:hAnsi="Times New Roman" w:cs="Times New Roman"/>
                      <w:color w:val="000000"/>
                      <w:highlight w:val="none"/>
                      <w:lang w:eastAsia="en-US"/>
                    </w:rPr>
                    <w:t>6000</w:t>
                  </w:r>
                </w:p>
              </w:tc>
              <w:tc>
                <w:tcPr>
                  <w:tcW w:w="684" w:type="pct"/>
                  <w:noWrap w:val="0"/>
                  <w:vAlign w:val="center"/>
                </w:tcPr>
                <w:p w14:paraId="34889DD4">
                  <w:pPr>
                    <w:pStyle w:val="31"/>
                    <w:bidi w:val="0"/>
                    <w:jc w:val="center"/>
                    <w:rPr>
                      <w:rFonts w:hint="default" w:ascii="Times New Roman" w:hAnsi="Times New Roman" w:cs="Times New Roman"/>
                      <w:color w:val="000000"/>
                      <w:highlight w:val="none"/>
                      <w:lang w:eastAsia="en-US"/>
                    </w:rPr>
                  </w:pPr>
                  <w:r>
                    <w:rPr>
                      <w:rFonts w:hint="default" w:ascii="Times New Roman" w:hAnsi="Times New Roman" w:cs="Times New Roman"/>
                      <w:color w:val="000000"/>
                      <w:highlight w:val="none"/>
                      <w:lang w:eastAsia="en-US"/>
                    </w:rPr>
                    <w:t>10</w:t>
                  </w:r>
                </w:p>
              </w:tc>
              <w:tc>
                <w:tcPr>
                  <w:tcW w:w="683" w:type="pct"/>
                  <w:noWrap w:val="0"/>
                  <w:vAlign w:val="center"/>
                </w:tcPr>
                <w:p w14:paraId="4F19A5E3">
                  <w:pPr>
                    <w:pStyle w:val="31"/>
                    <w:bidi w:val="0"/>
                    <w:jc w:val="center"/>
                    <w:rPr>
                      <w:rFonts w:hint="default" w:ascii="Times New Roman" w:hAnsi="Times New Roman" w:cs="Times New Roman"/>
                      <w:color w:val="000000"/>
                      <w:highlight w:val="none"/>
                      <w:lang w:eastAsia="en-US"/>
                    </w:rPr>
                  </w:pPr>
                  <w:r>
                    <w:rPr>
                      <w:rFonts w:hint="default" w:ascii="Times New Roman" w:hAnsi="Times New Roman" w:cs="Times New Roman"/>
                      <w:color w:val="000000"/>
                      <w:highlight w:val="none"/>
                      <w:lang w:eastAsia="en-US"/>
                    </w:rPr>
                    <w:t>5</w:t>
                  </w:r>
                </w:p>
              </w:tc>
              <w:tc>
                <w:tcPr>
                  <w:tcW w:w="774" w:type="pct"/>
                  <w:noWrap w:val="0"/>
                  <w:vAlign w:val="center"/>
                </w:tcPr>
                <w:p w14:paraId="1F331B04">
                  <w:pPr>
                    <w:pStyle w:val="31"/>
                    <w:bidi w:val="0"/>
                    <w:jc w:val="center"/>
                    <w:rPr>
                      <w:rFonts w:hint="default" w:ascii="Times New Roman" w:hAnsi="Times New Roman" w:cs="Times New Roman"/>
                      <w:color w:val="000000"/>
                      <w:highlight w:val="none"/>
                      <w:lang w:eastAsia="en-US"/>
                    </w:rPr>
                  </w:pPr>
                  <w:r>
                    <w:rPr>
                      <w:rFonts w:hint="default" w:ascii="Times New Roman" w:hAnsi="Times New Roman" w:cs="Times New Roman"/>
                      <w:color w:val="000000"/>
                      <w:highlight w:val="none"/>
                      <w:lang w:eastAsia="en-US"/>
                    </w:rPr>
                    <w:t>20</w:t>
                  </w:r>
                </w:p>
              </w:tc>
              <w:tc>
                <w:tcPr>
                  <w:tcW w:w="532" w:type="pct"/>
                  <w:noWrap w:val="0"/>
                  <w:vAlign w:val="center"/>
                </w:tcPr>
                <w:p w14:paraId="449AE482">
                  <w:pPr>
                    <w:pStyle w:val="31"/>
                    <w:bidi w:val="0"/>
                    <w:jc w:val="center"/>
                    <w:rPr>
                      <w:rFonts w:hint="default" w:ascii="Times New Roman" w:hAnsi="Times New Roman" w:cs="Times New Roman"/>
                      <w:color w:val="000000"/>
                      <w:highlight w:val="none"/>
                      <w:lang w:eastAsia="en-US"/>
                    </w:rPr>
                  </w:pPr>
                  <w:r>
                    <w:rPr>
                      <w:rFonts w:hint="default" w:ascii="Times New Roman" w:hAnsi="Times New Roman" w:cs="Times New Roman"/>
                      <w:color w:val="000000"/>
                      <w:highlight w:val="none"/>
                      <w:lang w:eastAsia="en-US"/>
                    </w:rPr>
                    <w:t>1.8</w:t>
                  </w:r>
                </w:p>
              </w:tc>
              <w:tc>
                <w:tcPr>
                  <w:tcW w:w="667" w:type="pct"/>
                  <w:noWrap w:val="0"/>
                  <w:vAlign w:val="center"/>
                </w:tcPr>
                <w:p w14:paraId="623DE8FB">
                  <w:pPr>
                    <w:pStyle w:val="31"/>
                    <w:bidi w:val="0"/>
                    <w:jc w:val="center"/>
                    <w:rPr>
                      <w:rFonts w:hint="default" w:ascii="Times New Roman" w:hAnsi="Times New Roman" w:cs="Times New Roman"/>
                      <w:color w:val="000000"/>
                      <w:highlight w:val="none"/>
                      <w:lang w:eastAsia="en-US"/>
                    </w:rPr>
                  </w:pPr>
                  <w:r>
                    <w:rPr>
                      <w:rFonts w:hint="default" w:ascii="Times New Roman" w:hAnsi="Times New Roman" w:cs="Times New Roman"/>
                      <w:color w:val="000000"/>
                      <w:highlight w:val="none"/>
                      <w:lang w:eastAsia="en-US"/>
                    </w:rPr>
                    <w:t>60.05</w:t>
                  </w:r>
                </w:p>
              </w:tc>
              <w:tc>
                <w:tcPr>
                  <w:tcW w:w="912" w:type="pct"/>
                  <w:noWrap w:val="0"/>
                  <w:vAlign w:val="center"/>
                </w:tcPr>
                <w:p w14:paraId="4567A30E">
                  <w:pPr>
                    <w:pStyle w:val="31"/>
                    <w:bidi w:val="0"/>
                    <w:jc w:val="center"/>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1.80</w:t>
                  </w:r>
                </w:p>
              </w:tc>
            </w:tr>
          </w:tbl>
          <w:p w14:paraId="7AED9D5E">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4</w:t>
            </w: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rPr>
              <w:t>施打塑料排水板悬浮泥沙源强</w:t>
            </w:r>
          </w:p>
          <w:p w14:paraId="662418D7">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东防波堤基础采用水上插值塑料排水板，会在海底局部产生扰动，作业范围小，产生的悬浮泥沙极少，因此不做定量计算。</w:t>
            </w:r>
          </w:p>
          <w:p w14:paraId="0E63E817">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5</w:t>
            </w: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rPr>
              <w:t>沉箱放置悬浮泥沙源强</w:t>
            </w:r>
          </w:p>
          <w:p w14:paraId="2E5882CF">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南防波堤码头为直立式结构，采用驳运安装沉箱，预制沉箱底部</w:t>
            </w:r>
            <w:r>
              <w:rPr>
                <w:rFonts w:hint="default" w:ascii="Times New Roman" w:hAnsi="Times New Roman" w:cs="Times New Roman"/>
                <w:color w:val="000000"/>
                <w:highlight w:val="none"/>
                <w:lang w:eastAsia="zh-CN"/>
              </w:rPr>
              <w:t>坐落</w:t>
            </w:r>
            <w:r>
              <w:rPr>
                <w:rFonts w:hint="default" w:ascii="Times New Roman" w:hAnsi="Times New Roman" w:cs="Times New Roman"/>
                <w:color w:val="000000"/>
                <w:highlight w:val="none"/>
              </w:rPr>
              <w:t>在抛石基床上，因此沉水过程产生的悬浮泥沙极少。</w:t>
            </w:r>
          </w:p>
          <w:p w14:paraId="09C6C664">
            <w:pPr>
              <w:pStyle w:val="31"/>
              <w:bidi w:val="0"/>
              <w:rPr>
                <w:rFonts w:hint="default" w:ascii="Times New Roman" w:hAnsi="Times New Roman" w:cs="Times New Roman"/>
                <w:color w:val="000000"/>
                <w:highlight w:val="none"/>
                <w:lang w:val="en-US" w:eastAsia="zh-CN"/>
              </w:rPr>
            </w:pPr>
            <w:r>
              <w:rPr>
                <w:rFonts w:hint="eastAsia" w:cs="Times New Roman"/>
                <w:color w:val="000000"/>
                <w:highlight w:val="none"/>
                <w:lang w:val="en-US" w:eastAsia="zh-CN"/>
              </w:rPr>
              <w:t>（涉密删除）</w:t>
            </w:r>
          </w:p>
          <w:p w14:paraId="410D82BE">
            <w:pPr>
              <w:pStyle w:val="30"/>
              <w:bidi w:val="0"/>
              <w:rPr>
                <w:rFonts w:hint="default" w:ascii="Times New Roman" w:hAnsi="Times New Roman" w:cs="Times New Roman"/>
                <w:color w:val="000000"/>
                <w:highlight w:val="none"/>
              </w:rPr>
            </w:pPr>
            <w:bookmarkStart w:id="279" w:name="_Ref21281"/>
            <w:r>
              <w:rPr>
                <w:rFonts w:hint="default" w:ascii="Times New Roman" w:hAnsi="Times New Roman" w:cs="Times New Roman"/>
                <w:color w:val="000000"/>
                <w:highlight w:val="none"/>
              </w:rPr>
              <w:t>图</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4.2</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图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1</w:t>
            </w:r>
            <w:r>
              <w:rPr>
                <w:rFonts w:hint="default" w:ascii="Times New Roman" w:hAnsi="Times New Roman" w:cs="Times New Roman"/>
                <w:color w:val="000000"/>
                <w:highlight w:val="none"/>
              </w:rPr>
              <w:fldChar w:fldCharType="end"/>
            </w:r>
            <w:bookmarkEnd w:id="279"/>
            <w:r>
              <w:rPr>
                <w:rFonts w:hint="default" w:ascii="Times New Roman" w:hAnsi="Times New Roman" w:cs="Times New Roman"/>
                <w:color w:val="000000"/>
                <w:highlight w:val="none"/>
                <w:lang w:val="en-US" w:eastAsia="zh-CN"/>
              </w:rPr>
              <w:t xml:space="preserve"> </w:t>
            </w:r>
            <w:r>
              <w:rPr>
                <w:rFonts w:hint="default" w:ascii="Times New Roman" w:hAnsi="Times New Roman" w:cs="Times New Roman"/>
                <w:color w:val="000000"/>
                <w:highlight w:val="none"/>
              </w:rPr>
              <w:t>基槽开挖、疏浚施工位置图（黄色范围内）</w:t>
            </w:r>
          </w:p>
          <w:p w14:paraId="5688EAB5">
            <w:pPr>
              <w:pStyle w:val="31"/>
              <w:bidi w:val="0"/>
              <w:rPr>
                <w:rFonts w:hint="eastAsia" w:ascii="Times New Roman" w:hAnsi="Times New Roman" w:eastAsia="宋体" w:cs="Times New Roman"/>
                <w:color w:val="000000"/>
                <w:highlight w:val="none"/>
                <w:lang w:eastAsia="zh-CN"/>
              </w:rPr>
            </w:pPr>
            <w:r>
              <w:rPr>
                <w:rFonts w:hint="eastAsia" w:cs="Times New Roman"/>
                <w:color w:val="000000"/>
                <w:highlight w:val="none"/>
                <w:lang w:eastAsia="zh-CN"/>
              </w:rPr>
              <w:t>（</w:t>
            </w:r>
            <w:r>
              <w:rPr>
                <w:rFonts w:hint="eastAsia" w:cs="Times New Roman"/>
                <w:color w:val="000000"/>
                <w:highlight w:val="none"/>
                <w:lang w:val="en-US" w:eastAsia="zh-CN"/>
              </w:rPr>
              <w:t>涉密删除</w:t>
            </w:r>
            <w:r>
              <w:rPr>
                <w:rFonts w:hint="eastAsia" w:cs="Times New Roman"/>
                <w:color w:val="000000"/>
                <w:highlight w:val="none"/>
                <w:lang w:eastAsia="zh-CN"/>
              </w:rPr>
              <w:t>）</w:t>
            </w:r>
          </w:p>
          <w:p w14:paraId="09005CB7">
            <w:pPr>
              <w:pStyle w:val="30"/>
              <w:bidi w:val="0"/>
              <w:rPr>
                <w:rFonts w:hint="default" w:ascii="Times New Roman" w:hAnsi="Times New Roman" w:cs="Times New Roman"/>
                <w:color w:val="000000"/>
                <w:highlight w:val="none"/>
                <w:lang w:val="en-US" w:eastAsia="zh-CN"/>
              </w:rPr>
            </w:pPr>
            <w:bookmarkStart w:id="280" w:name="_Ref21300"/>
            <w:r>
              <w:rPr>
                <w:rFonts w:hint="default" w:ascii="Times New Roman" w:hAnsi="Times New Roman" w:cs="Times New Roman"/>
                <w:color w:val="000000"/>
                <w:highlight w:val="none"/>
              </w:rPr>
              <w:t>图</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4.2</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图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2</w:t>
            </w:r>
            <w:r>
              <w:rPr>
                <w:rFonts w:hint="default" w:ascii="Times New Roman" w:hAnsi="Times New Roman" w:cs="Times New Roman"/>
                <w:color w:val="000000"/>
                <w:highlight w:val="none"/>
              </w:rPr>
              <w:fldChar w:fldCharType="end"/>
            </w:r>
            <w:bookmarkEnd w:id="280"/>
            <w:r>
              <w:rPr>
                <w:rFonts w:hint="default" w:ascii="Times New Roman" w:hAnsi="Times New Roman" w:cs="Times New Roman"/>
                <w:color w:val="000000"/>
                <w:highlight w:val="none"/>
                <w:lang w:val="en-US" w:eastAsia="zh-CN"/>
              </w:rPr>
              <w:t xml:space="preserve"> 块石抛填施工范围图（红色范围内）</w:t>
            </w:r>
          </w:p>
          <w:p w14:paraId="7CAC1C94">
            <w:pPr>
              <w:pStyle w:val="4"/>
              <w:bidi w:val="0"/>
              <w:rPr>
                <w:rFonts w:hint="default"/>
              </w:rPr>
            </w:pPr>
            <w:r>
              <w:rPr>
                <w:rFonts w:hint="default"/>
                <w:lang w:val="en-US" w:eastAsia="zh-CN"/>
              </w:rPr>
              <w:t>施工期水污染源分析</w:t>
            </w:r>
          </w:p>
          <w:p w14:paraId="01ECF41B">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施工期污水主要来自施工船舶含油污水、机械设备冲洗废水和施工人员生活污水。</w:t>
            </w:r>
          </w:p>
          <w:p w14:paraId="77AA24B7">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eastAsia="宋体" w:cs="Times New Roman"/>
                <w:b/>
                <w:bCs/>
                <w:color w:val="000000"/>
                <w:highlight w:val="none"/>
                <w:lang w:val="en-US" w:eastAsia="zh-CN"/>
              </w:rPr>
            </w:pP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1</w:t>
            </w: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施工船舶含油污水、生活污水</w:t>
            </w:r>
          </w:p>
          <w:p w14:paraId="396C6145">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本项目拟采用的施工船舶有抓斗挖泥船、起重船、方驳等，船舶吨级通常在1000t～3000t。根据《水运工程环境保护设计规范》（JTS149-2018），含油污水量约0.54t/d</w:t>
            </w:r>
            <w:r>
              <w:rPr>
                <w:rFonts w:hint="default" w:ascii="Times New Roman" w:hAnsi="Times New Roman" w:cs="Times New Roman"/>
                <w:color w:val="000000"/>
                <w:highlight w:val="none"/>
                <w:lang w:val="en-US" w:eastAsia="zh-CN"/>
              </w:rPr>
              <w:t>·</w:t>
            </w:r>
            <w:r>
              <w:rPr>
                <w:rFonts w:hint="default" w:ascii="Times New Roman" w:hAnsi="Times New Roman" w:cs="Times New Roman"/>
                <w:color w:val="000000"/>
                <w:highlight w:val="none"/>
              </w:rPr>
              <w:t>艘，施工高峰期按5艘同时进行水上作业</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本项目水上施工30个月。因此，施工期船舶含油污水量总计约为</w:t>
            </w:r>
            <w:r>
              <w:rPr>
                <w:rFonts w:hint="default" w:ascii="Times New Roman" w:hAnsi="Times New Roman" w:cs="Times New Roman"/>
                <w:color w:val="000000"/>
                <w:highlight w:val="none"/>
                <w:lang w:val="en-US" w:eastAsia="zh-CN"/>
              </w:rPr>
              <w:t>2.7m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/d</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2430</w:t>
            </w:r>
            <w:r>
              <w:rPr>
                <w:rFonts w:hint="default" w:ascii="Times New Roman" w:hAnsi="Times New Roman" w:cs="Times New Roman"/>
                <w:color w:val="000000"/>
                <w:highlight w:val="none"/>
                <w:lang w:val="en-US" w:eastAsia="zh-CN"/>
              </w:rPr>
              <w:t>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/a</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，含油污水处理前含油量按10000mg/L计。</w:t>
            </w:r>
          </w:p>
          <w:p w14:paraId="4C2DD470">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施工船上工作人员按30人估算，人均生活污水量按50L/d计，则施工船舶生活污水量为1.5m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/d</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1350m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/a</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。主要污染物为COD、BOD</w:t>
            </w:r>
            <w:r>
              <w:rPr>
                <w:rFonts w:hint="default" w:ascii="Times New Roman" w:hAnsi="Times New Roman" w:cs="Times New Roman"/>
                <w:color w:val="000000"/>
                <w:highlight w:val="none"/>
                <w:vertAlign w:val="subscript"/>
                <w:lang w:val="en-US" w:eastAsia="zh-CN"/>
              </w:rPr>
              <w:t>5</w:t>
            </w:r>
            <w:r>
              <w:rPr>
                <w:rFonts w:hint="default" w:ascii="Times New Roman" w:hAnsi="Times New Roman" w:cs="Times New Roman"/>
                <w:color w:val="000000"/>
                <w:highlight w:val="none"/>
                <w:lang w:val="en-US" w:eastAsia="zh-CN"/>
              </w:rPr>
              <w:t>、SS、NH</w:t>
            </w:r>
            <w:r>
              <w:rPr>
                <w:rFonts w:hint="default" w:ascii="Times New Roman" w:hAnsi="Times New Roman" w:cs="Times New Roman"/>
                <w:color w:val="000000"/>
                <w:highlight w:val="none"/>
                <w:vertAlign w:val="subscript"/>
                <w:lang w:val="en-US" w:eastAsia="zh-CN"/>
              </w:rPr>
              <w:t>3</w:t>
            </w:r>
            <w:r>
              <w:rPr>
                <w:rFonts w:hint="default" w:ascii="Times New Roman" w:hAnsi="Times New Roman" w:cs="Times New Roman"/>
                <w:color w:val="000000"/>
                <w:highlight w:val="none"/>
                <w:lang w:val="en-US" w:eastAsia="zh-CN"/>
              </w:rPr>
              <w:t>-N，浓度分别为400mg/L、150mg/L、350mg/L、35mg/L。</w:t>
            </w:r>
          </w:p>
          <w:p w14:paraId="532D847A">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施工船舶污水各类污染物的产生量见</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REF _Ref13465 \h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4.2</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2</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val="en-US" w:eastAsia="zh-CN"/>
              </w:rPr>
              <w:t>。施工船舶含油污水、施工</w:t>
            </w:r>
            <w:r>
              <w:rPr>
                <w:rFonts w:hint="default" w:ascii="Times New Roman" w:hAnsi="Times New Roman" w:cs="Times New Roman"/>
                <w:color w:val="000000"/>
                <w:highlight w:val="none"/>
              </w:rPr>
              <w:t>船舶生活污水由海事部门认可的船舶污染物接收单位接收处理，</w:t>
            </w:r>
            <w:r>
              <w:rPr>
                <w:rFonts w:hint="default" w:ascii="Times New Roman" w:hAnsi="Times New Roman" w:cs="Times New Roman"/>
                <w:color w:val="000000"/>
                <w:highlight w:val="none"/>
                <w:lang w:val="en-US" w:eastAsia="zh-CN"/>
              </w:rPr>
              <w:t>禁止在施工水域排放</w:t>
            </w:r>
            <w:r>
              <w:rPr>
                <w:rFonts w:hint="default" w:ascii="Times New Roman" w:hAnsi="Times New Roman" w:cs="Times New Roman"/>
                <w:color w:val="000000"/>
                <w:highlight w:val="none"/>
              </w:rPr>
              <w:t>。</w:t>
            </w:r>
            <w:bookmarkStart w:id="281" w:name="_Ref28142"/>
          </w:p>
          <w:p w14:paraId="21925FB4">
            <w:pPr>
              <w:pStyle w:val="30"/>
              <w:bidi w:val="0"/>
              <w:rPr>
                <w:rFonts w:hint="default" w:ascii="Times New Roman" w:hAnsi="Times New Roman" w:cs="Times New Roman"/>
                <w:color w:val="000000"/>
                <w:highlight w:val="none"/>
                <w:lang w:val="en-US" w:eastAsia="zh-CN"/>
              </w:rPr>
            </w:pPr>
            <w:bookmarkStart w:id="282" w:name="_Ref13465"/>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4.2</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表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2</w:t>
            </w:r>
            <w:r>
              <w:rPr>
                <w:rFonts w:hint="default" w:ascii="Times New Roman" w:hAnsi="Times New Roman" w:cs="Times New Roman"/>
                <w:color w:val="000000"/>
                <w:highlight w:val="none"/>
              </w:rPr>
              <w:fldChar w:fldCharType="end"/>
            </w:r>
            <w:bookmarkEnd w:id="281"/>
            <w:bookmarkEnd w:id="282"/>
            <w:r>
              <w:rPr>
                <w:rFonts w:hint="default" w:ascii="Times New Roman" w:hAnsi="Times New Roman" w:cs="Times New Roman"/>
                <w:color w:val="000000"/>
                <w:highlight w:val="none"/>
                <w:lang w:val="en-US" w:eastAsia="zh-CN"/>
              </w:rPr>
              <w:t xml:space="preserve"> 施工船舶污水产生情况表</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48"/>
              <w:gridCol w:w="1525"/>
              <w:gridCol w:w="1028"/>
              <w:gridCol w:w="2059"/>
              <w:gridCol w:w="2073"/>
            </w:tblGrid>
            <w:tr w14:paraId="4FCB9E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40" w:type="pct"/>
                  <w:vMerge w:val="restart"/>
                  <w:noWrap w:val="0"/>
                  <w:vAlign w:val="center"/>
                </w:tcPr>
                <w:p w14:paraId="38AAF502">
                  <w:pPr>
                    <w:pStyle w:val="31"/>
                    <w:bidi w:val="0"/>
                    <w:jc w:val="center"/>
                    <w:rPr>
                      <w:rFonts w:hint="default" w:ascii="Times New Roman" w:hAnsi="Times New Roman" w:eastAsia="宋体" w:cs="Times New Roman"/>
                      <w:b/>
                      <w:bCs/>
                      <w:color w:val="000000"/>
                      <w:highlight w:val="none"/>
                      <w:lang w:val="en-US" w:eastAsia="zh-CN"/>
                    </w:rPr>
                  </w:pPr>
                  <w:r>
                    <w:rPr>
                      <w:rFonts w:hint="default" w:ascii="Times New Roman" w:hAnsi="Times New Roman" w:cs="Times New Roman"/>
                      <w:b/>
                      <w:bCs/>
                      <w:color w:val="000000"/>
                      <w:highlight w:val="none"/>
                      <w:lang w:val="en-US" w:eastAsia="zh-CN"/>
                    </w:rPr>
                    <w:t>废污水种类</w:t>
                  </w:r>
                </w:p>
              </w:tc>
              <w:tc>
                <w:tcPr>
                  <w:tcW w:w="926" w:type="pct"/>
                  <w:vMerge w:val="restart"/>
                  <w:noWrap w:val="0"/>
                  <w:vAlign w:val="center"/>
                </w:tcPr>
                <w:p w14:paraId="771DB511">
                  <w:pPr>
                    <w:pStyle w:val="31"/>
                    <w:bidi w:val="0"/>
                    <w:jc w:val="center"/>
                    <w:rPr>
                      <w:rFonts w:hint="default" w:ascii="Times New Roman" w:hAnsi="Times New Roman" w:eastAsia="宋体" w:cs="Times New Roman"/>
                      <w:b/>
                      <w:bCs/>
                      <w:color w:val="000000"/>
                      <w:highlight w:val="none"/>
                      <w:lang w:val="en-US" w:eastAsia="zh-CN"/>
                    </w:rPr>
                  </w:pPr>
                  <w:r>
                    <w:rPr>
                      <w:rFonts w:hint="default" w:ascii="Times New Roman" w:hAnsi="Times New Roman" w:cs="Times New Roman"/>
                      <w:b/>
                      <w:bCs/>
                      <w:color w:val="000000"/>
                      <w:highlight w:val="none"/>
                      <w:lang w:eastAsia="en-US"/>
                    </w:rPr>
                    <w:t>废水产生量</w:t>
                  </w: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eastAsia="en-US"/>
                    </w:rPr>
                    <w:t>m</w:t>
                  </w:r>
                  <w:r>
                    <w:rPr>
                      <w:rFonts w:hint="default" w:ascii="Times New Roman" w:hAnsi="Times New Roman" w:cs="Times New Roman"/>
                      <w:b/>
                      <w:bCs/>
                      <w:color w:val="000000"/>
                      <w:highlight w:val="none"/>
                      <w:vertAlign w:val="superscript"/>
                      <w:lang w:eastAsia="en-US"/>
                    </w:rPr>
                    <w:t>3</w:t>
                  </w:r>
                  <w:r>
                    <w:rPr>
                      <w:rFonts w:hint="default" w:ascii="Times New Roman" w:hAnsi="Times New Roman" w:cs="Times New Roman"/>
                      <w:b/>
                      <w:bCs/>
                      <w:color w:val="000000"/>
                      <w:highlight w:val="none"/>
                      <w:lang w:eastAsia="en-US"/>
                    </w:rPr>
                    <w:t>/d</w:t>
                  </w:r>
                  <w:r>
                    <w:rPr>
                      <w:rFonts w:hint="default" w:ascii="Times New Roman" w:hAnsi="Times New Roman" w:cs="Times New Roman"/>
                      <w:b/>
                      <w:bCs/>
                      <w:color w:val="000000"/>
                      <w:highlight w:val="none"/>
                      <w:lang w:eastAsia="zh-CN"/>
                    </w:rPr>
                    <w:t>）</w:t>
                  </w:r>
                </w:p>
              </w:tc>
              <w:tc>
                <w:tcPr>
                  <w:tcW w:w="624" w:type="pct"/>
                  <w:vMerge w:val="restart"/>
                  <w:noWrap w:val="0"/>
                  <w:vAlign w:val="center"/>
                </w:tcPr>
                <w:p w14:paraId="103BDB63">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污染物</w:t>
                  </w:r>
                </w:p>
              </w:tc>
              <w:tc>
                <w:tcPr>
                  <w:tcW w:w="2508" w:type="pct"/>
                  <w:gridSpan w:val="2"/>
                  <w:noWrap w:val="0"/>
                  <w:vAlign w:val="center"/>
                </w:tcPr>
                <w:p w14:paraId="694126BB">
                  <w:pPr>
                    <w:pStyle w:val="31"/>
                    <w:bidi w:val="0"/>
                    <w:jc w:val="center"/>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lang w:val="en-US" w:eastAsia="zh-CN"/>
                    </w:rPr>
                    <w:t>产生情况</w:t>
                  </w:r>
                </w:p>
              </w:tc>
            </w:tr>
            <w:tr w14:paraId="7400FB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40" w:type="pct"/>
                  <w:vMerge w:val="continue"/>
                  <w:noWrap w:val="0"/>
                  <w:vAlign w:val="center"/>
                </w:tcPr>
                <w:p w14:paraId="4DC962FA">
                  <w:pPr>
                    <w:pStyle w:val="31"/>
                    <w:bidi w:val="0"/>
                    <w:jc w:val="center"/>
                    <w:rPr>
                      <w:rFonts w:hint="default" w:ascii="Times New Roman" w:hAnsi="Times New Roman" w:cs="Times New Roman"/>
                      <w:b/>
                      <w:bCs/>
                      <w:color w:val="000000"/>
                      <w:highlight w:val="none"/>
                    </w:rPr>
                  </w:pPr>
                </w:p>
              </w:tc>
              <w:tc>
                <w:tcPr>
                  <w:tcW w:w="926" w:type="pct"/>
                  <w:vMerge w:val="continue"/>
                  <w:noWrap w:val="0"/>
                  <w:vAlign w:val="center"/>
                </w:tcPr>
                <w:p w14:paraId="5C1A7F40">
                  <w:pPr>
                    <w:pStyle w:val="31"/>
                    <w:bidi w:val="0"/>
                    <w:jc w:val="center"/>
                    <w:rPr>
                      <w:rFonts w:hint="default" w:ascii="Times New Roman" w:hAnsi="Times New Roman" w:cs="Times New Roman"/>
                      <w:b/>
                      <w:bCs/>
                      <w:color w:val="000000"/>
                      <w:highlight w:val="none"/>
                    </w:rPr>
                  </w:pPr>
                </w:p>
              </w:tc>
              <w:tc>
                <w:tcPr>
                  <w:tcW w:w="624" w:type="pct"/>
                  <w:vMerge w:val="continue"/>
                  <w:noWrap w:val="0"/>
                  <w:vAlign w:val="center"/>
                </w:tcPr>
                <w:p w14:paraId="095B9D94">
                  <w:pPr>
                    <w:pStyle w:val="31"/>
                    <w:bidi w:val="0"/>
                    <w:jc w:val="center"/>
                    <w:rPr>
                      <w:rFonts w:hint="default" w:ascii="Times New Roman" w:hAnsi="Times New Roman" w:cs="Times New Roman"/>
                      <w:b/>
                      <w:bCs/>
                      <w:color w:val="000000"/>
                      <w:highlight w:val="none"/>
                    </w:rPr>
                  </w:pPr>
                </w:p>
              </w:tc>
              <w:tc>
                <w:tcPr>
                  <w:tcW w:w="1250" w:type="pct"/>
                  <w:noWrap w:val="0"/>
                  <w:vAlign w:val="center"/>
                </w:tcPr>
                <w:p w14:paraId="3F4F68FB">
                  <w:pPr>
                    <w:pStyle w:val="31"/>
                    <w:bidi w:val="0"/>
                    <w:jc w:val="center"/>
                    <w:rPr>
                      <w:rFonts w:hint="default" w:ascii="Times New Roman" w:hAnsi="Times New Roman" w:eastAsia="宋体" w:cs="Times New Roman"/>
                      <w:b/>
                      <w:bCs/>
                      <w:color w:val="000000"/>
                      <w:highlight w:val="none"/>
                      <w:lang w:val="en-US" w:eastAsia="zh-CN"/>
                    </w:rPr>
                  </w:pPr>
                  <w:r>
                    <w:rPr>
                      <w:rFonts w:hint="default" w:ascii="Times New Roman" w:hAnsi="Times New Roman" w:cs="Times New Roman"/>
                      <w:b/>
                      <w:bCs/>
                      <w:color w:val="000000"/>
                      <w:highlight w:val="none"/>
                      <w:lang w:val="en-US" w:eastAsia="zh-CN"/>
                    </w:rPr>
                    <w:t>产生浓度（mg/L）</w:t>
                  </w:r>
                </w:p>
              </w:tc>
              <w:tc>
                <w:tcPr>
                  <w:tcW w:w="1258" w:type="pct"/>
                  <w:noWrap w:val="0"/>
                  <w:vAlign w:val="center"/>
                </w:tcPr>
                <w:p w14:paraId="75928E51">
                  <w:pPr>
                    <w:pStyle w:val="31"/>
                    <w:bidi w:val="0"/>
                    <w:jc w:val="center"/>
                    <w:rPr>
                      <w:rFonts w:hint="default" w:ascii="Times New Roman" w:hAnsi="Times New Roman" w:eastAsia="宋体" w:cs="Times New Roman"/>
                      <w:b/>
                      <w:bCs/>
                      <w:color w:val="000000"/>
                      <w:highlight w:val="none"/>
                      <w:lang w:val="en-US" w:eastAsia="zh-CN"/>
                    </w:rPr>
                  </w:pPr>
                  <w:r>
                    <w:rPr>
                      <w:rFonts w:hint="default" w:ascii="Times New Roman" w:hAnsi="Times New Roman" w:cs="Times New Roman"/>
                      <w:b/>
                      <w:bCs/>
                      <w:color w:val="000000"/>
                      <w:highlight w:val="none"/>
                      <w:lang w:val="en-US" w:eastAsia="zh-CN"/>
                    </w:rPr>
                    <w:t>产生量（t/a）</w:t>
                  </w:r>
                </w:p>
              </w:tc>
            </w:tr>
            <w:tr w14:paraId="56AC79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40" w:type="pct"/>
                  <w:noWrap w:val="0"/>
                  <w:vAlign w:val="center"/>
                </w:tcPr>
                <w:p w14:paraId="3AB68FD8">
                  <w:pPr>
                    <w:pStyle w:val="31"/>
                    <w:bidi w:val="0"/>
                    <w:jc w:val="center"/>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船舶含油污水</w:t>
                  </w:r>
                </w:p>
              </w:tc>
              <w:tc>
                <w:tcPr>
                  <w:tcW w:w="926" w:type="pct"/>
                  <w:noWrap w:val="0"/>
                  <w:vAlign w:val="center"/>
                </w:tcPr>
                <w:p w14:paraId="2E0D2063">
                  <w:pPr>
                    <w:pStyle w:val="31"/>
                    <w:bidi w:val="0"/>
                    <w:jc w:val="center"/>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2.7</w:t>
                  </w:r>
                </w:p>
              </w:tc>
              <w:tc>
                <w:tcPr>
                  <w:tcW w:w="624" w:type="pct"/>
                  <w:noWrap w:val="0"/>
                  <w:vAlign w:val="center"/>
                </w:tcPr>
                <w:p w14:paraId="66FFE9C4">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石油类</w:t>
                  </w:r>
                </w:p>
              </w:tc>
              <w:tc>
                <w:tcPr>
                  <w:tcW w:w="1250" w:type="pct"/>
                  <w:noWrap w:val="0"/>
                  <w:vAlign w:val="center"/>
                </w:tcPr>
                <w:p w14:paraId="138EF4E7">
                  <w:pPr>
                    <w:pStyle w:val="31"/>
                    <w:bidi w:val="0"/>
                    <w:jc w:val="center"/>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rPr>
                    <w:t>10000</w:t>
                  </w:r>
                </w:p>
              </w:tc>
              <w:tc>
                <w:tcPr>
                  <w:tcW w:w="1258" w:type="pct"/>
                  <w:noWrap w:val="0"/>
                  <w:vAlign w:val="center"/>
                </w:tcPr>
                <w:p w14:paraId="0A8ECAD6">
                  <w:pPr>
                    <w:pStyle w:val="31"/>
                    <w:bidi w:val="0"/>
                    <w:jc w:val="center"/>
                    <w:rPr>
                      <w:rFonts w:hint="default" w:ascii="Times New Roman" w:hAnsi="Times New Roman" w:cs="Times New Roman"/>
                      <w:color w:val="000000"/>
                      <w:highlight w:val="none"/>
                    </w:rPr>
                  </w:pPr>
                  <w:r>
                    <w:rPr>
                      <w:rFonts w:hint="default" w:ascii="Times New Roman" w:hAnsi="Times New Roman" w:cs="Times New Roman"/>
                      <w:color w:val="000000"/>
                      <w:highlight w:val="none"/>
                    </w:rPr>
                    <w:t>24.3</w:t>
                  </w:r>
                </w:p>
              </w:tc>
            </w:tr>
            <w:tr w14:paraId="7343B1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40" w:type="pct"/>
                  <w:vMerge w:val="restart"/>
                  <w:noWrap w:val="0"/>
                  <w:vAlign w:val="center"/>
                </w:tcPr>
                <w:p w14:paraId="4AA7D38D">
                  <w:pPr>
                    <w:pStyle w:val="31"/>
                    <w:bidi w:val="0"/>
                    <w:jc w:val="center"/>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船舶生活污水</w:t>
                  </w:r>
                </w:p>
              </w:tc>
              <w:tc>
                <w:tcPr>
                  <w:tcW w:w="926" w:type="pct"/>
                  <w:vMerge w:val="restart"/>
                  <w:noWrap w:val="0"/>
                  <w:vAlign w:val="center"/>
                </w:tcPr>
                <w:p w14:paraId="63602A01">
                  <w:pPr>
                    <w:pStyle w:val="31"/>
                    <w:bidi w:val="0"/>
                    <w:jc w:val="center"/>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eastAsia="zh-CN"/>
                    </w:rPr>
                    <w:t>1.5</w:t>
                  </w:r>
                </w:p>
              </w:tc>
              <w:tc>
                <w:tcPr>
                  <w:tcW w:w="624" w:type="pct"/>
                  <w:noWrap w:val="0"/>
                  <w:vAlign w:val="center"/>
                </w:tcPr>
                <w:p w14:paraId="42859A99">
                  <w:pPr>
                    <w:pStyle w:val="31"/>
                    <w:bidi w:val="0"/>
                    <w:jc w:val="center"/>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COD</w:t>
                  </w:r>
                  <w:r>
                    <w:rPr>
                      <w:rFonts w:hint="default" w:ascii="Times New Roman" w:hAnsi="Times New Roman" w:cs="Times New Roman"/>
                      <w:color w:val="000000"/>
                      <w:highlight w:val="none"/>
                      <w:vertAlign w:val="subscript"/>
                      <w:lang w:val="en-US" w:eastAsia="zh-CN"/>
                    </w:rPr>
                    <w:t>Cr</w:t>
                  </w:r>
                </w:p>
              </w:tc>
              <w:tc>
                <w:tcPr>
                  <w:tcW w:w="2312" w:type="dxa"/>
                  <w:noWrap w:val="0"/>
                  <w:vAlign w:val="center"/>
                </w:tcPr>
                <w:p w14:paraId="21F2B394">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400</w:t>
                  </w:r>
                </w:p>
              </w:tc>
              <w:tc>
                <w:tcPr>
                  <w:tcW w:w="2326" w:type="dxa"/>
                  <w:noWrap w:val="0"/>
                  <w:vAlign w:val="center"/>
                </w:tcPr>
                <w:p w14:paraId="08BD2ED7">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 xml:space="preserve">0.5400 </w:t>
                  </w:r>
                </w:p>
              </w:tc>
            </w:tr>
            <w:tr w14:paraId="6DE3BA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40" w:type="pct"/>
                  <w:vMerge w:val="continue"/>
                  <w:noWrap w:val="0"/>
                  <w:vAlign w:val="center"/>
                </w:tcPr>
                <w:p w14:paraId="33ACABF0">
                  <w:pPr>
                    <w:pStyle w:val="31"/>
                    <w:bidi w:val="0"/>
                    <w:jc w:val="center"/>
                    <w:rPr>
                      <w:rFonts w:hint="default" w:ascii="Times New Roman" w:hAnsi="Times New Roman" w:cs="Times New Roman"/>
                      <w:color w:val="000000"/>
                      <w:highlight w:val="none"/>
                    </w:rPr>
                  </w:pPr>
                </w:p>
              </w:tc>
              <w:tc>
                <w:tcPr>
                  <w:tcW w:w="926" w:type="pct"/>
                  <w:vMerge w:val="continue"/>
                  <w:noWrap w:val="0"/>
                  <w:vAlign w:val="center"/>
                </w:tcPr>
                <w:p w14:paraId="428B3923">
                  <w:pPr>
                    <w:pStyle w:val="31"/>
                    <w:bidi w:val="0"/>
                    <w:jc w:val="center"/>
                    <w:rPr>
                      <w:rFonts w:hint="default" w:ascii="Times New Roman" w:hAnsi="Times New Roman" w:cs="Times New Roman"/>
                      <w:color w:val="000000"/>
                      <w:highlight w:val="none"/>
                    </w:rPr>
                  </w:pPr>
                </w:p>
              </w:tc>
              <w:tc>
                <w:tcPr>
                  <w:tcW w:w="624" w:type="pct"/>
                  <w:noWrap w:val="0"/>
                  <w:vAlign w:val="center"/>
                </w:tcPr>
                <w:p w14:paraId="384A13EF">
                  <w:pPr>
                    <w:pStyle w:val="31"/>
                    <w:bidi w:val="0"/>
                    <w:jc w:val="center"/>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BOD</w:t>
                  </w:r>
                  <w:r>
                    <w:rPr>
                      <w:rFonts w:hint="default" w:ascii="Times New Roman" w:hAnsi="Times New Roman" w:cs="Times New Roman"/>
                      <w:color w:val="000000"/>
                      <w:highlight w:val="none"/>
                      <w:vertAlign w:val="subscript"/>
                      <w:lang w:val="en-US" w:eastAsia="zh-CN"/>
                    </w:rPr>
                    <w:t>5</w:t>
                  </w:r>
                </w:p>
              </w:tc>
              <w:tc>
                <w:tcPr>
                  <w:tcW w:w="2312" w:type="dxa"/>
                  <w:noWrap w:val="0"/>
                  <w:vAlign w:val="center"/>
                </w:tcPr>
                <w:p w14:paraId="665ECC1B">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150</w:t>
                  </w:r>
                </w:p>
              </w:tc>
              <w:tc>
                <w:tcPr>
                  <w:tcW w:w="2326" w:type="dxa"/>
                  <w:noWrap w:val="0"/>
                  <w:vAlign w:val="center"/>
                </w:tcPr>
                <w:p w14:paraId="4F9AD583">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 xml:space="preserve">0.2025 </w:t>
                  </w:r>
                </w:p>
              </w:tc>
            </w:tr>
            <w:tr w14:paraId="6F415E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40" w:type="pct"/>
                  <w:vMerge w:val="continue"/>
                  <w:noWrap w:val="0"/>
                  <w:vAlign w:val="center"/>
                </w:tcPr>
                <w:p w14:paraId="40D607B8">
                  <w:pPr>
                    <w:pStyle w:val="31"/>
                    <w:bidi w:val="0"/>
                    <w:jc w:val="center"/>
                    <w:rPr>
                      <w:rFonts w:hint="default" w:ascii="Times New Roman" w:hAnsi="Times New Roman" w:cs="Times New Roman"/>
                      <w:color w:val="000000"/>
                      <w:highlight w:val="none"/>
                    </w:rPr>
                  </w:pPr>
                </w:p>
              </w:tc>
              <w:tc>
                <w:tcPr>
                  <w:tcW w:w="926" w:type="pct"/>
                  <w:vMerge w:val="continue"/>
                  <w:noWrap w:val="0"/>
                  <w:vAlign w:val="center"/>
                </w:tcPr>
                <w:p w14:paraId="26325E88">
                  <w:pPr>
                    <w:pStyle w:val="31"/>
                    <w:bidi w:val="0"/>
                    <w:jc w:val="center"/>
                    <w:rPr>
                      <w:rFonts w:hint="default" w:ascii="Times New Roman" w:hAnsi="Times New Roman" w:cs="Times New Roman"/>
                      <w:color w:val="000000"/>
                      <w:highlight w:val="none"/>
                    </w:rPr>
                  </w:pPr>
                </w:p>
              </w:tc>
              <w:tc>
                <w:tcPr>
                  <w:tcW w:w="624" w:type="pct"/>
                  <w:noWrap w:val="0"/>
                  <w:vAlign w:val="center"/>
                </w:tcPr>
                <w:p w14:paraId="729A58B8">
                  <w:pPr>
                    <w:pStyle w:val="31"/>
                    <w:bidi w:val="0"/>
                    <w:jc w:val="center"/>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eastAsia="zh-CN"/>
                    </w:rPr>
                    <w:t>SS</w:t>
                  </w:r>
                </w:p>
              </w:tc>
              <w:tc>
                <w:tcPr>
                  <w:tcW w:w="2312" w:type="dxa"/>
                  <w:noWrap w:val="0"/>
                  <w:vAlign w:val="center"/>
                </w:tcPr>
                <w:p w14:paraId="545666A0">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350</w:t>
                  </w:r>
                </w:p>
              </w:tc>
              <w:tc>
                <w:tcPr>
                  <w:tcW w:w="2326" w:type="dxa"/>
                  <w:noWrap w:val="0"/>
                  <w:vAlign w:val="center"/>
                </w:tcPr>
                <w:p w14:paraId="2A2EC4FD">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 xml:space="preserve">0.4725 </w:t>
                  </w:r>
                </w:p>
              </w:tc>
            </w:tr>
            <w:tr w14:paraId="68A326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40" w:type="pct"/>
                  <w:vMerge w:val="continue"/>
                  <w:noWrap w:val="0"/>
                  <w:vAlign w:val="center"/>
                </w:tcPr>
                <w:p w14:paraId="7A255FB6">
                  <w:pPr>
                    <w:pStyle w:val="31"/>
                    <w:bidi w:val="0"/>
                    <w:jc w:val="center"/>
                    <w:rPr>
                      <w:rFonts w:hint="default" w:ascii="Times New Roman" w:hAnsi="Times New Roman" w:cs="Times New Roman"/>
                      <w:color w:val="000000"/>
                      <w:highlight w:val="none"/>
                    </w:rPr>
                  </w:pPr>
                </w:p>
              </w:tc>
              <w:tc>
                <w:tcPr>
                  <w:tcW w:w="926" w:type="pct"/>
                  <w:vMerge w:val="continue"/>
                  <w:noWrap w:val="0"/>
                  <w:vAlign w:val="center"/>
                </w:tcPr>
                <w:p w14:paraId="5BC065D6">
                  <w:pPr>
                    <w:pStyle w:val="31"/>
                    <w:bidi w:val="0"/>
                    <w:jc w:val="center"/>
                    <w:rPr>
                      <w:rFonts w:hint="default" w:ascii="Times New Roman" w:hAnsi="Times New Roman" w:cs="Times New Roman"/>
                      <w:color w:val="000000"/>
                      <w:highlight w:val="none"/>
                    </w:rPr>
                  </w:pPr>
                </w:p>
              </w:tc>
              <w:tc>
                <w:tcPr>
                  <w:tcW w:w="624" w:type="pct"/>
                  <w:noWrap w:val="0"/>
                  <w:vAlign w:val="center"/>
                </w:tcPr>
                <w:p w14:paraId="0C2BF390">
                  <w:pPr>
                    <w:pStyle w:val="31"/>
                    <w:bidi w:val="0"/>
                    <w:jc w:val="center"/>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NH</w:t>
                  </w:r>
                  <w:r>
                    <w:rPr>
                      <w:rFonts w:hint="default" w:ascii="Times New Roman" w:hAnsi="Times New Roman" w:cs="Times New Roman"/>
                      <w:color w:val="000000"/>
                      <w:highlight w:val="none"/>
                      <w:vertAlign w:val="subscript"/>
                      <w:lang w:val="en-US" w:eastAsia="zh-CN"/>
                    </w:rPr>
                    <w:t>3</w:t>
                  </w:r>
                  <w:r>
                    <w:rPr>
                      <w:rFonts w:hint="default" w:ascii="Times New Roman" w:hAnsi="Times New Roman" w:cs="Times New Roman"/>
                      <w:color w:val="000000"/>
                      <w:highlight w:val="none"/>
                      <w:lang w:val="en-US" w:eastAsia="zh-CN"/>
                    </w:rPr>
                    <w:t>-N</w:t>
                  </w:r>
                </w:p>
              </w:tc>
              <w:tc>
                <w:tcPr>
                  <w:tcW w:w="2312" w:type="dxa"/>
                  <w:noWrap w:val="0"/>
                  <w:vAlign w:val="center"/>
                </w:tcPr>
                <w:p w14:paraId="2905EBF9">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35</w:t>
                  </w:r>
                </w:p>
              </w:tc>
              <w:tc>
                <w:tcPr>
                  <w:tcW w:w="2326" w:type="dxa"/>
                  <w:noWrap w:val="0"/>
                  <w:vAlign w:val="center"/>
                </w:tcPr>
                <w:p w14:paraId="062215D6">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 xml:space="preserve">0.0473 </w:t>
                  </w:r>
                </w:p>
              </w:tc>
            </w:tr>
          </w:tbl>
          <w:p w14:paraId="45E93F1D">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eastAsia="宋体" w:cs="Times New Roman"/>
                <w:b/>
                <w:bCs/>
                <w:color w:val="000000"/>
                <w:highlight w:val="none"/>
                <w:lang w:val="en-US" w:eastAsia="zh-CN"/>
              </w:rPr>
            </w:pP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2</w:t>
            </w: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陆域施工生活污水</w:t>
            </w:r>
          </w:p>
          <w:p w14:paraId="42822EA7">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陆域施工人员高峰期约</w:t>
            </w:r>
            <w:r>
              <w:rPr>
                <w:rFonts w:hint="default" w:ascii="Times New Roman" w:hAnsi="Times New Roman" w:cs="Times New Roman"/>
                <w:color w:val="000000"/>
                <w:highlight w:val="none"/>
                <w:lang w:val="en-US" w:eastAsia="zh-CN"/>
              </w:rPr>
              <w:t>25</w:t>
            </w:r>
            <w:r>
              <w:rPr>
                <w:rFonts w:hint="default" w:ascii="Times New Roman" w:hAnsi="Times New Roman" w:cs="Times New Roman"/>
                <w:color w:val="000000"/>
                <w:highlight w:val="none"/>
              </w:rPr>
              <w:t>人，</w:t>
            </w:r>
            <w:r>
              <w:rPr>
                <w:rFonts w:hint="default" w:ascii="Times New Roman" w:hAnsi="Times New Roman" w:cs="Times New Roman"/>
                <w:color w:val="000000"/>
                <w:highlight w:val="none"/>
                <w:lang w:val="en-US" w:eastAsia="zh-CN"/>
              </w:rPr>
              <w:t>陆域施工30个月，人均生活污水量按50L/d计，则本项目</w:t>
            </w:r>
            <w:r>
              <w:rPr>
                <w:rFonts w:hint="default" w:ascii="Times New Roman" w:hAnsi="Times New Roman" w:cs="Times New Roman"/>
                <w:color w:val="000000"/>
                <w:highlight w:val="none"/>
              </w:rPr>
              <w:t>施工期生活污水产生量总计为</w:t>
            </w:r>
            <w:r>
              <w:rPr>
                <w:rFonts w:hint="default" w:ascii="Times New Roman" w:hAnsi="Times New Roman" w:cs="Times New Roman"/>
                <w:color w:val="000000"/>
                <w:highlight w:val="none"/>
                <w:lang w:val="en-US" w:eastAsia="zh-CN"/>
              </w:rPr>
              <w:t>1125m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/a（1.25</w:t>
            </w:r>
            <w:r>
              <w:rPr>
                <w:rFonts w:hint="default" w:ascii="Times New Roman" w:hAnsi="Times New Roman" w:cs="Times New Roman"/>
                <w:color w:val="000000"/>
                <w:highlight w:val="none"/>
              </w:rPr>
              <w:t>m</w:t>
            </w:r>
            <w:r>
              <w:rPr>
                <w:rFonts w:hint="default" w:ascii="Times New Roman" w:hAnsi="Times New Roman" w:cs="Times New Roman"/>
                <w:color w:val="000000"/>
                <w:highlight w:val="none"/>
                <w:vertAlign w:val="superscript"/>
              </w:rPr>
              <w:t>3</w:t>
            </w:r>
            <w:r>
              <w:rPr>
                <w:rFonts w:hint="default" w:ascii="Times New Roman" w:hAnsi="Times New Roman" w:cs="Times New Roman"/>
                <w:color w:val="000000"/>
                <w:highlight w:val="none"/>
              </w:rPr>
              <w:t>/d</w:t>
            </w:r>
            <w:r>
              <w:rPr>
                <w:rFonts w:hint="default" w:ascii="Times New Roman" w:hAnsi="Times New Roman" w:cs="Times New Roman"/>
                <w:color w:val="000000"/>
                <w:highlight w:val="none"/>
                <w:lang w:val="en-US" w:eastAsia="zh-CN"/>
              </w:rPr>
              <w:t>）</w:t>
            </w:r>
            <w:r>
              <w:rPr>
                <w:rFonts w:hint="default" w:ascii="Times New Roman" w:hAnsi="Times New Roman" w:cs="Times New Roman"/>
                <w:color w:val="000000"/>
                <w:highlight w:val="none"/>
              </w:rPr>
              <w:t>。</w:t>
            </w:r>
            <w:r>
              <w:rPr>
                <w:rFonts w:hint="default" w:ascii="Times New Roman" w:hAnsi="Times New Roman" w:cs="Times New Roman"/>
                <w:color w:val="000000"/>
                <w:highlight w:val="none"/>
                <w:lang w:val="en-US" w:eastAsia="zh-CN"/>
              </w:rPr>
              <w:t>主要污染物为COD、BOD</w:t>
            </w:r>
            <w:r>
              <w:rPr>
                <w:rFonts w:hint="default" w:ascii="Times New Roman" w:hAnsi="Times New Roman" w:cs="Times New Roman"/>
                <w:color w:val="000000"/>
                <w:highlight w:val="none"/>
                <w:vertAlign w:val="subscript"/>
                <w:lang w:val="en-US" w:eastAsia="zh-CN"/>
              </w:rPr>
              <w:t>5</w:t>
            </w:r>
            <w:r>
              <w:rPr>
                <w:rFonts w:hint="default" w:ascii="Times New Roman" w:hAnsi="Times New Roman" w:cs="Times New Roman"/>
                <w:color w:val="000000"/>
                <w:highlight w:val="none"/>
                <w:lang w:val="en-US" w:eastAsia="zh-CN"/>
              </w:rPr>
              <w:t>、SS、NH</w:t>
            </w:r>
            <w:r>
              <w:rPr>
                <w:rFonts w:hint="default" w:ascii="Times New Roman" w:hAnsi="Times New Roman" w:cs="Times New Roman"/>
                <w:color w:val="000000"/>
                <w:highlight w:val="none"/>
                <w:vertAlign w:val="subscript"/>
                <w:lang w:val="en-US" w:eastAsia="zh-CN"/>
              </w:rPr>
              <w:t>3</w:t>
            </w:r>
            <w:r>
              <w:rPr>
                <w:rFonts w:hint="default" w:ascii="Times New Roman" w:hAnsi="Times New Roman" w:cs="Times New Roman"/>
                <w:color w:val="000000"/>
                <w:highlight w:val="none"/>
                <w:lang w:val="en-US" w:eastAsia="zh-CN"/>
              </w:rPr>
              <w:t>-N，浓度分别为400mg/L、150mg/L、350mg/L、35mg/L</w:t>
            </w:r>
            <w:r>
              <w:rPr>
                <w:rFonts w:hint="default" w:ascii="Times New Roman" w:hAnsi="Times New Roman" w:cs="Times New Roman"/>
                <w:color w:val="000000"/>
                <w:highlight w:val="none"/>
              </w:rPr>
              <w:t>，各类污染物的产生量见</w:t>
            </w:r>
            <w:r>
              <w:rPr>
                <w:rFonts w:hint="default" w:ascii="Times New Roman" w:hAnsi="Times New Roman" w:cs="Times New Roman"/>
                <w:color w:val="000000"/>
                <w:highlight w:val="none"/>
                <w:lang w:eastAsia="zh-CN"/>
              </w:rPr>
              <w:fldChar w:fldCharType="begin"/>
            </w:r>
            <w:r>
              <w:rPr>
                <w:rFonts w:hint="default" w:ascii="Times New Roman" w:hAnsi="Times New Roman" w:cs="Times New Roman"/>
                <w:color w:val="000000"/>
                <w:highlight w:val="none"/>
                <w:lang w:eastAsia="zh-CN"/>
              </w:rPr>
              <w:instrText xml:space="preserve"> REF _Ref2339 \h </w:instrText>
            </w:r>
            <w:r>
              <w:rPr>
                <w:rFonts w:hint="default" w:ascii="Times New Roman" w:hAnsi="Times New Roman" w:cs="Times New Roman"/>
                <w:color w:val="000000"/>
                <w:highlight w:val="none"/>
                <w:lang w:eastAsia="zh-CN"/>
              </w:rPr>
              <w:fldChar w:fldCharType="separate"/>
            </w:r>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4.2</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3</w:t>
            </w:r>
            <w:r>
              <w:rPr>
                <w:rFonts w:hint="default" w:ascii="Times New Roman" w:hAnsi="Times New Roman" w:cs="Times New Roman"/>
                <w:color w:val="000000"/>
                <w:highlight w:val="none"/>
                <w:lang w:eastAsia="zh-CN"/>
              </w:rPr>
              <w:fldChar w:fldCharType="end"/>
            </w:r>
            <w:r>
              <w:rPr>
                <w:rFonts w:hint="default" w:ascii="Times New Roman" w:hAnsi="Times New Roman" w:cs="Times New Roman"/>
                <w:color w:val="000000"/>
                <w:highlight w:val="none"/>
              </w:rPr>
              <w:t>。</w:t>
            </w:r>
            <w:r>
              <w:rPr>
                <w:rFonts w:hint="default" w:ascii="Times New Roman" w:hAnsi="Times New Roman" w:cs="Times New Roman"/>
                <w:color w:val="000000"/>
                <w:highlight w:val="none"/>
                <w:lang w:val="en-US" w:eastAsia="zh-CN"/>
              </w:rPr>
              <w:t>施工人员生活污水依托附近村庄现有的化粪池处理</w:t>
            </w:r>
            <w:r>
              <w:rPr>
                <w:rFonts w:hint="default" w:ascii="Times New Roman" w:hAnsi="Times New Roman" w:cs="Times New Roman"/>
                <w:color w:val="000000"/>
                <w:highlight w:val="none"/>
              </w:rPr>
              <w:t>。</w:t>
            </w:r>
          </w:p>
          <w:p w14:paraId="55C31894">
            <w:pPr>
              <w:pStyle w:val="30"/>
              <w:bidi w:val="0"/>
              <w:rPr>
                <w:rFonts w:hint="default" w:ascii="Times New Roman" w:hAnsi="Times New Roman" w:cs="Times New Roman"/>
                <w:color w:val="000000"/>
                <w:highlight w:val="none"/>
                <w:lang w:val="en-US" w:eastAsia="zh-CN"/>
              </w:rPr>
            </w:pPr>
            <w:bookmarkStart w:id="283" w:name="_Ref2339"/>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4.2</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表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w:t>
            </w:r>
            <w:r>
              <w:rPr>
                <w:rFonts w:hint="default" w:ascii="Times New Roman" w:hAnsi="Times New Roman" w:cs="Times New Roman"/>
                <w:color w:val="000000"/>
                <w:highlight w:val="none"/>
              </w:rPr>
              <w:fldChar w:fldCharType="end"/>
            </w:r>
            <w:bookmarkEnd w:id="283"/>
            <w:r>
              <w:rPr>
                <w:rFonts w:hint="default" w:ascii="Times New Roman" w:hAnsi="Times New Roman" w:cs="Times New Roman"/>
                <w:color w:val="000000"/>
                <w:highlight w:val="none"/>
                <w:lang w:val="en-US" w:eastAsia="zh-CN"/>
              </w:rPr>
              <w:t xml:space="preserve"> 陆域施工生活污水产生情况表</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47"/>
              <w:gridCol w:w="1525"/>
              <w:gridCol w:w="1028"/>
              <w:gridCol w:w="2059"/>
              <w:gridCol w:w="2074"/>
            </w:tblGrid>
            <w:tr w14:paraId="7B775C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940" w:type="pct"/>
                  <w:vMerge w:val="restart"/>
                  <w:noWrap w:val="0"/>
                  <w:vAlign w:val="center"/>
                </w:tcPr>
                <w:p w14:paraId="419D652D">
                  <w:pPr>
                    <w:pStyle w:val="31"/>
                    <w:bidi w:val="0"/>
                    <w:jc w:val="center"/>
                    <w:rPr>
                      <w:rFonts w:hint="default" w:ascii="Times New Roman" w:hAnsi="Times New Roman" w:eastAsia="宋体" w:cs="Times New Roman"/>
                      <w:b/>
                      <w:bCs/>
                      <w:color w:val="000000"/>
                      <w:highlight w:val="none"/>
                      <w:lang w:val="en-US" w:eastAsia="zh-CN"/>
                    </w:rPr>
                  </w:pPr>
                  <w:r>
                    <w:rPr>
                      <w:rFonts w:hint="default" w:ascii="Times New Roman" w:hAnsi="Times New Roman" w:cs="Times New Roman"/>
                      <w:b/>
                      <w:bCs/>
                      <w:color w:val="000000"/>
                      <w:highlight w:val="none"/>
                      <w:lang w:val="en-US" w:eastAsia="zh-CN"/>
                    </w:rPr>
                    <w:t>废污水种类</w:t>
                  </w:r>
                </w:p>
              </w:tc>
              <w:tc>
                <w:tcPr>
                  <w:tcW w:w="926" w:type="pct"/>
                  <w:vMerge w:val="restart"/>
                  <w:noWrap w:val="0"/>
                  <w:vAlign w:val="center"/>
                </w:tcPr>
                <w:p w14:paraId="2BBC30A3">
                  <w:pPr>
                    <w:pStyle w:val="31"/>
                    <w:bidi w:val="0"/>
                    <w:jc w:val="center"/>
                    <w:rPr>
                      <w:rFonts w:hint="default" w:ascii="Times New Roman" w:hAnsi="Times New Roman" w:eastAsia="宋体" w:cs="Times New Roman"/>
                      <w:b/>
                      <w:bCs/>
                      <w:color w:val="000000"/>
                      <w:highlight w:val="none"/>
                      <w:lang w:val="en-US" w:eastAsia="zh-CN"/>
                    </w:rPr>
                  </w:pPr>
                  <w:r>
                    <w:rPr>
                      <w:rFonts w:hint="default" w:ascii="Times New Roman" w:hAnsi="Times New Roman" w:cs="Times New Roman"/>
                      <w:b/>
                      <w:bCs/>
                      <w:color w:val="000000"/>
                      <w:highlight w:val="none"/>
                      <w:lang w:eastAsia="en-US"/>
                    </w:rPr>
                    <w:t>废水产生量</w:t>
                  </w: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eastAsia="en-US"/>
                    </w:rPr>
                    <w:t>m</w:t>
                  </w:r>
                  <w:r>
                    <w:rPr>
                      <w:rFonts w:hint="default" w:ascii="Times New Roman" w:hAnsi="Times New Roman" w:cs="Times New Roman"/>
                      <w:b/>
                      <w:bCs/>
                      <w:color w:val="000000"/>
                      <w:highlight w:val="none"/>
                      <w:vertAlign w:val="superscript"/>
                      <w:lang w:eastAsia="en-US"/>
                    </w:rPr>
                    <w:t>3</w:t>
                  </w:r>
                  <w:r>
                    <w:rPr>
                      <w:rFonts w:hint="default" w:ascii="Times New Roman" w:hAnsi="Times New Roman" w:cs="Times New Roman"/>
                      <w:b/>
                      <w:bCs/>
                      <w:color w:val="000000"/>
                      <w:highlight w:val="none"/>
                      <w:lang w:eastAsia="en-US"/>
                    </w:rPr>
                    <w:t>/d</w:t>
                  </w:r>
                  <w:r>
                    <w:rPr>
                      <w:rFonts w:hint="default" w:ascii="Times New Roman" w:hAnsi="Times New Roman" w:cs="Times New Roman"/>
                      <w:b/>
                      <w:bCs/>
                      <w:color w:val="000000"/>
                      <w:highlight w:val="none"/>
                      <w:lang w:eastAsia="zh-CN"/>
                    </w:rPr>
                    <w:t>）</w:t>
                  </w:r>
                </w:p>
              </w:tc>
              <w:tc>
                <w:tcPr>
                  <w:tcW w:w="624" w:type="pct"/>
                  <w:vMerge w:val="restart"/>
                  <w:noWrap w:val="0"/>
                  <w:vAlign w:val="center"/>
                </w:tcPr>
                <w:p w14:paraId="3E7ADBA6">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污染物</w:t>
                  </w:r>
                </w:p>
              </w:tc>
              <w:tc>
                <w:tcPr>
                  <w:tcW w:w="2509" w:type="pct"/>
                  <w:gridSpan w:val="2"/>
                  <w:noWrap w:val="0"/>
                  <w:vAlign w:val="center"/>
                </w:tcPr>
                <w:p w14:paraId="145F129C">
                  <w:pPr>
                    <w:pStyle w:val="31"/>
                    <w:bidi w:val="0"/>
                    <w:jc w:val="center"/>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lang w:val="en-US" w:eastAsia="zh-CN"/>
                    </w:rPr>
                    <w:t>产生情况</w:t>
                  </w:r>
                </w:p>
              </w:tc>
            </w:tr>
            <w:tr w14:paraId="15CE16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940" w:type="pct"/>
                  <w:vMerge w:val="continue"/>
                  <w:noWrap w:val="0"/>
                  <w:vAlign w:val="center"/>
                </w:tcPr>
                <w:p w14:paraId="5355A7DB">
                  <w:pPr>
                    <w:pStyle w:val="31"/>
                    <w:bidi w:val="0"/>
                    <w:jc w:val="center"/>
                    <w:rPr>
                      <w:rFonts w:hint="default" w:ascii="Times New Roman" w:hAnsi="Times New Roman" w:cs="Times New Roman"/>
                      <w:b/>
                      <w:bCs/>
                      <w:color w:val="000000"/>
                      <w:highlight w:val="none"/>
                    </w:rPr>
                  </w:pPr>
                </w:p>
              </w:tc>
              <w:tc>
                <w:tcPr>
                  <w:tcW w:w="926" w:type="pct"/>
                  <w:vMerge w:val="continue"/>
                  <w:noWrap w:val="0"/>
                  <w:vAlign w:val="center"/>
                </w:tcPr>
                <w:p w14:paraId="24F7405E">
                  <w:pPr>
                    <w:pStyle w:val="31"/>
                    <w:bidi w:val="0"/>
                    <w:jc w:val="center"/>
                    <w:rPr>
                      <w:rFonts w:hint="default" w:ascii="Times New Roman" w:hAnsi="Times New Roman" w:cs="Times New Roman"/>
                      <w:b/>
                      <w:bCs/>
                      <w:color w:val="000000"/>
                      <w:highlight w:val="none"/>
                    </w:rPr>
                  </w:pPr>
                </w:p>
              </w:tc>
              <w:tc>
                <w:tcPr>
                  <w:tcW w:w="624" w:type="pct"/>
                  <w:vMerge w:val="continue"/>
                  <w:noWrap w:val="0"/>
                  <w:vAlign w:val="center"/>
                </w:tcPr>
                <w:p w14:paraId="34FCAA97">
                  <w:pPr>
                    <w:pStyle w:val="31"/>
                    <w:bidi w:val="0"/>
                    <w:jc w:val="center"/>
                    <w:rPr>
                      <w:rFonts w:hint="default" w:ascii="Times New Roman" w:hAnsi="Times New Roman" w:cs="Times New Roman"/>
                      <w:b/>
                      <w:bCs/>
                      <w:color w:val="000000"/>
                      <w:highlight w:val="none"/>
                    </w:rPr>
                  </w:pPr>
                </w:p>
              </w:tc>
              <w:tc>
                <w:tcPr>
                  <w:tcW w:w="1250" w:type="pct"/>
                  <w:noWrap w:val="0"/>
                  <w:vAlign w:val="center"/>
                </w:tcPr>
                <w:p w14:paraId="1F572A13">
                  <w:pPr>
                    <w:pStyle w:val="31"/>
                    <w:bidi w:val="0"/>
                    <w:jc w:val="center"/>
                    <w:rPr>
                      <w:rFonts w:hint="default" w:ascii="Times New Roman" w:hAnsi="Times New Roman" w:eastAsia="宋体" w:cs="Times New Roman"/>
                      <w:b/>
                      <w:bCs/>
                      <w:color w:val="000000"/>
                      <w:highlight w:val="none"/>
                      <w:lang w:val="en-US" w:eastAsia="zh-CN"/>
                    </w:rPr>
                  </w:pPr>
                  <w:r>
                    <w:rPr>
                      <w:rFonts w:hint="default" w:ascii="Times New Roman" w:hAnsi="Times New Roman" w:cs="Times New Roman"/>
                      <w:b/>
                      <w:bCs/>
                      <w:color w:val="000000"/>
                      <w:highlight w:val="none"/>
                      <w:lang w:val="en-US" w:eastAsia="zh-CN"/>
                    </w:rPr>
                    <w:t>产生浓度（mg/L）</w:t>
                  </w:r>
                </w:p>
              </w:tc>
              <w:tc>
                <w:tcPr>
                  <w:tcW w:w="1258" w:type="pct"/>
                  <w:noWrap w:val="0"/>
                  <w:vAlign w:val="center"/>
                </w:tcPr>
                <w:p w14:paraId="01BEC2B5">
                  <w:pPr>
                    <w:pStyle w:val="31"/>
                    <w:bidi w:val="0"/>
                    <w:jc w:val="center"/>
                    <w:rPr>
                      <w:rFonts w:hint="default" w:ascii="Times New Roman" w:hAnsi="Times New Roman" w:eastAsia="宋体" w:cs="Times New Roman"/>
                      <w:b/>
                      <w:bCs/>
                      <w:color w:val="000000"/>
                      <w:highlight w:val="none"/>
                      <w:lang w:val="en-US" w:eastAsia="zh-CN"/>
                    </w:rPr>
                  </w:pPr>
                  <w:r>
                    <w:rPr>
                      <w:rFonts w:hint="default" w:ascii="Times New Roman" w:hAnsi="Times New Roman" w:cs="Times New Roman"/>
                      <w:b/>
                      <w:bCs/>
                      <w:color w:val="000000"/>
                      <w:highlight w:val="none"/>
                      <w:lang w:val="en-US" w:eastAsia="zh-CN"/>
                    </w:rPr>
                    <w:t>产生量（t/a）</w:t>
                  </w:r>
                </w:p>
              </w:tc>
            </w:tr>
            <w:tr w14:paraId="6C09D5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40" w:type="pct"/>
                  <w:vMerge w:val="restart"/>
                  <w:noWrap w:val="0"/>
                  <w:vAlign w:val="center"/>
                </w:tcPr>
                <w:p w14:paraId="3AF4B5D6">
                  <w:pPr>
                    <w:pStyle w:val="31"/>
                    <w:bidi w:val="0"/>
                    <w:jc w:val="center"/>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陆域施工生活污水</w:t>
                  </w:r>
                </w:p>
              </w:tc>
              <w:tc>
                <w:tcPr>
                  <w:tcW w:w="926" w:type="pct"/>
                  <w:vMerge w:val="restart"/>
                  <w:noWrap w:val="0"/>
                  <w:vAlign w:val="center"/>
                </w:tcPr>
                <w:p w14:paraId="5D83663B">
                  <w:pPr>
                    <w:pStyle w:val="31"/>
                    <w:bidi w:val="0"/>
                    <w:jc w:val="center"/>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eastAsia="zh-CN"/>
                    </w:rPr>
                    <w:t>1.25</w:t>
                  </w:r>
                </w:p>
              </w:tc>
              <w:tc>
                <w:tcPr>
                  <w:tcW w:w="1154" w:type="dxa"/>
                  <w:noWrap w:val="0"/>
                  <w:vAlign w:val="center"/>
                </w:tcPr>
                <w:p w14:paraId="002EB751">
                  <w:pPr>
                    <w:pStyle w:val="31"/>
                    <w:bidi w:val="0"/>
                    <w:ind w:firstLine="0" w:firstLineChars="0"/>
                    <w:jc w:val="center"/>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COD</w:t>
                  </w:r>
                  <w:r>
                    <w:rPr>
                      <w:rFonts w:hint="default" w:ascii="Times New Roman" w:hAnsi="Times New Roman" w:cs="Times New Roman"/>
                      <w:color w:val="000000"/>
                      <w:highlight w:val="none"/>
                      <w:vertAlign w:val="subscript"/>
                      <w:lang w:val="en-US" w:eastAsia="zh-CN"/>
                    </w:rPr>
                    <w:t>Cr</w:t>
                  </w:r>
                </w:p>
              </w:tc>
              <w:tc>
                <w:tcPr>
                  <w:tcW w:w="2311" w:type="dxa"/>
                  <w:noWrap w:val="0"/>
                  <w:vAlign w:val="center"/>
                </w:tcPr>
                <w:p w14:paraId="611AE963">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400</w:t>
                  </w:r>
                </w:p>
              </w:tc>
              <w:tc>
                <w:tcPr>
                  <w:tcW w:w="2328" w:type="dxa"/>
                  <w:noWrap w:val="0"/>
                  <w:vAlign w:val="center"/>
                </w:tcPr>
                <w:p w14:paraId="7CE799AE">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 xml:space="preserve">0.4500 </w:t>
                  </w:r>
                </w:p>
              </w:tc>
            </w:tr>
            <w:tr w14:paraId="64647E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40" w:type="pct"/>
                  <w:vMerge w:val="continue"/>
                  <w:noWrap w:val="0"/>
                  <w:vAlign w:val="center"/>
                </w:tcPr>
                <w:p w14:paraId="729ABDE2">
                  <w:pPr>
                    <w:pStyle w:val="31"/>
                    <w:bidi w:val="0"/>
                    <w:jc w:val="center"/>
                    <w:rPr>
                      <w:rFonts w:hint="default" w:ascii="Times New Roman" w:hAnsi="Times New Roman" w:cs="Times New Roman"/>
                      <w:color w:val="000000"/>
                      <w:highlight w:val="none"/>
                    </w:rPr>
                  </w:pPr>
                </w:p>
              </w:tc>
              <w:tc>
                <w:tcPr>
                  <w:tcW w:w="926" w:type="pct"/>
                  <w:vMerge w:val="continue"/>
                  <w:noWrap w:val="0"/>
                  <w:vAlign w:val="center"/>
                </w:tcPr>
                <w:p w14:paraId="63B5FC1E">
                  <w:pPr>
                    <w:pStyle w:val="31"/>
                    <w:bidi w:val="0"/>
                    <w:jc w:val="center"/>
                    <w:rPr>
                      <w:rFonts w:hint="default" w:ascii="Times New Roman" w:hAnsi="Times New Roman" w:cs="Times New Roman"/>
                      <w:color w:val="000000"/>
                      <w:highlight w:val="none"/>
                    </w:rPr>
                  </w:pPr>
                </w:p>
              </w:tc>
              <w:tc>
                <w:tcPr>
                  <w:tcW w:w="1154" w:type="dxa"/>
                  <w:noWrap w:val="0"/>
                  <w:vAlign w:val="center"/>
                </w:tcPr>
                <w:p w14:paraId="12185FEE">
                  <w:pPr>
                    <w:pStyle w:val="31"/>
                    <w:bidi w:val="0"/>
                    <w:ind w:firstLine="0" w:firstLineChars="0"/>
                    <w:jc w:val="center"/>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BOD</w:t>
                  </w:r>
                  <w:r>
                    <w:rPr>
                      <w:rFonts w:hint="default" w:ascii="Times New Roman" w:hAnsi="Times New Roman" w:cs="Times New Roman"/>
                      <w:color w:val="000000"/>
                      <w:highlight w:val="none"/>
                      <w:vertAlign w:val="subscript"/>
                      <w:lang w:val="en-US" w:eastAsia="zh-CN"/>
                    </w:rPr>
                    <w:t>5</w:t>
                  </w:r>
                </w:p>
              </w:tc>
              <w:tc>
                <w:tcPr>
                  <w:tcW w:w="2311" w:type="dxa"/>
                  <w:noWrap w:val="0"/>
                  <w:vAlign w:val="center"/>
                </w:tcPr>
                <w:p w14:paraId="1646D5EC">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150</w:t>
                  </w:r>
                </w:p>
              </w:tc>
              <w:tc>
                <w:tcPr>
                  <w:tcW w:w="2328" w:type="dxa"/>
                  <w:noWrap w:val="0"/>
                  <w:vAlign w:val="center"/>
                </w:tcPr>
                <w:p w14:paraId="4F579B3D">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 xml:space="preserve">0.1688 </w:t>
                  </w:r>
                </w:p>
              </w:tc>
            </w:tr>
            <w:tr w14:paraId="188BA5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40" w:type="pct"/>
                  <w:vMerge w:val="continue"/>
                  <w:noWrap w:val="0"/>
                  <w:vAlign w:val="center"/>
                </w:tcPr>
                <w:p w14:paraId="05D83BED">
                  <w:pPr>
                    <w:pStyle w:val="31"/>
                    <w:bidi w:val="0"/>
                    <w:jc w:val="center"/>
                    <w:rPr>
                      <w:rFonts w:hint="default" w:ascii="Times New Roman" w:hAnsi="Times New Roman" w:cs="Times New Roman"/>
                      <w:color w:val="000000"/>
                      <w:highlight w:val="none"/>
                    </w:rPr>
                  </w:pPr>
                </w:p>
              </w:tc>
              <w:tc>
                <w:tcPr>
                  <w:tcW w:w="926" w:type="pct"/>
                  <w:vMerge w:val="continue"/>
                  <w:noWrap w:val="0"/>
                  <w:vAlign w:val="center"/>
                </w:tcPr>
                <w:p w14:paraId="29AEF3EA">
                  <w:pPr>
                    <w:pStyle w:val="31"/>
                    <w:bidi w:val="0"/>
                    <w:jc w:val="center"/>
                    <w:rPr>
                      <w:rFonts w:hint="default" w:ascii="Times New Roman" w:hAnsi="Times New Roman" w:cs="Times New Roman"/>
                      <w:color w:val="000000"/>
                      <w:highlight w:val="none"/>
                    </w:rPr>
                  </w:pPr>
                </w:p>
              </w:tc>
              <w:tc>
                <w:tcPr>
                  <w:tcW w:w="1154" w:type="dxa"/>
                  <w:noWrap w:val="0"/>
                  <w:vAlign w:val="center"/>
                </w:tcPr>
                <w:p w14:paraId="04C358CE">
                  <w:pPr>
                    <w:pStyle w:val="31"/>
                    <w:bidi w:val="0"/>
                    <w:ind w:firstLine="0" w:firstLineChars="0"/>
                    <w:jc w:val="center"/>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SS</w:t>
                  </w:r>
                </w:p>
              </w:tc>
              <w:tc>
                <w:tcPr>
                  <w:tcW w:w="2311" w:type="dxa"/>
                  <w:noWrap w:val="0"/>
                  <w:vAlign w:val="center"/>
                </w:tcPr>
                <w:p w14:paraId="6CEA7712">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350</w:t>
                  </w:r>
                </w:p>
              </w:tc>
              <w:tc>
                <w:tcPr>
                  <w:tcW w:w="2328" w:type="dxa"/>
                  <w:noWrap w:val="0"/>
                  <w:vAlign w:val="center"/>
                </w:tcPr>
                <w:p w14:paraId="10482F2C">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 xml:space="preserve">0.3938 </w:t>
                  </w:r>
                </w:p>
              </w:tc>
            </w:tr>
            <w:tr w14:paraId="19CD60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40" w:type="pct"/>
                  <w:vMerge w:val="continue"/>
                  <w:noWrap w:val="0"/>
                  <w:vAlign w:val="center"/>
                </w:tcPr>
                <w:p w14:paraId="004FD0B5">
                  <w:pPr>
                    <w:pStyle w:val="31"/>
                    <w:bidi w:val="0"/>
                    <w:jc w:val="center"/>
                    <w:rPr>
                      <w:rFonts w:hint="default" w:ascii="Times New Roman" w:hAnsi="Times New Roman" w:cs="Times New Roman"/>
                      <w:color w:val="000000"/>
                      <w:highlight w:val="none"/>
                    </w:rPr>
                  </w:pPr>
                </w:p>
              </w:tc>
              <w:tc>
                <w:tcPr>
                  <w:tcW w:w="926" w:type="pct"/>
                  <w:vMerge w:val="continue"/>
                  <w:noWrap w:val="0"/>
                  <w:vAlign w:val="center"/>
                </w:tcPr>
                <w:p w14:paraId="3C62FDC2">
                  <w:pPr>
                    <w:pStyle w:val="31"/>
                    <w:bidi w:val="0"/>
                    <w:jc w:val="center"/>
                    <w:rPr>
                      <w:rFonts w:hint="default" w:ascii="Times New Roman" w:hAnsi="Times New Roman" w:cs="Times New Roman"/>
                      <w:color w:val="000000"/>
                      <w:highlight w:val="none"/>
                    </w:rPr>
                  </w:pPr>
                </w:p>
              </w:tc>
              <w:tc>
                <w:tcPr>
                  <w:tcW w:w="1154" w:type="dxa"/>
                  <w:noWrap w:val="0"/>
                  <w:vAlign w:val="center"/>
                </w:tcPr>
                <w:p w14:paraId="5A3385CC">
                  <w:pPr>
                    <w:pStyle w:val="31"/>
                    <w:bidi w:val="0"/>
                    <w:ind w:firstLine="0" w:firstLineChars="0"/>
                    <w:jc w:val="center"/>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NH</w:t>
                  </w:r>
                  <w:r>
                    <w:rPr>
                      <w:rFonts w:hint="default" w:ascii="Times New Roman" w:hAnsi="Times New Roman" w:cs="Times New Roman"/>
                      <w:color w:val="000000"/>
                      <w:highlight w:val="none"/>
                      <w:vertAlign w:val="subscript"/>
                      <w:lang w:val="en-US" w:eastAsia="zh-CN"/>
                    </w:rPr>
                    <w:t>3</w:t>
                  </w:r>
                  <w:r>
                    <w:rPr>
                      <w:rFonts w:hint="default" w:ascii="Times New Roman" w:hAnsi="Times New Roman" w:cs="Times New Roman"/>
                      <w:color w:val="000000"/>
                      <w:highlight w:val="none"/>
                      <w:lang w:val="en-US" w:eastAsia="zh-CN"/>
                    </w:rPr>
                    <w:t>-N</w:t>
                  </w:r>
                </w:p>
              </w:tc>
              <w:tc>
                <w:tcPr>
                  <w:tcW w:w="2311" w:type="dxa"/>
                  <w:noWrap w:val="0"/>
                  <w:vAlign w:val="center"/>
                </w:tcPr>
                <w:p w14:paraId="4DE07A0C">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35</w:t>
                  </w:r>
                </w:p>
              </w:tc>
              <w:tc>
                <w:tcPr>
                  <w:tcW w:w="2328" w:type="dxa"/>
                  <w:noWrap w:val="0"/>
                  <w:vAlign w:val="center"/>
                </w:tcPr>
                <w:p w14:paraId="08D33039">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 xml:space="preserve">0.0394 </w:t>
                  </w:r>
                </w:p>
              </w:tc>
            </w:tr>
          </w:tbl>
          <w:p w14:paraId="2E7390D1">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eastAsia="宋体" w:cs="Times New Roman"/>
                <w:b/>
                <w:bCs/>
                <w:color w:val="000000"/>
                <w:highlight w:val="none"/>
                <w:lang w:eastAsia="zh-CN"/>
              </w:rPr>
            </w:pP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3</w:t>
            </w: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施工</w:t>
            </w:r>
            <w:r>
              <w:rPr>
                <w:rFonts w:hint="default" w:ascii="Times New Roman" w:hAnsi="Times New Roman" w:cs="Times New Roman"/>
                <w:b/>
                <w:bCs/>
                <w:color w:val="000000"/>
                <w:highlight w:val="none"/>
                <w:lang w:eastAsia="zh-CN"/>
              </w:rPr>
              <w:t>机械设备冲洗废水</w:t>
            </w:r>
          </w:p>
          <w:p w14:paraId="372F3A0A">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通常情况下，运输车辆和机械设备冲洗主要集中在每日晚上进行一次，主要污染物为SS、石油类。每次每辆（台）运输车辆和机械设备平均冲洗废水量约为0.8m</w:t>
            </w:r>
            <w:r>
              <w:rPr>
                <w:rFonts w:hint="default" w:ascii="Times New Roman" w:hAnsi="Times New Roman" w:cs="Times New Roman"/>
                <w:color w:val="000000"/>
                <w:highlight w:val="none"/>
                <w:vertAlign w:val="superscript"/>
              </w:rPr>
              <w:t>3</w:t>
            </w:r>
            <w:r>
              <w:rPr>
                <w:rFonts w:hint="default" w:ascii="Times New Roman" w:hAnsi="Times New Roman" w:cs="Times New Roman"/>
                <w:color w:val="000000"/>
                <w:highlight w:val="none"/>
              </w:rPr>
              <w:t>，按平均每天各类车辆设备共10辆（台）计，则施工运输车辆和机械设备冲洗废水量约为8.0m</w:t>
            </w:r>
            <w:r>
              <w:rPr>
                <w:rFonts w:hint="default" w:ascii="Times New Roman" w:hAnsi="Times New Roman" w:cs="Times New Roman"/>
                <w:color w:val="000000"/>
                <w:highlight w:val="none"/>
                <w:vertAlign w:val="superscript"/>
              </w:rPr>
              <w:t>3</w:t>
            </w:r>
            <w:r>
              <w:rPr>
                <w:rFonts w:hint="default" w:ascii="Times New Roman" w:hAnsi="Times New Roman" w:cs="Times New Roman"/>
                <w:color w:val="000000"/>
                <w:highlight w:val="none"/>
              </w:rPr>
              <w:t>/d。施工场区应</w:t>
            </w:r>
            <w:r>
              <w:rPr>
                <w:rFonts w:hint="default" w:ascii="Times New Roman" w:hAnsi="Times New Roman" w:cs="Times New Roman"/>
                <w:color w:val="000000"/>
                <w:highlight w:val="none"/>
                <w:lang w:val="en-US" w:eastAsia="zh-CN"/>
              </w:rPr>
              <w:t>设置</w:t>
            </w:r>
            <w:r>
              <w:rPr>
                <w:rFonts w:hint="default" w:ascii="Times New Roman" w:hAnsi="Times New Roman" w:cs="Times New Roman"/>
                <w:color w:val="000000"/>
                <w:highlight w:val="none"/>
              </w:rPr>
              <w:t>隔油沉淀池，冲洗废水经隔油沉淀处理后回用于设备冲洗、施工场地喷洒降尘用水，含油污泥应由具备相应接收能力的污染物接收单位接收处理。</w:t>
            </w:r>
          </w:p>
          <w:p w14:paraId="63354EB0">
            <w:pPr>
              <w:pStyle w:val="4"/>
              <w:bidi w:val="0"/>
              <w:rPr>
                <w:rFonts w:hint="default"/>
              </w:rPr>
            </w:pPr>
            <w:r>
              <w:rPr>
                <w:rFonts w:hint="default"/>
                <w:lang w:val="en-US" w:eastAsia="zh-CN"/>
              </w:rPr>
              <w:t>施工期大气污染源分析</w:t>
            </w:r>
          </w:p>
          <w:p w14:paraId="2BC46AEB">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本项目施工期间大气污染源主要包括施工车辆进出产生的道路扬尘，港区后方陆域装卸料、堆存产生的场地扬尘，以及施工船舶、施工机械和交通运输车辆产生的尾气。上述污染源具有短期性、间歇性和流动性，施工结束后影响随之消失。</w:t>
            </w:r>
          </w:p>
          <w:p w14:paraId="2FA86507">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本项目施工期间大气污染源包括施工道路扬尘、场地扬尘和施工机械废气。</w:t>
            </w:r>
          </w:p>
          <w:p w14:paraId="0CE76F99">
            <w:pPr>
              <w:keepNext w:val="0"/>
              <w:keepLines w:val="0"/>
              <w:pageBreakBefore w:val="0"/>
              <w:widowControl w:val="0"/>
              <w:kinsoku/>
              <w:wordWrap/>
              <w:overflowPunct/>
              <w:topLinePunct w:val="0"/>
              <w:autoSpaceDE/>
              <w:autoSpaceDN/>
              <w:bidi w:val="0"/>
              <w:adjustRightInd/>
              <w:snapToGrid/>
              <w:ind w:firstLine="482" w:firstLineChars="200"/>
              <w:jc w:val="both"/>
              <w:textAlignment w:val="auto"/>
              <w:rPr>
                <w:rFonts w:hint="default" w:ascii="Times New Roman" w:hAnsi="Times New Roman" w:eastAsia="宋体" w:cs="Times New Roman"/>
                <w:b/>
                <w:bCs/>
                <w:color w:val="000000"/>
                <w:highlight w:val="none"/>
                <w:lang w:val="en-US" w:eastAsia="zh-CN"/>
              </w:rPr>
            </w:pP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1</w:t>
            </w: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施工道路扬尘</w:t>
            </w:r>
          </w:p>
          <w:p w14:paraId="27F2482D">
            <w:pPr>
              <w:keepNext w:val="0"/>
              <w:keepLines w:val="0"/>
              <w:pageBreakBefore w:val="0"/>
              <w:widowControl w:val="0"/>
              <w:kinsoku/>
              <w:wordWrap/>
              <w:overflowPunct/>
              <w:topLinePunct w:val="0"/>
              <w:autoSpaceDE/>
              <w:autoSpaceDN/>
              <w:bidi w:val="0"/>
              <w:adjustRightInd/>
              <w:snapToGrid/>
              <w:ind w:firstLine="480" w:firstLineChars="200"/>
              <w:jc w:val="both"/>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lang w:eastAsia="zh-CN"/>
              </w:rPr>
              <w:t>车辆行驶产生的扬尘，在完全干燥情况下，可按下列经验公式计算。</w:t>
            </w:r>
          </w:p>
          <w:p w14:paraId="2B0727EC">
            <w:pPr>
              <w:ind w:left="0" w:leftChars="0" w:firstLine="0" w:firstLineChars="0"/>
              <w:jc w:val="center"/>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Q=0.123（V/5）（W/6.8）</w:t>
            </w:r>
            <w:r>
              <w:rPr>
                <w:rFonts w:hint="default" w:ascii="Times New Roman" w:hAnsi="Times New Roman" w:cs="Times New Roman"/>
                <w:color w:val="000000"/>
                <w:highlight w:val="none"/>
                <w:vertAlign w:val="superscript"/>
                <w:lang w:eastAsia="zh-CN"/>
              </w:rPr>
              <w:t>0.85</w:t>
            </w:r>
            <w:r>
              <w:rPr>
                <w:rFonts w:hint="default" w:ascii="Times New Roman" w:hAnsi="Times New Roman" w:cs="Times New Roman"/>
                <w:color w:val="000000"/>
                <w:highlight w:val="none"/>
                <w:lang w:eastAsia="zh-CN"/>
              </w:rPr>
              <w:t>（P/0.5）</w:t>
            </w:r>
            <w:r>
              <w:rPr>
                <w:rFonts w:hint="default" w:ascii="Times New Roman" w:hAnsi="Times New Roman" w:cs="Times New Roman"/>
                <w:color w:val="000000"/>
                <w:highlight w:val="none"/>
                <w:vertAlign w:val="superscript"/>
                <w:lang w:eastAsia="zh-CN"/>
              </w:rPr>
              <w:t>0.75</w:t>
            </w:r>
          </w:p>
          <w:p w14:paraId="01B0D7A5">
            <w:pPr>
              <w:keepNext w:val="0"/>
              <w:keepLines w:val="0"/>
              <w:pageBreakBefore w:val="0"/>
              <w:widowControl w:val="0"/>
              <w:kinsoku/>
              <w:wordWrap/>
              <w:overflowPunct/>
              <w:topLinePunct w:val="0"/>
              <w:autoSpaceDE/>
              <w:autoSpaceDN/>
              <w:bidi w:val="0"/>
              <w:adjustRightInd/>
              <w:snapToGrid/>
              <w:ind w:firstLine="480" w:firstLineChars="200"/>
              <w:jc w:val="both"/>
              <w:textAlignment w:val="auto"/>
              <w:rPr>
                <w:rFonts w:hint="default" w:ascii="Times New Roman" w:hAnsi="Times New Roman" w:eastAsia="宋体" w:cs="Times New Roman"/>
                <w:color w:val="000000"/>
                <w:highlight w:val="none"/>
                <w:lang w:eastAsia="zh-CN"/>
              </w:rPr>
            </w:pPr>
            <w:r>
              <w:rPr>
                <w:rFonts w:hint="default" w:ascii="Times New Roman" w:hAnsi="Times New Roman" w:eastAsia="宋体" w:cs="Times New Roman"/>
                <w:color w:val="000000"/>
                <w:highlight w:val="none"/>
                <w:lang w:eastAsia="zh-CN"/>
              </w:rPr>
              <w:t>式中：Q——车辆行驶产生的扬尘，kg/km；</w:t>
            </w:r>
          </w:p>
          <w:p w14:paraId="08530477">
            <w:pPr>
              <w:ind w:firstLine="1200" w:firstLineChars="50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V——车辆行驶速度，km/h；</w:t>
            </w:r>
          </w:p>
          <w:p w14:paraId="604C8EB8">
            <w:pPr>
              <w:ind w:firstLine="1200" w:firstLineChars="50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W——车辆载重量，t；</w:t>
            </w:r>
          </w:p>
          <w:p w14:paraId="32D3594C">
            <w:pPr>
              <w:ind w:firstLine="1200" w:firstLineChars="50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P——道路表面粉尘量，kg/m</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lang w:val="en-US" w:eastAsia="zh-CN"/>
              </w:rPr>
              <w:t>。</w:t>
            </w:r>
          </w:p>
          <w:p w14:paraId="6DA71953">
            <w:pPr>
              <w:keepNext w:val="0"/>
              <w:keepLines w:val="0"/>
              <w:pageBreakBefore w:val="0"/>
              <w:widowControl w:val="0"/>
              <w:kinsoku/>
              <w:wordWrap/>
              <w:overflowPunct/>
              <w:topLinePunct w:val="0"/>
              <w:autoSpaceDE/>
              <w:autoSpaceDN/>
              <w:bidi w:val="0"/>
              <w:adjustRightInd/>
              <w:snapToGrid/>
              <w:ind w:firstLine="480" w:firstLineChars="200"/>
              <w:jc w:val="both"/>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工程施工以单辆车行驶产生的扬尘量计算源强，详见</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REF _Ref23616 \h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4.2</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4</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val="en-US" w:eastAsia="zh-CN"/>
              </w:rPr>
              <w:t>。</w:t>
            </w:r>
          </w:p>
          <w:p w14:paraId="5360DE44">
            <w:pPr>
              <w:pStyle w:val="30"/>
              <w:bidi w:val="0"/>
              <w:rPr>
                <w:rFonts w:hint="default" w:ascii="Times New Roman" w:hAnsi="Times New Roman" w:cs="Times New Roman"/>
                <w:color w:val="000000"/>
                <w:highlight w:val="none"/>
                <w:lang w:val="en-US" w:eastAsia="zh-CN"/>
              </w:rPr>
            </w:pPr>
            <w:bookmarkStart w:id="284" w:name="_Ref23616"/>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4.2</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表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w:t>
            </w:r>
            <w:r>
              <w:rPr>
                <w:rFonts w:hint="default" w:ascii="Times New Roman" w:hAnsi="Times New Roman" w:cs="Times New Roman"/>
                <w:color w:val="000000"/>
                <w:highlight w:val="none"/>
              </w:rPr>
              <w:fldChar w:fldCharType="end"/>
            </w:r>
            <w:bookmarkEnd w:id="284"/>
            <w:r>
              <w:rPr>
                <w:rFonts w:hint="default" w:ascii="Times New Roman" w:hAnsi="Times New Roman" w:cs="Times New Roman"/>
                <w:color w:val="000000"/>
                <w:highlight w:val="none"/>
                <w:lang w:val="en-US" w:eastAsia="zh-CN"/>
              </w:rPr>
              <w:t xml:space="preserve"> 单车运输车辆产生的扬尘计算结果表</w:t>
            </w:r>
          </w:p>
          <w:tbl>
            <w:tblPr>
              <w:tblStyle w:val="3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643"/>
              <w:gridCol w:w="1645"/>
              <w:gridCol w:w="1648"/>
              <w:gridCol w:w="1645"/>
              <w:gridCol w:w="1649"/>
            </w:tblGrid>
            <w:tr w14:paraId="6BC815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98" w:type="pct"/>
                  <w:noWrap w:val="0"/>
                  <w:vAlign w:val="center"/>
                </w:tcPr>
                <w:p w14:paraId="1AC77D3C">
                  <w:pPr>
                    <w:pStyle w:val="31"/>
                    <w:bidi w:val="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参数</w:t>
                  </w:r>
                </w:p>
              </w:tc>
              <w:tc>
                <w:tcPr>
                  <w:tcW w:w="999" w:type="pct"/>
                  <w:noWrap w:val="0"/>
                  <w:vAlign w:val="center"/>
                </w:tcPr>
                <w:p w14:paraId="67651E67">
                  <w:pPr>
                    <w:pStyle w:val="31"/>
                    <w:bidi w:val="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Q（kg/km）</w:t>
                  </w:r>
                </w:p>
              </w:tc>
              <w:tc>
                <w:tcPr>
                  <w:tcW w:w="1001" w:type="pct"/>
                  <w:noWrap w:val="0"/>
                  <w:vAlign w:val="center"/>
                </w:tcPr>
                <w:p w14:paraId="185B27B2">
                  <w:pPr>
                    <w:pStyle w:val="31"/>
                    <w:bidi w:val="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V（km/h）</w:t>
                  </w:r>
                </w:p>
              </w:tc>
              <w:tc>
                <w:tcPr>
                  <w:tcW w:w="999" w:type="pct"/>
                  <w:noWrap w:val="0"/>
                  <w:vAlign w:val="center"/>
                </w:tcPr>
                <w:p w14:paraId="592B51C1">
                  <w:pPr>
                    <w:pStyle w:val="31"/>
                    <w:bidi w:val="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W（t）</w:t>
                  </w:r>
                </w:p>
              </w:tc>
              <w:tc>
                <w:tcPr>
                  <w:tcW w:w="1001" w:type="pct"/>
                  <w:noWrap w:val="0"/>
                  <w:vAlign w:val="center"/>
                </w:tcPr>
                <w:p w14:paraId="77334246">
                  <w:pPr>
                    <w:pStyle w:val="31"/>
                    <w:bidi w:val="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P（kg/m</w:t>
                  </w:r>
                  <w:r>
                    <w:rPr>
                      <w:rFonts w:hint="default" w:ascii="Times New Roman" w:hAnsi="Times New Roman" w:cs="Times New Roman"/>
                      <w:b/>
                      <w:bCs/>
                      <w:color w:val="000000"/>
                      <w:highlight w:val="none"/>
                      <w:vertAlign w:val="superscript"/>
                      <w:lang w:val="en-US" w:eastAsia="zh-CN"/>
                    </w:rPr>
                    <w:t>2</w:t>
                  </w:r>
                  <w:r>
                    <w:rPr>
                      <w:rFonts w:hint="default" w:ascii="Times New Roman" w:hAnsi="Times New Roman" w:cs="Times New Roman"/>
                      <w:b/>
                      <w:bCs/>
                      <w:color w:val="000000"/>
                      <w:highlight w:val="none"/>
                      <w:lang w:val="en-US" w:eastAsia="zh-CN"/>
                    </w:rPr>
                    <w:t>）</w:t>
                  </w:r>
                </w:p>
              </w:tc>
            </w:tr>
            <w:tr w14:paraId="616C5B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98" w:type="pct"/>
                  <w:noWrap w:val="0"/>
                  <w:vAlign w:val="center"/>
                </w:tcPr>
                <w:p w14:paraId="27D4A738">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计算结果</w:t>
                  </w:r>
                </w:p>
              </w:tc>
              <w:tc>
                <w:tcPr>
                  <w:tcW w:w="999" w:type="pct"/>
                  <w:noWrap w:val="0"/>
                  <w:vAlign w:val="center"/>
                </w:tcPr>
                <w:p w14:paraId="6144FCF7">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0.287</w:t>
                  </w:r>
                </w:p>
              </w:tc>
              <w:tc>
                <w:tcPr>
                  <w:tcW w:w="1001" w:type="pct"/>
                  <w:noWrap w:val="0"/>
                  <w:vAlign w:val="center"/>
                </w:tcPr>
                <w:p w14:paraId="6DE8570D">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5</w:t>
                  </w:r>
                </w:p>
              </w:tc>
              <w:tc>
                <w:tcPr>
                  <w:tcW w:w="999" w:type="pct"/>
                  <w:noWrap w:val="0"/>
                  <w:vAlign w:val="center"/>
                </w:tcPr>
                <w:p w14:paraId="0A5E6E93">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10</w:t>
                  </w:r>
                </w:p>
              </w:tc>
              <w:tc>
                <w:tcPr>
                  <w:tcW w:w="1001" w:type="pct"/>
                  <w:noWrap w:val="0"/>
                  <w:vAlign w:val="center"/>
                </w:tcPr>
                <w:p w14:paraId="4D020812">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1.0</w:t>
                  </w:r>
                </w:p>
              </w:tc>
            </w:tr>
          </w:tbl>
          <w:p w14:paraId="29633BE4">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根据有关资料，一辆10t卡车，通过一段长度为1km的路面时，在不同路面清洁程度，不同行驶速度情况下，产生的扬尘量见</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REF _Ref6150 \h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4.2</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5</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val="en-US" w:eastAsia="zh-CN"/>
              </w:rPr>
              <w:t>。</w:t>
            </w:r>
          </w:p>
          <w:p w14:paraId="1CABDD6A">
            <w:pPr>
              <w:pStyle w:val="30"/>
              <w:bidi w:val="0"/>
              <w:rPr>
                <w:rFonts w:hint="default" w:ascii="Times New Roman" w:hAnsi="Times New Roman" w:cs="Times New Roman"/>
                <w:color w:val="000000"/>
                <w:highlight w:val="none"/>
                <w:lang w:val="en-US" w:eastAsia="zh-CN"/>
              </w:rPr>
            </w:pPr>
            <w:bookmarkStart w:id="285" w:name="_Ref6150"/>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4.2</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表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5</w:t>
            </w:r>
            <w:r>
              <w:rPr>
                <w:rFonts w:hint="default" w:ascii="Times New Roman" w:hAnsi="Times New Roman" w:cs="Times New Roman"/>
                <w:color w:val="000000"/>
                <w:highlight w:val="none"/>
              </w:rPr>
              <w:fldChar w:fldCharType="end"/>
            </w:r>
            <w:bookmarkEnd w:id="285"/>
            <w:r>
              <w:rPr>
                <w:rFonts w:hint="default" w:ascii="Times New Roman" w:hAnsi="Times New Roman" w:cs="Times New Roman"/>
                <w:color w:val="000000"/>
                <w:highlight w:val="none"/>
                <w:lang w:val="en-US" w:eastAsia="zh-CN"/>
              </w:rPr>
              <w:t xml:space="preserve"> 不同车速和地面清洁程度的车辆扬尘表   单位：kg/辆·km</w:t>
            </w:r>
          </w:p>
          <w:tbl>
            <w:tblPr>
              <w:tblStyle w:val="32"/>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938"/>
              <w:gridCol w:w="1047"/>
              <w:gridCol w:w="1047"/>
              <w:gridCol w:w="1047"/>
              <w:gridCol w:w="1047"/>
              <w:gridCol w:w="1047"/>
              <w:gridCol w:w="1053"/>
            </w:tblGrid>
            <w:tr w14:paraId="0F0A95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25" w:hRule="atLeast"/>
                <w:jc w:val="center"/>
              </w:trPr>
              <w:tc>
                <w:tcPr>
                  <w:tcW w:w="1177" w:type="pct"/>
                  <w:noWrap w:val="0"/>
                  <w:vAlign w:val="center"/>
                  <mc:AlternateContent>
                    <mc:Choice Requires="wpsCustomData">
                      <wpsCustomData:diagonals>
                        <wpsCustomData:diagonal from="10000" to="30000">
                          <wpsCustomData:border w:val="single" w:color="auto" w:sz="4" w:space="0"/>
                        </wpsCustomData:diagonal>
                      </wpsCustomData:diagonals>
                    </mc:Choice>
                  </mc:AlternateContent>
                </w:tcPr>
                <w:p w14:paraId="0AFD3295">
                  <w:pPr>
                    <w:pStyle w:val="31"/>
                    <w:bidi w:val="0"/>
                    <w:rPr>
                      <w:rFonts w:hint="default" w:ascii="Times New Roman" w:hAnsi="Times New Roman" w:cs="Times New Roman"/>
                      <w:b/>
                      <w:bCs/>
                      <w:color w:val="000000"/>
                      <w:highlight w:val="none"/>
                      <w:lang w:val="en-US" w:eastAsia="zh-CN"/>
                    </w:rPr>
                  </w:pPr>
                </w:p>
                <w:p w14:paraId="710F1F19">
                  <w:pPr>
                    <w:pStyle w:val="31"/>
                    <w:bidi w:val="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车速km/h</w:t>
                  </w:r>
                </w:p>
                <w:p w14:paraId="02CF36E2">
                  <w:pPr>
                    <w:pStyle w:val="31"/>
                    <w:bidi w:val="0"/>
                    <mc:AlternateContent>
                      <mc:Choice Requires="wpsCustomData">
                        <wpsCustomData:diagonalParaType/>
                      </mc:Choice>
                    </mc:AlternateContent>
                    <w:rPr>
                      <w:rFonts w:hint="default" w:ascii="Times New Roman" w:hAnsi="Times New Roman" w:cs="Times New Roman"/>
                      <w:b/>
                      <w:bCs/>
                      <w:color w:val="000000"/>
                      <w:highlight w:val="none"/>
                      <w:lang w:val="en-US" w:eastAsia="zh-CN"/>
                    </w:rPr>
                  </w:pPr>
                </w:p>
                <w:p w14:paraId="43EB505E">
                  <w:pPr>
                    <w:pStyle w:val="31"/>
                    <w:bidi w:val="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P（kg/m</w:t>
                  </w:r>
                  <w:r>
                    <w:rPr>
                      <w:rFonts w:hint="default" w:ascii="Times New Roman" w:hAnsi="Times New Roman" w:cs="Times New Roman"/>
                      <w:b/>
                      <w:bCs/>
                      <w:color w:val="000000"/>
                      <w:highlight w:val="none"/>
                      <w:vertAlign w:val="superscript"/>
                      <w:lang w:val="en-US" w:eastAsia="zh-CN"/>
                    </w:rPr>
                    <w:t>2</w:t>
                  </w:r>
                  <w:r>
                    <w:rPr>
                      <w:rFonts w:hint="default" w:ascii="Times New Roman" w:hAnsi="Times New Roman" w:cs="Times New Roman"/>
                      <w:b/>
                      <w:bCs/>
                      <w:color w:val="000000"/>
                      <w:highlight w:val="none"/>
                      <w:lang w:val="en-US" w:eastAsia="zh-CN"/>
                    </w:rPr>
                    <w:t>）</w:t>
                  </w:r>
                </w:p>
              </w:tc>
              <w:tc>
                <w:tcPr>
                  <w:tcW w:w="636" w:type="pct"/>
                  <w:noWrap w:val="0"/>
                  <w:vAlign w:val="center"/>
                </w:tcPr>
                <w:p w14:paraId="0B932C5C">
                  <w:pPr>
                    <w:pStyle w:val="31"/>
                    <w:bidi w:val="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0.1</w:t>
                  </w:r>
                </w:p>
              </w:tc>
              <w:tc>
                <w:tcPr>
                  <w:tcW w:w="636" w:type="pct"/>
                  <w:noWrap w:val="0"/>
                  <w:vAlign w:val="center"/>
                </w:tcPr>
                <w:p w14:paraId="31177833">
                  <w:pPr>
                    <w:pStyle w:val="31"/>
                    <w:bidi w:val="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0.2</w:t>
                  </w:r>
                </w:p>
              </w:tc>
              <w:tc>
                <w:tcPr>
                  <w:tcW w:w="636" w:type="pct"/>
                  <w:noWrap w:val="0"/>
                  <w:vAlign w:val="center"/>
                </w:tcPr>
                <w:p w14:paraId="40A8078A">
                  <w:pPr>
                    <w:pStyle w:val="31"/>
                    <w:bidi w:val="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0.3</w:t>
                  </w:r>
                </w:p>
              </w:tc>
              <w:tc>
                <w:tcPr>
                  <w:tcW w:w="636" w:type="pct"/>
                  <w:noWrap w:val="0"/>
                  <w:vAlign w:val="center"/>
                </w:tcPr>
                <w:p w14:paraId="56689675">
                  <w:pPr>
                    <w:pStyle w:val="31"/>
                    <w:bidi w:val="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0.4</w:t>
                  </w:r>
                </w:p>
              </w:tc>
              <w:tc>
                <w:tcPr>
                  <w:tcW w:w="636" w:type="pct"/>
                  <w:noWrap w:val="0"/>
                  <w:vAlign w:val="center"/>
                </w:tcPr>
                <w:p w14:paraId="082631E5">
                  <w:pPr>
                    <w:pStyle w:val="31"/>
                    <w:bidi w:val="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0.5</w:t>
                  </w:r>
                </w:p>
              </w:tc>
              <w:tc>
                <w:tcPr>
                  <w:tcW w:w="639" w:type="pct"/>
                  <w:noWrap w:val="0"/>
                  <w:vAlign w:val="center"/>
                </w:tcPr>
                <w:p w14:paraId="18DA827B">
                  <w:pPr>
                    <w:pStyle w:val="31"/>
                    <w:bidi w:val="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1.0</w:t>
                  </w:r>
                </w:p>
              </w:tc>
            </w:tr>
            <w:tr w14:paraId="109423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77" w:type="pct"/>
                  <w:noWrap w:val="0"/>
                  <w:vAlign w:val="center"/>
                </w:tcPr>
                <w:p w14:paraId="6E95CB2D">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5</w:t>
                  </w:r>
                </w:p>
              </w:tc>
              <w:tc>
                <w:tcPr>
                  <w:tcW w:w="636" w:type="pct"/>
                  <w:noWrap w:val="0"/>
                  <w:vAlign w:val="center"/>
                </w:tcPr>
                <w:p w14:paraId="074A8840">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0.0510</w:t>
                  </w:r>
                </w:p>
              </w:tc>
              <w:tc>
                <w:tcPr>
                  <w:tcW w:w="636" w:type="pct"/>
                  <w:noWrap w:val="0"/>
                  <w:vAlign w:val="center"/>
                </w:tcPr>
                <w:p w14:paraId="3976FCB4">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0.0859</w:t>
                  </w:r>
                </w:p>
              </w:tc>
              <w:tc>
                <w:tcPr>
                  <w:tcW w:w="636" w:type="pct"/>
                  <w:noWrap w:val="0"/>
                  <w:vAlign w:val="center"/>
                </w:tcPr>
                <w:p w14:paraId="6E75D021">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0.1164</w:t>
                  </w:r>
                </w:p>
              </w:tc>
              <w:tc>
                <w:tcPr>
                  <w:tcW w:w="636" w:type="pct"/>
                  <w:noWrap w:val="0"/>
                  <w:vAlign w:val="center"/>
                </w:tcPr>
                <w:p w14:paraId="0395DB23">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0. 1444</w:t>
                  </w:r>
                </w:p>
              </w:tc>
              <w:tc>
                <w:tcPr>
                  <w:tcW w:w="636" w:type="pct"/>
                  <w:noWrap w:val="0"/>
                  <w:vAlign w:val="center"/>
                </w:tcPr>
                <w:p w14:paraId="07157468">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0.1707</w:t>
                  </w:r>
                </w:p>
              </w:tc>
              <w:tc>
                <w:tcPr>
                  <w:tcW w:w="639" w:type="pct"/>
                  <w:noWrap w:val="0"/>
                  <w:vAlign w:val="center"/>
                </w:tcPr>
                <w:p w14:paraId="53DAADEE">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0.2871</w:t>
                  </w:r>
                </w:p>
              </w:tc>
            </w:tr>
            <w:tr w14:paraId="663386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77" w:type="pct"/>
                  <w:noWrap w:val="0"/>
                  <w:vAlign w:val="center"/>
                </w:tcPr>
                <w:p w14:paraId="71A5F6C0">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10</w:t>
                  </w:r>
                </w:p>
              </w:tc>
              <w:tc>
                <w:tcPr>
                  <w:tcW w:w="636" w:type="pct"/>
                  <w:noWrap w:val="0"/>
                  <w:vAlign w:val="center"/>
                </w:tcPr>
                <w:p w14:paraId="0597847E">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0.1021</w:t>
                  </w:r>
                </w:p>
              </w:tc>
              <w:tc>
                <w:tcPr>
                  <w:tcW w:w="636" w:type="pct"/>
                  <w:noWrap w:val="0"/>
                  <w:vAlign w:val="center"/>
                </w:tcPr>
                <w:p w14:paraId="3BA876CD">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0.1717</w:t>
                  </w:r>
                </w:p>
              </w:tc>
              <w:tc>
                <w:tcPr>
                  <w:tcW w:w="636" w:type="pct"/>
                  <w:noWrap w:val="0"/>
                  <w:vAlign w:val="center"/>
                </w:tcPr>
                <w:p w14:paraId="62997FBE">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0.2328</w:t>
                  </w:r>
                </w:p>
              </w:tc>
              <w:tc>
                <w:tcPr>
                  <w:tcW w:w="636" w:type="pct"/>
                  <w:noWrap w:val="0"/>
                  <w:vAlign w:val="center"/>
                </w:tcPr>
                <w:p w14:paraId="0CDEDCF8">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0.2888</w:t>
                  </w:r>
                </w:p>
              </w:tc>
              <w:tc>
                <w:tcPr>
                  <w:tcW w:w="636" w:type="pct"/>
                  <w:noWrap w:val="0"/>
                  <w:vAlign w:val="center"/>
                </w:tcPr>
                <w:p w14:paraId="5E2176FB">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0.3414</w:t>
                  </w:r>
                </w:p>
              </w:tc>
              <w:tc>
                <w:tcPr>
                  <w:tcW w:w="639" w:type="pct"/>
                  <w:noWrap w:val="0"/>
                  <w:vAlign w:val="center"/>
                </w:tcPr>
                <w:p w14:paraId="2EEE36D0">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0.5742</w:t>
                  </w:r>
                </w:p>
              </w:tc>
            </w:tr>
            <w:tr w14:paraId="22C061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77" w:type="pct"/>
                  <w:noWrap w:val="0"/>
                  <w:vAlign w:val="center"/>
                </w:tcPr>
                <w:p w14:paraId="3DAB99E5">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15</w:t>
                  </w:r>
                </w:p>
              </w:tc>
              <w:tc>
                <w:tcPr>
                  <w:tcW w:w="636" w:type="pct"/>
                  <w:noWrap w:val="0"/>
                  <w:vAlign w:val="center"/>
                </w:tcPr>
                <w:p w14:paraId="040FC99F">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0.1532</w:t>
                  </w:r>
                </w:p>
              </w:tc>
              <w:tc>
                <w:tcPr>
                  <w:tcW w:w="636" w:type="pct"/>
                  <w:noWrap w:val="0"/>
                  <w:vAlign w:val="center"/>
                </w:tcPr>
                <w:p w14:paraId="52748012">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0.2576</w:t>
                  </w:r>
                </w:p>
              </w:tc>
              <w:tc>
                <w:tcPr>
                  <w:tcW w:w="636" w:type="pct"/>
                  <w:noWrap w:val="0"/>
                  <w:vAlign w:val="center"/>
                </w:tcPr>
                <w:p w14:paraId="0BE9D9F1">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0.3491</w:t>
                  </w:r>
                </w:p>
              </w:tc>
              <w:tc>
                <w:tcPr>
                  <w:tcW w:w="636" w:type="pct"/>
                  <w:noWrap w:val="0"/>
                  <w:vAlign w:val="center"/>
                </w:tcPr>
                <w:p w14:paraId="53978C05">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0.4332</w:t>
                  </w:r>
                </w:p>
              </w:tc>
              <w:tc>
                <w:tcPr>
                  <w:tcW w:w="636" w:type="pct"/>
                  <w:noWrap w:val="0"/>
                  <w:vAlign w:val="center"/>
                </w:tcPr>
                <w:p w14:paraId="671A8E6C">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0.5121</w:t>
                  </w:r>
                </w:p>
              </w:tc>
              <w:tc>
                <w:tcPr>
                  <w:tcW w:w="639" w:type="pct"/>
                  <w:noWrap w:val="0"/>
                  <w:vAlign w:val="center"/>
                </w:tcPr>
                <w:p w14:paraId="055FCB34">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0.8613</w:t>
                  </w:r>
                </w:p>
              </w:tc>
            </w:tr>
            <w:tr w14:paraId="1A9F8B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77" w:type="pct"/>
                  <w:noWrap w:val="0"/>
                  <w:vAlign w:val="center"/>
                </w:tcPr>
                <w:p w14:paraId="0A11101F">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25</w:t>
                  </w:r>
                </w:p>
              </w:tc>
              <w:tc>
                <w:tcPr>
                  <w:tcW w:w="636" w:type="pct"/>
                  <w:noWrap w:val="0"/>
                  <w:vAlign w:val="center"/>
                </w:tcPr>
                <w:p w14:paraId="2B486B2C">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0.2553</w:t>
                  </w:r>
                </w:p>
              </w:tc>
              <w:tc>
                <w:tcPr>
                  <w:tcW w:w="636" w:type="pct"/>
                  <w:noWrap w:val="0"/>
                  <w:vAlign w:val="center"/>
                </w:tcPr>
                <w:p w14:paraId="575AE634">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0.4293</w:t>
                  </w:r>
                </w:p>
              </w:tc>
              <w:tc>
                <w:tcPr>
                  <w:tcW w:w="636" w:type="pct"/>
                  <w:noWrap w:val="0"/>
                  <w:vAlign w:val="center"/>
                </w:tcPr>
                <w:p w14:paraId="7EAA6F00">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0.5819</w:t>
                  </w:r>
                </w:p>
              </w:tc>
              <w:tc>
                <w:tcPr>
                  <w:tcW w:w="636" w:type="pct"/>
                  <w:noWrap w:val="0"/>
                  <w:vAlign w:val="center"/>
                </w:tcPr>
                <w:p w14:paraId="3ED89628">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0.7220</w:t>
                  </w:r>
                </w:p>
              </w:tc>
              <w:tc>
                <w:tcPr>
                  <w:tcW w:w="636" w:type="pct"/>
                  <w:noWrap w:val="0"/>
                  <w:vAlign w:val="center"/>
                </w:tcPr>
                <w:p w14:paraId="6ABD185D">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0.8536</w:t>
                  </w:r>
                </w:p>
              </w:tc>
              <w:tc>
                <w:tcPr>
                  <w:tcW w:w="639" w:type="pct"/>
                  <w:noWrap w:val="0"/>
                  <w:vAlign w:val="center"/>
                </w:tcPr>
                <w:p w14:paraId="13478D71">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1.4355</w:t>
                  </w:r>
                </w:p>
              </w:tc>
            </w:tr>
          </w:tbl>
          <w:p w14:paraId="4FA0849F">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从</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REF _Ref6150 \h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3.3</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5</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val="en-US" w:eastAsia="zh-CN"/>
              </w:rPr>
              <w:t>可见，在同样路面清洁程度的条件下，车速越快，扬尘量越大；在同样车速条件下，路面越脏，则扬尘量越大。因此，限速行驶和保持路面的清洁是减少车辆行驶扬尘源强的有效措施。</w:t>
            </w:r>
          </w:p>
          <w:p w14:paraId="0ADF103C">
            <w:pPr>
              <w:keepNext w:val="0"/>
              <w:keepLines w:val="0"/>
              <w:pageBreakBefore w:val="0"/>
              <w:widowControl w:val="0"/>
              <w:kinsoku/>
              <w:wordWrap/>
              <w:overflowPunct/>
              <w:topLinePunct w:val="0"/>
              <w:autoSpaceDE/>
              <w:autoSpaceDN/>
              <w:bidi w:val="0"/>
              <w:adjustRightInd/>
              <w:snapToGrid/>
              <w:ind w:firstLine="482" w:firstLineChars="200"/>
              <w:jc w:val="both"/>
              <w:textAlignment w:val="auto"/>
              <w:rPr>
                <w:rFonts w:hint="default" w:ascii="Times New Roman" w:hAnsi="Times New Roman" w:eastAsia="宋体" w:cs="Times New Roman"/>
                <w:b/>
                <w:bCs/>
                <w:color w:val="000000"/>
                <w:highlight w:val="none"/>
                <w:lang w:val="en-US" w:eastAsia="zh-CN"/>
              </w:rPr>
            </w:pP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2</w:t>
            </w: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施工场地扬尘</w:t>
            </w:r>
          </w:p>
          <w:p w14:paraId="37EA4A4D">
            <w:pPr>
              <w:keepNext w:val="0"/>
              <w:keepLines w:val="0"/>
              <w:pageBreakBefore w:val="0"/>
              <w:widowControl w:val="0"/>
              <w:kinsoku/>
              <w:wordWrap/>
              <w:overflowPunct/>
              <w:topLinePunct w:val="0"/>
              <w:autoSpaceDE/>
              <w:autoSpaceDN/>
              <w:bidi w:val="0"/>
              <w:adjustRightInd/>
              <w:snapToGrid/>
              <w:ind w:firstLine="480" w:firstLineChars="200"/>
              <w:jc w:val="both"/>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lang w:eastAsia="zh-CN"/>
              </w:rPr>
              <w:t>工程施工期土石搬运、物料装卸等将会产生扰动扬尘、风吹扬尘和逸散尘，施工场地裸露表面也将产生风吹扬尘。起尘量视施工场地情况不同而不同，一般来说距施工场地100m范围内贴地环境空气中TSP浓度可达5～10mg/m</w:t>
            </w:r>
            <w:r>
              <w:rPr>
                <w:rFonts w:hint="default" w:ascii="Times New Roman" w:hAnsi="Times New Roman" w:cs="Times New Roman"/>
                <w:color w:val="000000"/>
                <w:highlight w:val="none"/>
                <w:vertAlign w:val="superscript"/>
                <w:lang w:eastAsia="zh-CN"/>
              </w:rPr>
              <w:t>3</w:t>
            </w:r>
            <w:r>
              <w:rPr>
                <w:rFonts w:hint="default" w:ascii="Times New Roman" w:hAnsi="Times New Roman" w:cs="Times New Roman"/>
                <w:color w:val="000000"/>
                <w:highlight w:val="none"/>
                <w:lang w:eastAsia="zh-CN"/>
              </w:rPr>
              <w:t>，当施工区起风并且风速较大时，扬尘可以影响到距施工场地500m左右的范围。</w:t>
            </w:r>
          </w:p>
          <w:p w14:paraId="28DA39E9">
            <w:pPr>
              <w:keepNext w:val="0"/>
              <w:keepLines w:val="0"/>
              <w:pageBreakBefore w:val="0"/>
              <w:widowControl w:val="0"/>
              <w:kinsoku/>
              <w:wordWrap/>
              <w:overflowPunct/>
              <w:topLinePunct w:val="0"/>
              <w:autoSpaceDE/>
              <w:autoSpaceDN/>
              <w:bidi w:val="0"/>
              <w:adjustRightInd/>
              <w:snapToGrid/>
              <w:ind w:firstLine="482" w:firstLineChars="200"/>
              <w:jc w:val="both"/>
              <w:textAlignment w:val="auto"/>
              <w:rPr>
                <w:rFonts w:hint="default" w:ascii="Times New Roman" w:hAnsi="Times New Roman" w:eastAsia="宋体" w:cs="Times New Roman"/>
                <w:b/>
                <w:bCs/>
                <w:color w:val="000000"/>
                <w:highlight w:val="none"/>
                <w:lang w:val="en-US" w:eastAsia="zh-CN"/>
              </w:rPr>
            </w:pP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3</w:t>
            </w: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施工船舶、车辆及机械设备尾气</w:t>
            </w:r>
          </w:p>
          <w:p w14:paraId="0ADD6567">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施工期各类施工船舶、施工机械和交通运输车辆产生的尾气，其产生的主要决定因素为燃料油种类、机械性能、作业方式和风力等，其中机械性能、作业方式因素的影响最大，排出的各类燃油废气主要污染物为SO</w:t>
            </w:r>
            <w:r>
              <w:rPr>
                <w:rFonts w:hint="default" w:ascii="Times New Roman" w:hAnsi="Times New Roman" w:cs="Times New Roman"/>
                <w:color w:val="000000"/>
                <w:highlight w:val="none"/>
                <w:vertAlign w:val="subscript"/>
                <w:lang w:val="en-US" w:eastAsia="zh-CN"/>
              </w:rPr>
              <w:t>2</w:t>
            </w:r>
            <w:r>
              <w:rPr>
                <w:rFonts w:hint="default" w:ascii="Times New Roman" w:hAnsi="Times New Roman" w:cs="Times New Roman"/>
                <w:color w:val="000000"/>
                <w:highlight w:val="none"/>
                <w:lang w:val="en-US" w:eastAsia="zh-CN"/>
              </w:rPr>
              <w:t>、NO</w:t>
            </w:r>
            <w:r>
              <w:rPr>
                <w:rFonts w:hint="default" w:ascii="Times New Roman" w:hAnsi="Times New Roman" w:cs="Times New Roman"/>
                <w:color w:val="000000"/>
                <w:highlight w:val="none"/>
                <w:vertAlign w:val="subscript"/>
                <w:lang w:val="en-US" w:eastAsia="zh-CN"/>
              </w:rPr>
              <w:t>X</w:t>
            </w:r>
            <w:r>
              <w:rPr>
                <w:rFonts w:hint="default" w:ascii="Times New Roman" w:hAnsi="Times New Roman" w:cs="Times New Roman"/>
                <w:color w:val="000000"/>
                <w:highlight w:val="none"/>
                <w:lang w:val="en-US" w:eastAsia="zh-CN"/>
              </w:rPr>
              <w:t>、CO、颗粒物等。由于本项目运输车辆和施工机械作业时间短，尾气产生量较小</w:t>
            </w:r>
            <w:r>
              <w:rPr>
                <w:rFonts w:hint="eastAsia" w:cs="Times New Roman"/>
                <w:color w:val="000000"/>
                <w:highlight w:val="none"/>
                <w:lang w:val="en-US" w:eastAsia="zh-CN"/>
              </w:rPr>
              <w:t>且</w:t>
            </w:r>
            <w:r>
              <w:rPr>
                <w:rFonts w:hint="default" w:ascii="Times New Roman" w:hAnsi="Times New Roman" w:cs="Times New Roman"/>
                <w:color w:val="000000"/>
                <w:highlight w:val="none"/>
                <w:lang w:val="en-US" w:eastAsia="zh-CN"/>
              </w:rPr>
              <w:t>项目位于海边，大气扩散条件较好，因此施工期施工船舶、机械和车辆产生的尾气对大气环境的影响有限。</w:t>
            </w:r>
          </w:p>
          <w:p w14:paraId="287845A4">
            <w:pPr>
              <w:pStyle w:val="4"/>
              <w:bidi w:val="0"/>
              <w:rPr>
                <w:rFonts w:hint="default"/>
              </w:rPr>
            </w:pPr>
            <w:r>
              <w:rPr>
                <w:rFonts w:hint="default"/>
                <w:lang w:val="en-US" w:eastAsia="zh-CN"/>
              </w:rPr>
              <w:t>施工期噪声污染源分析</w:t>
            </w:r>
          </w:p>
          <w:p w14:paraId="2F062F86">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本项目施工期噪声主要来源于钻机、吊机、挖掘机、振捣器等施工机械，以及各类运输车辆、施工船舶作业时产生的噪声。声源强度范围在70～95dB(A)，</w:t>
            </w:r>
            <w:r>
              <w:rPr>
                <w:rFonts w:hint="default" w:ascii="Times New Roman" w:hAnsi="Times New Roman" w:cs="Times New Roman"/>
                <w:color w:val="000000"/>
                <w:highlight w:val="none"/>
              </w:rPr>
              <w:t>施工</w:t>
            </w:r>
            <w:r>
              <w:rPr>
                <w:rFonts w:hint="default" w:ascii="Times New Roman" w:hAnsi="Times New Roman" w:cs="Times New Roman"/>
                <w:color w:val="000000"/>
                <w:highlight w:val="none"/>
                <w:lang w:val="en-US" w:eastAsia="zh-CN"/>
              </w:rPr>
              <w:t>设备</w:t>
            </w:r>
            <w:r>
              <w:rPr>
                <w:rFonts w:hint="default" w:ascii="Times New Roman" w:hAnsi="Times New Roman" w:cs="Times New Roman"/>
                <w:color w:val="000000"/>
                <w:highlight w:val="none"/>
              </w:rPr>
              <w:t>作业时在距声源1m处的噪声级见</w:t>
            </w:r>
            <w:r>
              <w:rPr>
                <w:rFonts w:hint="default" w:ascii="Times New Roman" w:hAnsi="Times New Roman" w:cs="Times New Roman"/>
                <w:color w:val="000000"/>
                <w:highlight w:val="none"/>
                <w:lang w:eastAsia="zh-CN"/>
              </w:rPr>
              <w:fldChar w:fldCharType="begin"/>
            </w:r>
            <w:r>
              <w:rPr>
                <w:rFonts w:hint="default" w:ascii="Times New Roman" w:hAnsi="Times New Roman" w:cs="Times New Roman"/>
                <w:color w:val="000000"/>
                <w:highlight w:val="none"/>
                <w:lang w:eastAsia="zh-CN"/>
              </w:rPr>
              <w:instrText xml:space="preserve"> REF _Ref18609 \h </w:instrText>
            </w:r>
            <w:r>
              <w:rPr>
                <w:rFonts w:hint="default" w:ascii="Times New Roman" w:hAnsi="Times New Roman" w:cs="Times New Roman"/>
                <w:color w:val="000000"/>
                <w:highlight w:val="none"/>
                <w:lang w:eastAsia="zh-CN"/>
              </w:rPr>
              <w:fldChar w:fldCharType="separate"/>
            </w:r>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4.2</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6</w:t>
            </w:r>
            <w:r>
              <w:rPr>
                <w:rFonts w:hint="default" w:ascii="Times New Roman" w:hAnsi="Times New Roman" w:cs="Times New Roman"/>
                <w:color w:val="000000"/>
                <w:highlight w:val="none"/>
                <w:lang w:eastAsia="zh-CN"/>
              </w:rPr>
              <w:fldChar w:fldCharType="end"/>
            </w:r>
            <w:r>
              <w:rPr>
                <w:rFonts w:hint="default" w:ascii="Times New Roman" w:hAnsi="Times New Roman" w:cs="Times New Roman"/>
                <w:color w:val="000000"/>
                <w:highlight w:val="none"/>
              </w:rPr>
              <w:t>。</w:t>
            </w:r>
            <w:r>
              <w:rPr>
                <w:rFonts w:hint="default" w:ascii="Times New Roman" w:hAnsi="Times New Roman" w:cs="Times New Roman"/>
                <w:color w:val="000000"/>
                <w:highlight w:val="none"/>
                <w:lang w:val="en-US" w:eastAsia="zh-CN"/>
              </w:rPr>
              <w:t>这些噪声具有无规则、不连续、高强度等特点，其影响会随着施工的结束而消失。</w:t>
            </w:r>
          </w:p>
          <w:p w14:paraId="0D5D6333">
            <w:pPr>
              <w:pStyle w:val="30"/>
              <w:bidi w:val="0"/>
              <w:rPr>
                <w:rFonts w:hint="default" w:ascii="Times New Roman" w:hAnsi="Times New Roman" w:cs="Times New Roman"/>
                <w:color w:val="000000"/>
                <w:highlight w:val="none"/>
                <w:lang w:val="en-US" w:eastAsia="zh-CN"/>
              </w:rPr>
            </w:pPr>
            <w:bookmarkStart w:id="286" w:name="_Ref18609"/>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4.2</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表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6</w:t>
            </w:r>
            <w:r>
              <w:rPr>
                <w:rFonts w:hint="default" w:ascii="Times New Roman" w:hAnsi="Times New Roman" w:cs="Times New Roman"/>
                <w:color w:val="000000"/>
                <w:highlight w:val="none"/>
              </w:rPr>
              <w:fldChar w:fldCharType="end"/>
            </w:r>
            <w:bookmarkEnd w:id="286"/>
            <w:r>
              <w:rPr>
                <w:rFonts w:hint="default" w:ascii="Times New Roman" w:hAnsi="Times New Roman" w:cs="Times New Roman"/>
                <w:color w:val="000000"/>
                <w:highlight w:val="none"/>
                <w:lang w:val="en-US" w:eastAsia="zh-CN"/>
              </w:rPr>
              <w:t xml:space="preserve"> 施工期主要噪声源强一览表</w:t>
            </w:r>
          </w:p>
          <w:tbl>
            <w:tblPr>
              <w:tblStyle w:val="22"/>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55"/>
              <w:gridCol w:w="3291"/>
              <w:gridCol w:w="3480"/>
            </w:tblGrid>
            <w:tr w14:paraId="062FAB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84" w:type="pct"/>
                  <w:noWrap w:val="0"/>
                  <w:vAlign w:val="center"/>
                </w:tcPr>
                <w:p w14:paraId="3B471F1C">
                  <w:pPr>
                    <w:pStyle w:val="31"/>
                    <w:bidi w:val="0"/>
                    <w:jc w:val="center"/>
                    <w:rPr>
                      <w:rFonts w:hint="default" w:ascii="Times New Roman" w:hAnsi="Times New Roman" w:eastAsia="宋体" w:cs="Times New Roman"/>
                      <w:b/>
                      <w:bCs/>
                      <w:color w:val="000000"/>
                      <w:highlight w:val="none"/>
                      <w:lang w:val="en-US" w:eastAsia="zh-CN"/>
                    </w:rPr>
                  </w:pPr>
                  <w:r>
                    <w:rPr>
                      <w:rFonts w:hint="default" w:ascii="Times New Roman" w:hAnsi="Times New Roman" w:cs="Times New Roman"/>
                      <w:b/>
                      <w:bCs/>
                      <w:color w:val="000000"/>
                      <w:highlight w:val="none"/>
                      <w:lang w:val="en-US" w:eastAsia="zh-CN"/>
                    </w:rPr>
                    <w:t>序号</w:t>
                  </w:r>
                </w:p>
              </w:tc>
              <w:tc>
                <w:tcPr>
                  <w:tcW w:w="2000" w:type="pct"/>
                  <w:noWrap w:val="0"/>
                  <w:vAlign w:val="center"/>
                </w:tcPr>
                <w:p w14:paraId="799E48D7">
                  <w:pPr>
                    <w:pStyle w:val="31"/>
                    <w:bidi w:val="0"/>
                    <w:jc w:val="center"/>
                    <w:rPr>
                      <w:rFonts w:hint="default" w:ascii="Times New Roman" w:hAnsi="Times New Roman" w:eastAsia="宋体" w:cs="Times New Roman"/>
                      <w:b/>
                      <w:bCs/>
                      <w:color w:val="000000"/>
                      <w:highlight w:val="none"/>
                      <w:lang w:val="en-US" w:eastAsia="zh-CN"/>
                    </w:rPr>
                  </w:pPr>
                  <w:r>
                    <w:rPr>
                      <w:rFonts w:hint="default" w:ascii="Times New Roman" w:hAnsi="Times New Roman" w:cs="Times New Roman"/>
                      <w:b/>
                      <w:bCs/>
                      <w:color w:val="000000"/>
                      <w:highlight w:val="none"/>
                      <w:lang w:val="en-US" w:eastAsia="zh-CN"/>
                    </w:rPr>
                    <w:t>设备名称</w:t>
                  </w:r>
                </w:p>
              </w:tc>
              <w:tc>
                <w:tcPr>
                  <w:tcW w:w="2115" w:type="pct"/>
                  <w:noWrap w:val="0"/>
                  <w:vAlign w:val="center"/>
                </w:tcPr>
                <w:p w14:paraId="0A8AF587">
                  <w:pPr>
                    <w:pStyle w:val="31"/>
                    <w:bidi w:val="0"/>
                    <w:jc w:val="center"/>
                    <w:rPr>
                      <w:rFonts w:hint="default" w:ascii="Times New Roman" w:hAnsi="Times New Roman" w:eastAsia="宋体" w:cs="Times New Roman"/>
                      <w:b/>
                      <w:bCs/>
                      <w:color w:val="000000"/>
                      <w:highlight w:val="none"/>
                      <w:lang w:val="en-US" w:eastAsia="zh-CN"/>
                    </w:rPr>
                  </w:pPr>
                  <w:r>
                    <w:rPr>
                      <w:rFonts w:hint="default" w:ascii="Times New Roman" w:hAnsi="Times New Roman" w:cs="Times New Roman"/>
                      <w:b/>
                      <w:bCs/>
                      <w:color w:val="000000"/>
                      <w:highlight w:val="none"/>
                      <w:lang w:val="en-US" w:eastAsia="zh-CN"/>
                    </w:rPr>
                    <w:t>噪声源强dB(A)</w:t>
                  </w:r>
                </w:p>
              </w:tc>
            </w:tr>
            <w:tr w14:paraId="0929CC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84" w:type="pct"/>
                  <w:noWrap w:val="0"/>
                  <w:vAlign w:val="center"/>
                </w:tcPr>
                <w:p w14:paraId="1662EB32">
                  <w:pPr>
                    <w:pStyle w:val="31"/>
                    <w:bidi w:val="0"/>
                    <w:jc w:val="center"/>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1</w:t>
                  </w:r>
                </w:p>
              </w:tc>
              <w:tc>
                <w:tcPr>
                  <w:tcW w:w="2000" w:type="pct"/>
                  <w:noWrap w:val="0"/>
                  <w:vAlign w:val="center"/>
                </w:tcPr>
                <w:p w14:paraId="4B263FF5">
                  <w:pPr>
                    <w:pStyle w:val="31"/>
                    <w:bidi w:val="0"/>
                    <w:ind w:firstLine="0" w:firstLineChars="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eastAsia="zh-CN"/>
                    </w:rPr>
                    <w:t>施工船舶</w:t>
                  </w:r>
                </w:p>
              </w:tc>
              <w:tc>
                <w:tcPr>
                  <w:tcW w:w="2115" w:type="pct"/>
                  <w:noWrap w:val="0"/>
                  <w:vAlign w:val="center"/>
                </w:tcPr>
                <w:p w14:paraId="173E3D3B">
                  <w:pPr>
                    <w:pStyle w:val="31"/>
                    <w:bidi w:val="0"/>
                    <w:jc w:val="center"/>
                    <w:rPr>
                      <w:rFonts w:hint="default" w:ascii="Times New Roman" w:hAnsi="Times New Roman" w:eastAsia="宋体" w:cs="Times New Roman"/>
                      <w:color w:val="000000"/>
                      <w:highlight w:val="none"/>
                      <w:lang w:val="en-US" w:eastAsia="zh-CN"/>
                    </w:rPr>
                  </w:pPr>
                  <w:r>
                    <w:rPr>
                      <w:rFonts w:hint="default" w:ascii="Times New Roman" w:hAnsi="Times New Roman" w:eastAsia="宋体" w:cs="Times New Roman"/>
                      <w:color w:val="000000"/>
                      <w:highlight w:val="none"/>
                      <w:lang w:val="en-US" w:eastAsia="zh-CN"/>
                    </w:rPr>
                    <w:t>70～85</w:t>
                  </w:r>
                </w:p>
              </w:tc>
            </w:tr>
            <w:tr w14:paraId="76CA04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84" w:type="pct"/>
                  <w:noWrap w:val="0"/>
                  <w:vAlign w:val="center"/>
                </w:tcPr>
                <w:p w14:paraId="215F81F0">
                  <w:pPr>
                    <w:pStyle w:val="31"/>
                    <w:bidi w:val="0"/>
                    <w:jc w:val="center"/>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2</w:t>
                  </w:r>
                </w:p>
              </w:tc>
              <w:tc>
                <w:tcPr>
                  <w:tcW w:w="2000" w:type="pct"/>
                  <w:noWrap w:val="0"/>
                  <w:vAlign w:val="center"/>
                </w:tcPr>
                <w:p w14:paraId="20E95183">
                  <w:pPr>
                    <w:pStyle w:val="31"/>
                    <w:bidi w:val="0"/>
                    <w:ind w:firstLine="0" w:firstLineChars="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eastAsia="zh-CN"/>
                    </w:rPr>
                    <w:t>钻机</w:t>
                  </w:r>
                </w:p>
              </w:tc>
              <w:tc>
                <w:tcPr>
                  <w:tcW w:w="2115" w:type="pct"/>
                  <w:noWrap w:val="0"/>
                  <w:vAlign w:val="top"/>
                </w:tcPr>
                <w:p w14:paraId="41C10123">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80～90</w:t>
                  </w:r>
                </w:p>
              </w:tc>
            </w:tr>
            <w:tr w14:paraId="2BC59A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84" w:type="pct"/>
                  <w:noWrap w:val="0"/>
                  <w:vAlign w:val="center"/>
                </w:tcPr>
                <w:p w14:paraId="3D6AD9BC">
                  <w:pPr>
                    <w:pStyle w:val="31"/>
                    <w:bidi w:val="0"/>
                    <w:jc w:val="center"/>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3</w:t>
                  </w:r>
                </w:p>
              </w:tc>
              <w:tc>
                <w:tcPr>
                  <w:tcW w:w="2000" w:type="pct"/>
                  <w:noWrap w:val="0"/>
                  <w:vAlign w:val="center"/>
                </w:tcPr>
                <w:p w14:paraId="6D3E26E1">
                  <w:pPr>
                    <w:pStyle w:val="31"/>
                    <w:bidi w:val="0"/>
                    <w:ind w:firstLine="0" w:firstLineChars="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eastAsia="zh-CN"/>
                    </w:rPr>
                    <w:t>吊机</w:t>
                  </w:r>
                </w:p>
              </w:tc>
              <w:tc>
                <w:tcPr>
                  <w:tcW w:w="2115" w:type="pct"/>
                  <w:noWrap w:val="0"/>
                  <w:vAlign w:val="top"/>
                </w:tcPr>
                <w:p w14:paraId="1CE13F62">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rPr>
                    <w:t>80～85</w:t>
                  </w:r>
                </w:p>
              </w:tc>
            </w:tr>
            <w:tr w14:paraId="054202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84" w:type="pct"/>
                  <w:noWrap w:val="0"/>
                  <w:vAlign w:val="center"/>
                </w:tcPr>
                <w:p w14:paraId="42466B79">
                  <w:pPr>
                    <w:pStyle w:val="31"/>
                    <w:bidi w:val="0"/>
                    <w:jc w:val="center"/>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4</w:t>
                  </w:r>
                </w:p>
              </w:tc>
              <w:tc>
                <w:tcPr>
                  <w:tcW w:w="2000" w:type="pct"/>
                  <w:noWrap w:val="0"/>
                  <w:vAlign w:val="center"/>
                </w:tcPr>
                <w:p w14:paraId="64D92698">
                  <w:pPr>
                    <w:pStyle w:val="31"/>
                    <w:bidi w:val="0"/>
                    <w:ind w:firstLine="0" w:firstLineChars="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eastAsia="zh-CN"/>
                    </w:rPr>
                    <w:t>挖掘机</w:t>
                  </w:r>
                </w:p>
              </w:tc>
              <w:tc>
                <w:tcPr>
                  <w:tcW w:w="2115" w:type="pct"/>
                  <w:noWrap w:val="0"/>
                  <w:vAlign w:val="center"/>
                </w:tcPr>
                <w:p w14:paraId="3AEE3E12">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75～85</w:t>
                  </w:r>
                </w:p>
              </w:tc>
            </w:tr>
            <w:tr w14:paraId="56A403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84" w:type="pct"/>
                  <w:noWrap w:val="0"/>
                  <w:vAlign w:val="center"/>
                </w:tcPr>
                <w:p w14:paraId="3179EDBB">
                  <w:pPr>
                    <w:pStyle w:val="31"/>
                    <w:bidi w:val="0"/>
                    <w:jc w:val="center"/>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5</w:t>
                  </w:r>
                </w:p>
              </w:tc>
              <w:tc>
                <w:tcPr>
                  <w:tcW w:w="2000" w:type="pct"/>
                  <w:noWrap w:val="0"/>
                  <w:vAlign w:val="center"/>
                </w:tcPr>
                <w:p w14:paraId="20F339D7">
                  <w:pPr>
                    <w:pStyle w:val="31"/>
                    <w:bidi w:val="0"/>
                    <w:ind w:firstLine="0" w:firstLineChars="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eastAsia="zh-CN"/>
                    </w:rPr>
                    <w:t>混凝土输送车</w:t>
                  </w:r>
                </w:p>
              </w:tc>
              <w:tc>
                <w:tcPr>
                  <w:tcW w:w="2115" w:type="pct"/>
                  <w:noWrap w:val="0"/>
                  <w:vAlign w:val="center"/>
                </w:tcPr>
                <w:p w14:paraId="007551BC">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80～90</w:t>
                  </w:r>
                </w:p>
              </w:tc>
            </w:tr>
            <w:tr w14:paraId="756F49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84" w:type="pct"/>
                  <w:noWrap w:val="0"/>
                  <w:vAlign w:val="center"/>
                </w:tcPr>
                <w:p w14:paraId="69377837">
                  <w:pPr>
                    <w:pStyle w:val="31"/>
                    <w:bidi w:val="0"/>
                    <w:jc w:val="center"/>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6</w:t>
                  </w:r>
                </w:p>
              </w:tc>
              <w:tc>
                <w:tcPr>
                  <w:tcW w:w="2000" w:type="pct"/>
                  <w:noWrap w:val="0"/>
                  <w:vAlign w:val="center"/>
                </w:tcPr>
                <w:p w14:paraId="5C38FD91">
                  <w:pPr>
                    <w:pStyle w:val="31"/>
                    <w:bidi w:val="0"/>
                    <w:ind w:firstLine="0" w:firstLineChars="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eastAsia="zh-CN"/>
                    </w:rPr>
                    <w:t>土石方运输车</w:t>
                  </w:r>
                </w:p>
              </w:tc>
              <w:tc>
                <w:tcPr>
                  <w:tcW w:w="2115" w:type="pct"/>
                  <w:noWrap w:val="0"/>
                  <w:vAlign w:val="center"/>
                </w:tcPr>
                <w:p w14:paraId="2B3EBC6E">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80～90</w:t>
                  </w:r>
                </w:p>
              </w:tc>
            </w:tr>
            <w:tr w14:paraId="7B6147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84" w:type="pct"/>
                  <w:noWrap w:val="0"/>
                  <w:vAlign w:val="center"/>
                </w:tcPr>
                <w:p w14:paraId="5298DF9B">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7</w:t>
                  </w:r>
                </w:p>
              </w:tc>
              <w:tc>
                <w:tcPr>
                  <w:tcW w:w="2000" w:type="pct"/>
                  <w:noWrap w:val="0"/>
                  <w:vAlign w:val="center"/>
                </w:tcPr>
                <w:p w14:paraId="3D171A22">
                  <w:pPr>
                    <w:pStyle w:val="31"/>
                    <w:bidi w:val="0"/>
                    <w:ind w:firstLine="0" w:firstLineChars="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eastAsia="zh-CN"/>
                    </w:rPr>
                    <w:t>振捣器</w:t>
                  </w:r>
                </w:p>
              </w:tc>
              <w:tc>
                <w:tcPr>
                  <w:tcW w:w="2115" w:type="pct"/>
                  <w:noWrap w:val="0"/>
                  <w:vAlign w:val="center"/>
                </w:tcPr>
                <w:p w14:paraId="7FE0C88A">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85～95</w:t>
                  </w:r>
                </w:p>
              </w:tc>
            </w:tr>
            <w:tr w14:paraId="35BE4B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84" w:type="pct"/>
                  <w:noWrap w:val="0"/>
                  <w:vAlign w:val="center"/>
                </w:tcPr>
                <w:p w14:paraId="474AD423">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8</w:t>
                  </w:r>
                </w:p>
              </w:tc>
              <w:tc>
                <w:tcPr>
                  <w:tcW w:w="2000" w:type="pct"/>
                  <w:noWrap w:val="0"/>
                  <w:vAlign w:val="center"/>
                </w:tcPr>
                <w:p w14:paraId="7DBE939D">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压路机</w:t>
                  </w:r>
                </w:p>
              </w:tc>
              <w:tc>
                <w:tcPr>
                  <w:tcW w:w="2115" w:type="pct"/>
                  <w:noWrap w:val="0"/>
                  <w:vAlign w:val="center"/>
                </w:tcPr>
                <w:p w14:paraId="7B9528BD">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78～88</w:t>
                  </w:r>
                </w:p>
              </w:tc>
            </w:tr>
            <w:tr w14:paraId="15C86C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84" w:type="pct"/>
                  <w:noWrap w:val="0"/>
                  <w:vAlign w:val="center"/>
                </w:tcPr>
                <w:p w14:paraId="525B0DC2">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9</w:t>
                  </w:r>
                </w:p>
              </w:tc>
              <w:tc>
                <w:tcPr>
                  <w:tcW w:w="2000" w:type="pct"/>
                  <w:noWrap w:val="0"/>
                  <w:vAlign w:val="center"/>
                </w:tcPr>
                <w:p w14:paraId="53D3BF2B">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洒水车</w:t>
                  </w:r>
                </w:p>
              </w:tc>
              <w:tc>
                <w:tcPr>
                  <w:tcW w:w="2115" w:type="pct"/>
                  <w:noWrap w:val="0"/>
                  <w:vAlign w:val="center"/>
                </w:tcPr>
                <w:p w14:paraId="632A85D9">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75～85</w:t>
                  </w:r>
                </w:p>
              </w:tc>
            </w:tr>
          </w:tbl>
          <w:p w14:paraId="1B557284">
            <w:pPr>
              <w:pStyle w:val="4"/>
              <w:bidi w:val="0"/>
              <w:rPr>
                <w:rFonts w:hint="default"/>
              </w:rPr>
            </w:pPr>
            <w:r>
              <w:rPr>
                <w:rFonts w:hint="default"/>
                <w:lang w:val="en-US" w:eastAsia="zh-CN"/>
              </w:rPr>
              <w:t>施工期固体废物污染源分析</w:t>
            </w:r>
          </w:p>
          <w:p w14:paraId="4EA58698">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本项目施工期固体废物主要来自施工船舶、施工场地、港池疏浚。</w:t>
            </w:r>
          </w:p>
          <w:p w14:paraId="26D3BAC5">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1</w:t>
            </w: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rPr>
              <w:t>施工船舶垃圾</w:t>
            </w:r>
          </w:p>
          <w:p w14:paraId="0D29EA4C">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根据《水运工程环境保护设计规范》（JTS 149</w:t>
            </w:r>
            <w:r>
              <w:rPr>
                <w:rFonts w:hint="default" w:ascii="Times New Roman" w:hAnsi="Times New Roman" w:cs="Times New Roman"/>
                <w:color w:val="000000"/>
                <w:highlight w:val="none"/>
                <w:lang w:val="en-US" w:eastAsia="zh-CN"/>
              </w:rPr>
              <w:t>-</w:t>
            </w:r>
            <w:r>
              <w:rPr>
                <w:rFonts w:hint="default" w:ascii="Times New Roman" w:hAnsi="Times New Roman" w:cs="Times New Roman"/>
                <w:color w:val="000000"/>
                <w:highlight w:val="none"/>
              </w:rPr>
              <w:t>2018），</w:t>
            </w:r>
            <w:r>
              <w:rPr>
                <w:rFonts w:hint="default" w:ascii="Times New Roman" w:hAnsi="Times New Roman" w:cs="Times New Roman"/>
                <w:color w:val="000000"/>
                <w:highlight w:val="none"/>
                <w:lang w:val="en-US" w:eastAsia="zh-CN"/>
              </w:rPr>
              <w:t>船舶</w:t>
            </w:r>
            <w:r>
              <w:rPr>
                <w:rFonts w:hint="default" w:ascii="Times New Roman" w:hAnsi="Times New Roman" w:cs="Times New Roman"/>
                <w:color w:val="000000"/>
                <w:highlight w:val="none"/>
              </w:rPr>
              <w:t>施工人员生活垃圾</w:t>
            </w:r>
            <w:r>
              <w:rPr>
                <w:rFonts w:hint="default" w:ascii="Times New Roman" w:hAnsi="Times New Roman" w:cs="Times New Roman"/>
                <w:color w:val="000000"/>
                <w:highlight w:val="none"/>
                <w:lang w:val="en-US" w:eastAsia="zh-CN"/>
              </w:rPr>
              <w:t>产生量</w:t>
            </w:r>
            <w:r>
              <w:rPr>
                <w:rFonts w:hint="default" w:ascii="Times New Roman" w:hAnsi="Times New Roman" w:cs="Times New Roman"/>
                <w:color w:val="000000"/>
                <w:highlight w:val="none"/>
              </w:rPr>
              <w:t>按照1</w:t>
            </w:r>
            <w:r>
              <w:rPr>
                <w:rFonts w:hint="default" w:ascii="Times New Roman" w:hAnsi="Times New Roman" w:cs="Times New Roman"/>
                <w:color w:val="000000"/>
                <w:highlight w:val="none"/>
                <w:lang w:val="en-US" w:eastAsia="zh-CN"/>
              </w:rPr>
              <w:t>.0</w:t>
            </w:r>
            <w:r>
              <w:rPr>
                <w:rFonts w:hint="default" w:ascii="Times New Roman" w:hAnsi="Times New Roman" w:cs="Times New Roman"/>
                <w:color w:val="000000"/>
                <w:highlight w:val="none"/>
              </w:rPr>
              <w:t>kg/人∙</w:t>
            </w:r>
            <w:r>
              <w:rPr>
                <w:rFonts w:hint="default" w:ascii="Times New Roman" w:hAnsi="Times New Roman" w:cs="Times New Roman"/>
                <w:color w:val="000000"/>
                <w:highlight w:val="none"/>
                <w:lang w:val="en-US" w:eastAsia="zh-CN"/>
              </w:rPr>
              <w:t>天计算，</w:t>
            </w:r>
            <w:r>
              <w:rPr>
                <w:rFonts w:hint="default" w:ascii="Times New Roman" w:hAnsi="Times New Roman" w:cs="Times New Roman"/>
                <w:color w:val="000000"/>
                <w:highlight w:val="none"/>
              </w:rPr>
              <w:t>水上施工作业人员约为</w:t>
            </w:r>
            <w:r>
              <w:rPr>
                <w:rFonts w:hint="default" w:ascii="Times New Roman" w:hAnsi="Times New Roman" w:cs="Times New Roman"/>
                <w:color w:val="000000"/>
                <w:highlight w:val="none"/>
                <w:lang w:val="en-US" w:eastAsia="zh-CN"/>
              </w:rPr>
              <w:t>30</w:t>
            </w:r>
            <w:r>
              <w:rPr>
                <w:rFonts w:hint="default" w:ascii="Times New Roman" w:hAnsi="Times New Roman" w:cs="Times New Roman"/>
                <w:color w:val="000000"/>
                <w:highlight w:val="none"/>
              </w:rPr>
              <w:t>人，则船舶生活垃圾产生量为30kg/d。</w:t>
            </w:r>
          </w:p>
          <w:p w14:paraId="66291F48">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施工船舶保养产生的固体废物主要为废机油、含油抹布、手套等，产生量约为5kg/d。根据《国家危险废物名录（2025年版）》，废机油属于“HW08废矿物油与含矿物油废物”，废物代码为900-214-08，需由有资质的单位接收和处置；含油抹布、手套属于危险废物豁免管理清单，全过程不按危险废物管理。</w:t>
            </w:r>
          </w:p>
          <w:p w14:paraId="0AD1CB80">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eastAsia="宋体" w:cs="Times New Roman"/>
                <w:b/>
                <w:bCs/>
                <w:color w:val="000000"/>
                <w:highlight w:val="none"/>
                <w:lang w:val="en-US" w:eastAsia="zh-CN"/>
              </w:rPr>
            </w:pP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2</w:t>
            </w: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陆域施工垃圾</w:t>
            </w:r>
          </w:p>
          <w:p w14:paraId="409D9D6F">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陆域生产生活垃圾包括建筑损耗产生的垃圾和施工人员生活垃圾。</w:t>
            </w:r>
          </w:p>
          <w:p w14:paraId="2B2F96A7">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建筑损耗产生的垃圾包括砂土、石块、水泥、碎木料、锯木屑、钢筋、铁丝等杂物，大部分可回收利用，不可利用的垃圾统一收集后清运到固废</w:t>
            </w:r>
            <w:r>
              <w:rPr>
                <w:rFonts w:hint="default" w:ascii="Times New Roman" w:hAnsi="Times New Roman" w:cs="Times New Roman"/>
                <w:color w:val="000000"/>
                <w:highlight w:val="none"/>
                <w:lang w:eastAsia="zh-CN"/>
              </w:rPr>
              <w:t>处理厂</w:t>
            </w:r>
            <w:r>
              <w:rPr>
                <w:rFonts w:hint="default" w:ascii="Times New Roman" w:hAnsi="Times New Roman" w:cs="Times New Roman"/>
                <w:color w:val="000000"/>
                <w:highlight w:val="none"/>
              </w:rPr>
              <w:t>处理。</w:t>
            </w:r>
          </w:p>
          <w:p w14:paraId="76685397">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码头建设过程中</w:t>
            </w:r>
            <w:r>
              <w:rPr>
                <w:rFonts w:hint="default" w:ascii="Times New Roman" w:hAnsi="Times New Roman" w:cs="Times New Roman"/>
                <w:color w:val="000000"/>
                <w:highlight w:val="none"/>
                <w:lang w:val="en-US" w:eastAsia="zh-CN"/>
              </w:rPr>
              <w:t>高峰期</w:t>
            </w:r>
            <w:r>
              <w:rPr>
                <w:rFonts w:hint="default" w:ascii="Times New Roman" w:hAnsi="Times New Roman" w:cs="Times New Roman"/>
                <w:color w:val="000000"/>
                <w:highlight w:val="none"/>
              </w:rPr>
              <w:t>陆域施工人员约</w:t>
            </w:r>
            <w:r>
              <w:rPr>
                <w:rFonts w:hint="default" w:ascii="Times New Roman" w:hAnsi="Times New Roman" w:cs="Times New Roman"/>
                <w:color w:val="000000"/>
                <w:highlight w:val="none"/>
                <w:lang w:val="en-US" w:eastAsia="zh-CN"/>
              </w:rPr>
              <w:t>30</w:t>
            </w:r>
            <w:r>
              <w:rPr>
                <w:rFonts w:hint="default" w:ascii="Times New Roman" w:hAnsi="Times New Roman" w:cs="Times New Roman"/>
                <w:color w:val="000000"/>
                <w:highlight w:val="none"/>
              </w:rPr>
              <w:t>人，生活垃圾产生量按1.0kg/人∙天计算，则生活垃圾的</w:t>
            </w:r>
            <w:r>
              <w:rPr>
                <w:rFonts w:hint="default" w:ascii="Times New Roman" w:hAnsi="Times New Roman" w:cs="Times New Roman"/>
                <w:color w:val="000000"/>
                <w:highlight w:val="none"/>
                <w:lang w:val="en-US" w:eastAsia="zh-CN"/>
              </w:rPr>
              <w:t>产生量</w:t>
            </w:r>
            <w:r>
              <w:rPr>
                <w:rFonts w:hint="default" w:ascii="Times New Roman" w:hAnsi="Times New Roman" w:cs="Times New Roman"/>
                <w:color w:val="000000"/>
                <w:highlight w:val="none"/>
              </w:rPr>
              <w:t>为</w:t>
            </w:r>
            <w:r>
              <w:rPr>
                <w:rFonts w:hint="default" w:ascii="Times New Roman" w:hAnsi="Times New Roman" w:cs="Times New Roman"/>
                <w:color w:val="000000"/>
                <w:highlight w:val="none"/>
                <w:lang w:val="en-US" w:eastAsia="zh-CN"/>
              </w:rPr>
              <w:t>30</w:t>
            </w:r>
            <w:r>
              <w:rPr>
                <w:rFonts w:hint="default" w:ascii="Times New Roman" w:hAnsi="Times New Roman" w:cs="Times New Roman"/>
                <w:color w:val="000000"/>
                <w:highlight w:val="none"/>
              </w:rPr>
              <w:t>kg/d</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生活垃圾由当地环卫部门清运处理，对环境影响较小</w:t>
            </w:r>
            <w:r>
              <w:rPr>
                <w:rFonts w:hint="default" w:ascii="Times New Roman" w:hAnsi="Times New Roman" w:cs="Times New Roman"/>
                <w:color w:val="000000"/>
                <w:highlight w:val="none"/>
              </w:rPr>
              <w:t>。</w:t>
            </w:r>
          </w:p>
          <w:p w14:paraId="5CDE2ED4">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3</w:t>
            </w: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隔油池含油污泥</w:t>
            </w:r>
          </w:p>
          <w:p w14:paraId="2B44722E">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施工场区设置隔油沉淀池，冲洗废水经隔油沉淀处理后回用，隔油沉淀池会产生含油污泥，产生量约为1kg/d。根据《国家危险废物名录（2025年版）》，含油污泥属于“HW08废矿物油与含矿物油废物”，废物代码为251-002-08，需由有资质的单位接收和处置。</w:t>
            </w:r>
          </w:p>
          <w:p w14:paraId="0DF1A6A6">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eastAsia="宋体" w:cs="Times New Roman"/>
                <w:b/>
                <w:bCs/>
                <w:color w:val="000000"/>
                <w:highlight w:val="none"/>
                <w:lang w:val="en-US" w:eastAsia="zh-CN"/>
              </w:rPr>
            </w:pP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4</w:t>
            </w: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基槽开挖弃方、疏浚物</w:t>
            </w:r>
          </w:p>
          <w:p w14:paraId="7B89E4E5">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rPr>
              <w:t>根据</w:t>
            </w:r>
            <w:r>
              <w:rPr>
                <w:rFonts w:hint="default" w:ascii="Times New Roman" w:hAnsi="Times New Roman" w:cs="Times New Roman"/>
                <w:color w:val="000000"/>
                <w:highlight w:val="none"/>
                <w:lang w:val="en-US" w:eastAsia="zh-CN"/>
              </w:rPr>
              <w:t>《福建省福清海亮沃口一级渔港工程水土保持方案报告书》及其批复（附件17），本工程陆域形成余方511.44万m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、南防波堤工程余方13.58万m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、东防波堤工程余方5.28万m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和港池疏浚物</w:t>
            </w:r>
            <w:r>
              <w:rPr>
                <w:rFonts w:hint="default" w:ascii="Times New Roman" w:hAnsi="Times New Roman" w:cs="Times New Roman"/>
                <w:color w:val="000000"/>
                <w:highlight w:val="none"/>
              </w:rPr>
              <w:t>4.84万</w:t>
            </w:r>
            <w:r>
              <w:rPr>
                <w:rFonts w:hint="default" w:ascii="Times New Roman" w:hAnsi="Times New Roman" w:cs="Times New Roman"/>
                <w:color w:val="000000"/>
                <w:highlight w:val="none"/>
                <w:lang w:val="en-US" w:eastAsia="zh-CN"/>
              </w:rPr>
              <w:t>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等施工产生弃方合计535.14万m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根据《福清市人民政府关于印发福清市建设工程项目涉及砂石资源处置监管工作方案（试行）的通知》（融政发〔2022〕6号），后方陆域山体开挖整平由福清市自然资源和规划局委托相关单位进行，剩余砂石资源（含淤泥）由属地政府进行公开有偿化处置。</w:t>
            </w:r>
          </w:p>
          <w:p w14:paraId="58392B8E">
            <w:pPr>
              <w:pStyle w:val="4"/>
              <w:bidi w:val="0"/>
              <w:rPr>
                <w:rFonts w:hint="default"/>
              </w:rPr>
            </w:pPr>
            <w:r>
              <w:rPr>
                <w:rFonts w:hint="default"/>
                <w:lang w:val="en-US" w:eastAsia="zh-CN"/>
              </w:rPr>
              <w:t>施工期主要污染物排放情况汇总</w:t>
            </w:r>
          </w:p>
          <w:p w14:paraId="58157229">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本项目施工期为36个月，施工期间主要污染物排放情况见</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REF _Ref9788 \h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4.2</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7</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val="en-US" w:eastAsia="zh-CN"/>
              </w:rPr>
              <w:t>。</w:t>
            </w:r>
          </w:p>
          <w:p w14:paraId="16DCBD90">
            <w:pPr>
              <w:pStyle w:val="30"/>
              <w:bidi w:val="0"/>
              <w:rPr>
                <w:rFonts w:hint="default" w:ascii="Times New Roman" w:hAnsi="Times New Roman" w:cs="Times New Roman"/>
                <w:color w:val="000000"/>
                <w:highlight w:val="none"/>
                <w:lang w:val="en-US" w:eastAsia="zh-CN"/>
              </w:rPr>
            </w:pPr>
            <w:bookmarkStart w:id="287" w:name="_Ref9788"/>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4.2</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表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7</w:t>
            </w:r>
            <w:r>
              <w:rPr>
                <w:rFonts w:hint="default" w:ascii="Times New Roman" w:hAnsi="Times New Roman" w:cs="Times New Roman"/>
                <w:color w:val="000000"/>
                <w:highlight w:val="none"/>
              </w:rPr>
              <w:fldChar w:fldCharType="end"/>
            </w:r>
            <w:bookmarkEnd w:id="287"/>
            <w:r>
              <w:rPr>
                <w:rFonts w:hint="default" w:ascii="Times New Roman" w:hAnsi="Times New Roman" w:cs="Times New Roman"/>
                <w:color w:val="000000"/>
                <w:highlight w:val="none"/>
                <w:lang w:val="en-US" w:eastAsia="zh-CN"/>
              </w:rPr>
              <w:t xml:space="preserve"> 本项目施工期污染物排放情况一览表</w:t>
            </w:r>
          </w:p>
          <w:tbl>
            <w:tblPr>
              <w:tblStyle w:val="22"/>
              <w:tblW w:w="823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5"/>
              <w:gridCol w:w="1811"/>
              <w:gridCol w:w="1448"/>
              <w:gridCol w:w="1231"/>
              <w:gridCol w:w="2972"/>
            </w:tblGrid>
            <w:tr w14:paraId="3B9558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3" w:hRule="atLeast"/>
                <w:tblHeader/>
              </w:trPr>
              <w:tc>
                <w:tcPr>
                  <w:tcW w:w="775" w:type="dxa"/>
                  <w:noWrap w:val="0"/>
                  <w:vAlign w:val="center"/>
                </w:tcPr>
                <w:p w14:paraId="625DAF2B">
                  <w:pPr>
                    <w:pStyle w:val="31"/>
                    <w:bidi w:val="0"/>
                    <w:jc w:val="center"/>
                    <w:rPr>
                      <w:rFonts w:hint="default" w:ascii="Times New Roman" w:hAnsi="Times New Roman" w:eastAsia="宋体" w:cs="Times New Roman"/>
                      <w:b/>
                      <w:bCs/>
                      <w:color w:val="000000"/>
                      <w:highlight w:val="none"/>
                      <w:lang w:val="en-US" w:eastAsia="zh-CN"/>
                    </w:rPr>
                  </w:pPr>
                  <w:r>
                    <w:rPr>
                      <w:rFonts w:hint="default" w:ascii="Times New Roman" w:hAnsi="Times New Roman" w:cs="Times New Roman"/>
                      <w:b/>
                      <w:bCs/>
                      <w:color w:val="000000"/>
                      <w:highlight w:val="none"/>
                      <w:lang w:val="en-US" w:eastAsia="zh-CN"/>
                    </w:rPr>
                    <w:t>环境影响要素</w:t>
                  </w:r>
                </w:p>
              </w:tc>
              <w:tc>
                <w:tcPr>
                  <w:tcW w:w="1811" w:type="dxa"/>
                  <w:noWrap w:val="0"/>
                  <w:vAlign w:val="center"/>
                </w:tcPr>
                <w:p w14:paraId="4AEA42DA">
                  <w:pPr>
                    <w:pStyle w:val="31"/>
                    <w:bidi w:val="0"/>
                    <w:jc w:val="center"/>
                    <w:rPr>
                      <w:rFonts w:hint="default" w:ascii="Times New Roman" w:hAnsi="Times New Roman" w:eastAsia="宋体" w:cs="Times New Roman"/>
                      <w:b/>
                      <w:bCs/>
                      <w:color w:val="000000"/>
                      <w:highlight w:val="none"/>
                      <w:lang w:val="en-US" w:eastAsia="zh-CN"/>
                    </w:rPr>
                  </w:pPr>
                  <w:r>
                    <w:rPr>
                      <w:rFonts w:hint="default" w:ascii="Times New Roman" w:hAnsi="Times New Roman" w:cs="Times New Roman"/>
                      <w:b/>
                      <w:bCs/>
                      <w:color w:val="000000"/>
                      <w:highlight w:val="none"/>
                      <w:lang w:val="en-US" w:eastAsia="zh-CN"/>
                    </w:rPr>
                    <w:t>污染源</w:t>
                  </w:r>
                </w:p>
              </w:tc>
              <w:tc>
                <w:tcPr>
                  <w:tcW w:w="1448" w:type="dxa"/>
                  <w:noWrap w:val="0"/>
                  <w:vAlign w:val="center"/>
                </w:tcPr>
                <w:p w14:paraId="7375950B">
                  <w:pPr>
                    <w:pStyle w:val="31"/>
                    <w:bidi w:val="0"/>
                    <w:jc w:val="center"/>
                    <w:rPr>
                      <w:rFonts w:hint="default" w:ascii="Times New Roman" w:hAnsi="Times New Roman" w:eastAsia="宋体" w:cs="Times New Roman"/>
                      <w:b/>
                      <w:bCs/>
                      <w:color w:val="000000"/>
                      <w:highlight w:val="none"/>
                      <w:lang w:val="en-US" w:eastAsia="zh-CN"/>
                    </w:rPr>
                  </w:pPr>
                  <w:r>
                    <w:rPr>
                      <w:rFonts w:hint="default" w:ascii="Times New Roman" w:hAnsi="Times New Roman" w:cs="Times New Roman"/>
                      <w:b/>
                      <w:bCs/>
                      <w:color w:val="000000"/>
                      <w:highlight w:val="none"/>
                      <w:lang w:val="en-US" w:eastAsia="zh-CN"/>
                    </w:rPr>
                    <w:t>主要污染物</w:t>
                  </w:r>
                </w:p>
              </w:tc>
              <w:tc>
                <w:tcPr>
                  <w:tcW w:w="1231" w:type="dxa"/>
                  <w:noWrap w:val="0"/>
                  <w:vAlign w:val="center"/>
                </w:tcPr>
                <w:p w14:paraId="27BA6905">
                  <w:pPr>
                    <w:pStyle w:val="31"/>
                    <w:bidi w:val="0"/>
                    <w:jc w:val="center"/>
                    <w:rPr>
                      <w:rFonts w:hint="default" w:ascii="Times New Roman" w:hAnsi="Times New Roman" w:eastAsia="宋体" w:cs="Times New Roman"/>
                      <w:b/>
                      <w:bCs/>
                      <w:color w:val="000000"/>
                      <w:highlight w:val="none"/>
                      <w:lang w:val="en-US" w:eastAsia="zh-CN"/>
                    </w:rPr>
                  </w:pPr>
                  <w:r>
                    <w:rPr>
                      <w:rFonts w:hint="default" w:ascii="Times New Roman" w:hAnsi="Times New Roman" w:cs="Times New Roman"/>
                      <w:b/>
                      <w:bCs/>
                      <w:color w:val="000000"/>
                      <w:highlight w:val="none"/>
                      <w:lang w:val="en-US" w:eastAsia="zh-CN"/>
                    </w:rPr>
                    <w:t>污染物源强</w:t>
                  </w:r>
                </w:p>
              </w:tc>
              <w:tc>
                <w:tcPr>
                  <w:tcW w:w="2972" w:type="dxa"/>
                  <w:noWrap w:val="0"/>
                  <w:vAlign w:val="center"/>
                </w:tcPr>
                <w:p w14:paraId="4156FF1B">
                  <w:pPr>
                    <w:pStyle w:val="31"/>
                    <w:bidi w:val="0"/>
                    <w:jc w:val="center"/>
                    <w:rPr>
                      <w:rFonts w:hint="default" w:ascii="Times New Roman" w:hAnsi="Times New Roman" w:eastAsia="宋体" w:cs="Times New Roman"/>
                      <w:b/>
                      <w:bCs/>
                      <w:color w:val="000000"/>
                      <w:highlight w:val="none"/>
                      <w:lang w:val="en-US" w:eastAsia="zh-CN"/>
                    </w:rPr>
                  </w:pPr>
                  <w:r>
                    <w:rPr>
                      <w:rFonts w:hint="default" w:ascii="Times New Roman" w:hAnsi="Times New Roman" w:cs="Times New Roman"/>
                      <w:b/>
                      <w:bCs/>
                      <w:color w:val="000000"/>
                      <w:highlight w:val="none"/>
                      <w:lang w:val="en-US" w:eastAsia="zh-CN"/>
                    </w:rPr>
                    <w:t>排放方式</w:t>
                  </w:r>
                </w:p>
              </w:tc>
            </w:tr>
            <w:tr w14:paraId="4C43ED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9" w:hRule="atLeast"/>
              </w:trPr>
              <w:tc>
                <w:tcPr>
                  <w:tcW w:w="775" w:type="dxa"/>
                  <w:vMerge w:val="restart"/>
                  <w:noWrap w:val="0"/>
                  <w:vAlign w:val="center"/>
                </w:tcPr>
                <w:p w14:paraId="5098107E">
                  <w:pPr>
                    <w:pStyle w:val="31"/>
                    <w:bidi w:val="0"/>
                    <w:jc w:val="center"/>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废水</w:t>
                  </w:r>
                </w:p>
              </w:tc>
              <w:tc>
                <w:tcPr>
                  <w:tcW w:w="1811" w:type="dxa"/>
                  <w:noWrap w:val="0"/>
                  <w:vAlign w:val="center"/>
                </w:tcPr>
                <w:p w14:paraId="7A4CE9F7">
                  <w:pPr>
                    <w:pStyle w:val="31"/>
                    <w:bidi w:val="0"/>
                    <w:jc w:val="center"/>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rPr>
                    <w:t>基槽开挖、港池疏浚</w:t>
                  </w:r>
                </w:p>
              </w:tc>
              <w:tc>
                <w:tcPr>
                  <w:tcW w:w="1448" w:type="dxa"/>
                  <w:noWrap w:val="0"/>
                  <w:vAlign w:val="center"/>
                </w:tcPr>
                <w:p w14:paraId="4B774E46">
                  <w:pPr>
                    <w:pStyle w:val="31"/>
                    <w:bidi w:val="0"/>
                    <w:jc w:val="center"/>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悬浮物</w:t>
                  </w:r>
                </w:p>
              </w:tc>
              <w:tc>
                <w:tcPr>
                  <w:tcW w:w="1231" w:type="dxa"/>
                  <w:noWrap w:val="0"/>
                  <w:vAlign w:val="center"/>
                </w:tcPr>
                <w:p w14:paraId="72A18496">
                  <w:pPr>
                    <w:pStyle w:val="31"/>
                    <w:bidi w:val="0"/>
                    <w:jc w:val="center"/>
                    <w:rPr>
                      <w:rFonts w:hint="default" w:ascii="Times New Roman" w:hAnsi="Times New Roman" w:eastAsia="宋体" w:cs="Times New Roman"/>
                      <w:color w:val="000000"/>
                      <w:highlight w:val="none"/>
                      <w:lang w:eastAsia="zh-CN"/>
                    </w:rPr>
                  </w:pPr>
                  <w:r>
                    <w:rPr>
                      <w:rFonts w:hint="default" w:ascii="Times New Roman" w:hAnsi="Times New Roman" w:cs="Times New Roman"/>
                      <w:color w:val="000000"/>
                      <w:highlight w:val="none"/>
                      <w:lang w:eastAsia="zh-CN"/>
                    </w:rPr>
                    <w:t>2.29kg/s</w:t>
                  </w:r>
                </w:p>
              </w:tc>
              <w:tc>
                <w:tcPr>
                  <w:tcW w:w="2972" w:type="dxa"/>
                  <w:noWrap w:val="0"/>
                  <w:vAlign w:val="center"/>
                </w:tcPr>
                <w:p w14:paraId="37D0831F">
                  <w:pPr>
                    <w:pStyle w:val="31"/>
                    <w:bidi w:val="0"/>
                    <w:jc w:val="center"/>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自然扩散</w:t>
                  </w:r>
                </w:p>
              </w:tc>
            </w:tr>
            <w:tr w14:paraId="545D8F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9" w:hRule="atLeast"/>
              </w:trPr>
              <w:tc>
                <w:tcPr>
                  <w:tcW w:w="775" w:type="dxa"/>
                  <w:vMerge w:val="continue"/>
                  <w:noWrap w:val="0"/>
                  <w:vAlign w:val="center"/>
                </w:tcPr>
                <w:p w14:paraId="05A1F655">
                  <w:pPr>
                    <w:pStyle w:val="31"/>
                    <w:bidi w:val="0"/>
                    <w:jc w:val="center"/>
                    <w:rPr>
                      <w:rFonts w:hint="default" w:ascii="Times New Roman" w:hAnsi="Times New Roman" w:cs="Times New Roman"/>
                      <w:color w:val="000000"/>
                      <w:highlight w:val="none"/>
                    </w:rPr>
                  </w:pPr>
                </w:p>
              </w:tc>
              <w:tc>
                <w:tcPr>
                  <w:tcW w:w="1811" w:type="dxa"/>
                  <w:noWrap w:val="0"/>
                  <w:vAlign w:val="center"/>
                </w:tcPr>
                <w:p w14:paraId="36D14645">
                  <w:pPr>
                    <w:pStyle w:val="31"/>
                    <w:bidi w:val="0"/>
                    <w:jc w:val="center"/>
                    <w:rPr>
                      <w:rFonts w:hint="default" w:ascii="Times New Roman" w:hAnsi="Times New Roman" w:cs="Times New Roman"/>
                      <w:color w:val="000000"/>
                      <w:highlight w:val="none"/>
                    </w:rPr>
                  </w:pPr>
                  <w:r>
                    <w:rPr>
                      <w:rFonts w:hint="default" w:ascii="Times New Roman" w:hAnsi="Times New Roman" w:cs="Times New Roman"/>
                      <w:color w:val="000000"/>
                      <w:highlight w:val="none"/>
                    </w:rPr>
                    <w:t>抛石入海</w:t>
                  </w:r>
                </w:p>
              </w:tc>
              <w:tc>
                <w:tcPr>
                  <w:tcW w:w="1448" w:type="dxa"/>
                  <w:noWrap w:val="0"/>
                  <w:vAlign w:val="center"/>
                </w:tcPr>
                <w:p w14:paraId="1AF506E7">
                  <w:pPr>
                    <w:pStyle w:val="31"/>
                    <w:bidi w:val="0"/>
                    <w:jc w:val="center"/>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悬浮物</w:t>
                  </w:r>
                </w:p>
              </w:tc>
              <w:tc>
                <w:tcPr>
                  <w:tcW w:w="1231" w:type="dxa"/>
                  <w:noWrap w:val="0"/>
                  <w:vAlign w:val="center"/>
                </w:tcPr>
                <w:p w14:paraId="00E22677">
                  <w:pPr>
                    <w:pStyle w:val="31"/>
                    <w:bidi w:val="0"/>
                    <w:jc w:val="center"/>
                    <w:rPr>
                      <w:rFonts w:hint="default" w:ascii="Times New Roman" w:hAnsi="Times New Roman" w:eastAsia="宋体" w:cs="Times New Roman"/>
                      <w:color w:val="000000"/>
                      <w:highlight w:val="none"/>
                      <w:lang w:eastAsia="zh-CN"/>
                    </w:rPr>
                  </w:pPr>
                  <w:r>
                    <w:rPr>
                      <w:rFonts w:hint="default" w:ascii="Times New Roman" w:hAnsi="Times New Roman" w:cs="Times New Roman"/>
                      <w:color w:val="000000"/>
                      <w:highlight w:val="none"/>
                      <w:lang w:eastAsia="zh-CN"/>
                    </w:rPr>
                    <w:t>1.80kg/s</w:t>
                  </w:r>
                </w:p>
              </w:tc>
              <w:tc>
                <w:tcPr>
                  <w:tcW w:w="2972" w:type="dxa"/>
                  <w:noWrap w:val="0"/>
                  <w:vAlign w:val="center"/>
                </w:tcPr>
                <w:p w14:paraId="73C3804A">
                  <w:pPr>
                    <w:pStyle w:val="31"/>
                    <w:bidi w:val="0"/>
                    <w:jc w:val="center"/>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自然扩散</w:t>
                  </w:r>
                </w:p>
              </w:tc>
            </w:tr>
            <w:tr w14:paraId="69A35E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9" w:hRule="atLeast"/>
              </w:trPr>
              <w:tc>
                <w:tcPr>
                  <w:tcW w:w="775" w:type="dxa"/>
                  <w:vMerge w:val="continue"/>
                  <w:noWrap w:val="0"/>
                  <w:vAlign w:val="center"/>
                </w:tcPr>
                <w:p w14:paraId="036C9975">
                  <w:pPr>
                    <w:pStyle w:val="31"/>
                    <w:bidi w:val="0"/>
                    <w:jc w:val="center"/>
                    <w:rPr>
                      <w:rFonts w:hint="default" w:ascii="Times New Roman" w:hAnsi="Times New Roman" w:cs="Times New Roman"/>
                      <w:color w:val="000000"/>
                      <w:highlight w:val="none"/>
                    </w:rPr>
                  </w:pPr>
                </w:p>
              </w:tc>
              <w:tc>
                <w:tcPr>
                  <w:tcW w:w="1811" w:type="dxa"/>
                  <w:noWrap w:val="0"/>
                  <w:vAlign w:val="center"/>
                </w:tcPr>
                <w:p w14:paraId="4F900219">
                  <w:pPr>
                    <w:pStyle w:val="31"/>
                    <w:bidi w:val="0"/>
                    <w:jc w:val="center"/>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施工船舶含油污水</w:t>
                  </w:r>
                </w:p>
              </w:tc>
              <w:tc>
                <w:tcPr>
                  <w:tcW w:w="1448" w:type="dxa"/>
                  <w:noWrap w:val="0"/>
                  <w:vAlign w:val="center"/>
                </w:tcPr>
                <w:p w14:paraId="1809C493">
                  <w:pPr>
                    <w:pStyle w:val="31"/>
                    <w:bidi w:val="0"/>
                    <w:jc w:val="center"/>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石油类</w:t>
                  </w:r>
                </w:p>
              </w:tc>
              <w:tc>
                <w:tcPr>
                  <w:tcW w:w="1231" w:type="dxa"/>
                  <w:noWrap w:val="0"/>
                  <w:vAlign w:val="center"/>
                </w:tcPr>
                <w:p w14:paraId="5A39D108">
                  <w:pPr>
                    <w:pStyle w:val="31"/>
                    <w:bidi w:val="0"/>
                    <w:jc w:val="center"/>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2.7</w:t>
                  </w:r>
                  <w:r>
                    <w:rPr>
                      <w:rFonts w:hint="default" w:ascii="Times New Roman" w:hAnsi="Times New Roman" w:cs="Times New Roman"/>
                      <w:b w:val="0"/>
                      <w:bCs w:val="0"/>
                      <w:color w:val="000000"/>
                      <w:highlight w:val="none"/>
                      <w:lang w:eastAsia="en-US"/>
                    </w:rPr>
                    <w:t>m</w:t>
                  </w:r>
                  <w:r>
                    <w:rPr>
                      <w:rFonts w:hint="default" w:ascii="Times New Roman" w:hAnsi="Times New Roman" w:cs="Times New Roman"/>
                      <w:b w:val="0"/>
                      <w:bCs w:val="0"/>
                      <w:color w:val="000000"/>
                      <w:highlight w:val="none"/>
                      <w:vertAlign w:val="superscript"/>
                      <w:lang w:eastAsia="en-US"/>
                    </w:rPr>
                    <w:t>3</w:t>
                  </w:r>
                  <w:r>
                    <w:rPr>
                      <w:rFonts w:hint="default" w:ascii="Times New Roman" w:hAnsi="Times New Roman" w:cs="Times New Roman"/>
                      <w:b w:val="0"/>
                      <w:bCs w:val="0"/>
                      <w:color w:val="000000"/>
                      <w:highlight w:val="none"/>
                      <w:lang w:eastAsia="en-US"/>
                    </w:rPr>
                    <w:t>/d</w:t>
                  </w:r>
                </w:p>
              </w:tc>
              <w:tc>
                <w:tcPr>
                  <w:tcW w:w="2972" w:type="dxa"/>
                  <w:vMerge w:val="restart"/>
                  <w:noWrap w:val="0"/>
                  <w:vAlign w:val="center"/>
                </w:tcPr>
                <w:p w14:paraId="3509538A">
                  <w:pPr>
                    <w:pStyle w:val="31"/>
                    <w:bidi w:val="0"/>
                    <w:jc w:val="center"/>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不排放，</w:t>
                  </w:r>
                  <w:r>
                    <w:rPr>
                      <w:rFonts w:hint="default" w:ascii="Times New Roman" w:hAnsi="Times New Roman" w:cs="Times New Roman"/>
                      <w:color w:val="000000"/>
                      <w:highlight w:val="none"/>
                    </w:rPr>
                    <w:t>由海事部门认可的船舶污染物接收单位接收处理</w:t>
                  </w:r>
                </w:p>
              </w:tc>
            </w:tr>
            <w:tr w14:paraId="4AB23A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3" w:hRule="atLeast"/>
              </w:trPr>
              <w:tc>
                <w:tcPr>
                  <w:tcW w:w="775" w:type="dxa"/>
                  <w:vMerge w:val="continue"/>
                  <w:noWrap w:val="0"/>
                  <w:vAlign w:val="center"/>
                </w:tcPr>
                <w:p w14:paraId="67C9C01D">
                  <w:pPr>
                    <w:pStyle w:val="31"/>
                    <w:bidi w:val="0"/>
                    <w:jc w:val="center"/>
                    <w:rPr>
                      <w:rFonts w:hint="default" w:ascii="Times New Roman" w:hAnsi="Times New Roman" w:cs="Times New Roman"/>
                      <w:color w:val="000000"/>
                      <w:highlight w:val="none"/>
                    </w:rPr>
                  </w:pPr>
                </w:p>
              </w:tc>
              <w:tc>
                <w:tcPr>
                  <w:tcW w:w="1811" w:type="dxa"/>
                  <w:noWrap w:val="0"/>
                  <w:vAlign w:val="center"/>
                </w:tcPr>
                <w:p w14:paraId="4E311984">
                  <w:pPr>
                    <w:pStyle w:val="31"/>
                    <w:bidi w:val="0"/>
                    <w:jc w:val="center"/>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施工船舶生活污水</w:t>
                  </w:r>
                </w:p>
              </w:tc>
              <w:tc>
                <w:tcPr>
                  <w:tcW w:w="1448" w:type="dxa"/>
                  <w:noWrap w:val="0"/>
                  <w:vAlign w:val="center"/>
                </w:tcPr>
                <w:p w14:paraId="2580870E">
                  <w:pPr>
                    <w:pStyle w:val="31"/>
                    <w:bidi w:val="0"/>
                    <w:ind w:firstLine="0" w:firstLineChars="0"/>
                    <w:jc w:val="center"/>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COD</w:t>
                  </w:r>
                  <w:r>
                    <w:rPr>
                      <w:rFonts w:hint="default" w:ascii="Times New Roman" w:hAnsi="Times New Roman" w:cs="Times New Roman"/>
                      <w:color w:val="000000"/>
                      <w:highlight w:val="none"/>
                      <w:vertAlign w:val="subscript"/>
                      <w:lang w:val="en-US" w:eastAsia="zh-CN"/>
                    </w:rPr>
                    <w:t>Cr</w:t>
                  </w:r>
                  <w:r>
                    <w:rPr>
                      <w:rFonts w:hint="default" w:ascii="Times New Roman" w:hAnsi="Times New Roman" w:cs="Times New Roman"/>
                      <w:color w:val="000000"/>
                      <w:highlight w:val="none"/>
                      <w:lang w:val="en-US" w:eastAsia="zh-CN"/>
                    </w:rPr>
                    <w:t>、BOD</w:t>
                  </w:r>
                  <w:r>
                    <w:rPr>
                      <w:rFonts w:hint="default" w:ascii="Times New Roman" w:hAnsi="Times New Roman" w:cs="Times New Roman"/>
                      <w:color w:val="000000"/>
                      <w:highlight w:val="none"/>
                      <w:vertAlign w:val="subscript"/>
                      <w:lang w:val="en-US" w:eastAsia="zh-CN"/>
                    </w:rPr>
                    <w:t>5</w:t>
                  </w:r>
                  <w:r>
                    <w:rPr>
                      <w:rFonts w:hint="default" w:ascii="Times New Roman" w:hAnsi="Times New Roman" w:cs="Times New Roman"/>
                      <w:color w:val="000000"/>
                      <w:highlight w:val="none"/>
                      <w:lang w:val="en-US" w:eastAsia="zh-CN"/>
                    </w:rPr>
                    <w:t>、SS、NH</w:t>
                  </w:r>
                  <w:r>
                    <w:rPr>
                      <w:rFonts w:hint="default" w:ascii="Times New Roman" w:hAnsi="Times New Roman" w:cs="Times New Roman"/>
                      <w:color w:val="000000"/>
                      <w:highlight w:val="none"/>
                      <w:vertAlign w:val="subscript"/>
                      <w:lang w:val="en-US" w:eastAsia="zh-CN"/>
                    </w:rPr>
                    <w:t>3</w:t>
                  </w:r>
                  <w:r>
                    <w:rPr>
                      <w:rFonts w:hint="default" w:ascii="Times New Roman" w:hAnsi="Times New Roman" w:cs="Times New Roman"/>
                      <w:color w:val="000000"/>
                      <w:highlight w:val="none"/>
                      <w:lang w:val="en-US" w:eastAsia="zh-CN"/>
                    </w:rPr>
                    <w:t>-N</w:t>
                  </w:r>
                </w:p>
              </w:tc>
              <w:tc>
                <w:tcPr>
                  <w:tcW w:w="1231" w:type="dxa"/>
                  <w:noWrap w:val="0"/>
                  <w:vAlign w:val="center"/>
                </w:tcPr>
                <w:p w14:paraId="238AECAF">
                  <w:pPr>
                    <w:pStyle w:val="31"/>
                    <w:bidi w:val="0"/>
                    <w:jc w:val="center"/>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1.5</w:t>
                  </w:r>
                  <w:r>
                    <w:rPr>
                      <w:rFonts w:hint="default" w:ascii="Times New Roman" w:hAnsi="Times New Roman" w:cs="Times New Roman"/>
                      <w:b w:val="0"/>
                      <w:bCs w:val="0"/>
                      <w:color w:val="000000"/>
                      <w:highlight w:val="none"/>
                      <w:lang w:eastAsia="en-US"/>
                    </w:rPr>
                    <w:t>m</w:t>
                  </w:r>
                  <w:r>
                    <w:rPr>
                      <w:rFonts w:hint="default" w:ascii="Times New Roman" w:hAnsi="Times New Roman" w:cs="Times New Roman"/>
                      <w:b w:val="0"/>
                      <w:bCs w:val="0"/>
                      <w:color w:val="000000"/>
                      <w:highlight w:val="none"/>
                      <w:vertAlign w:val="superscript"/>
                      <w:lang w:eastAsia="en-US"/>
                    </w:rPr>
                    <w:t>3</w:t>
                  </w:r>
                  <w:r>
                    <w:rPr>
                      <w:rFonts w:hint="default" w:ascii="Times New Roman" w:hAnsi="Times New Roman" w:cs="Times New Roman"/>
                      <w:b w:val="0"/>
                      <w:bCs w:val="0"/>
                      <w:color w:val="000000"/>
                      <w:highlight w:val="none"/>
                      <w:lang w:eastAsia="en-US"/>
                    </w:rPr>
                    <w:t>/d</w:t>
                  </w:r>
                </w:p>
              </w:tc>
              <w:tc>
                <w:tcPr>
                  <w:tcW w:w="2972" w:type="dxa"/>
                  <w:vMerge w:val="continue"/>
                  <w:noWrap w:val="0"/>
                  <w:vAlign w:val="center"/>
                </w:tcPr>
                <w:p w14:paraId="3A917B9E">
                  <w:pPr>
                    <w:pStyle w:val="31"/>
                    <w:bidi w:val="0"/>
                    <w:jc w:val="center"/>
                    <w:rPr>
                      <w:rFonts w:hint="default" w:ascii="Times New Roman" w:hAnsi="Times New Roman" w:cs="Times New Roman"/>
                      <w:color w:val="000000"/>
                      <w:highlight w:val="none"/>
                    </w:rPr>
                  </w:pPr>
                </w:p>
              </w:tc>
            </w:tr>
            <w:tr w14:paraId="37C4D4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3" w:hRule="atLeast"/>
              </w:trPr>
              <w:tc>
                <w:tcPr>
                  <w:tcW w:w="775" w:type="dxa"/>
                  <w:vMerge w:val="continue"/>
                  <w:noWrap w:val="0"/>
                  <w:vAlign w:val="center"/>
                </w:tcPr>
                <w:p w14:paraId="58B64BE5">
                  <w:pPr>
                    <w:pStyle w:val="31"/>
                    <w:bidi w:val="0"/>
                    <w:jc w:val="center"/>
                    <w:rPr>
                      <w:rFonts w:hint="default" w:ascii="Times New Roman" w:hAnsi="Times New Roman" w:cs="Times New Roman"/>
                      <w:color w:val="000000"/>
                      <w:highlight w:val="none"/>
                    </w:rPr>
                  </w:pPr>
                </w:p>
              </w:tc>
              <w:tc>
                <w:tcPr>
                  <w:tcW w:w="1811" w:type="dxa"/>
                  <w:noWrap w:val="0"/>
                  <w:vAlign w:val="center"/>
                </w:tcPr>
                <w:p w14:paraId="34F1FDE5">
                  <w:pPr>
                    <w:pStyle w:val="31"/>
                    <w:bidi w:val="0"/>
                    <w:jc w:val="center"/>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陆域施工生活污水</w:t>
                  </w:r>
                </w:p>
              </w:tc>
              <w:tc>
                <w:tcPr>
                  <w:tcW w:w="1448" w:type="dxa"/>
                  <w:noWrap w:val="0"/>
                  <w:vAlign w:val="center"/>
                </w:tcPr>
                <w:p w14:paraId="41C5A7E5">
                  <w:pPr>
                    <w:pStyle w:val="31"/>
                    <w:bidi w:val="0"/>
                    <w:ind w:firstLine="0" w:firstLineChars="0"/>
                    <w:jc w:val="center"/>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COD</w:t>
                  </w:r>
                  <w:r>
                    <w:rPr>
                      <w:rFonts w:hint="default" w:ascii="Times New Roman" w:hAnsi="Times New Roman" w:cs="Times New Roman"/>
                      <w:color w:val="000000"/>
                      <w:highlight w:val="none"/>
                      <w:vertAlign w:val="subscript"/>
                      <w:lang w:val="en-US" w:eastAsia="zh-CN"/>
                    </w:rPr>
                    <w:t>Cr</w:t>
                  </w:r>
                  <w:r>
                    <w:rPr>
                      <w:rFonts w:hint="default" w:ascii="Times New Roman" w:hAnsi="Times New Roman" w:cs="Times New Roman"/>
                      <w:color w:val="000000"/>
                      <w:highlight w:val="none"/>
                      <w:lang w:val="en-US" w:eastAsia="zh-CN"/>
                    </w:rPr>
                    <w:t>、BOD</w:t>
                  </w:r>
                  <w:r>
                    <w:rPr>
                      <w:rFonts w:hint="default" w:ascii="Times New Roman" w:hAnsi="Times New Roman" w:cs="Times New Roman"/>
                      <w:color w:val="000000"/>
                      <w:highlight w:val="none"/>
                      <w:vertAlign w:val="subscript"/>
                      <w:lang w:val="en-US" w:eastAsia="zh-CN"/>
                    </w:rPr>
                    <w:t>5</w:t>
                  </w:r>
                  <w:r>
                    <w:rPr>
                      <w:rFonts w:hint="default" w:ascii="Times New Roman" w:hAnsi="Times New Roman" w:cs="Times New Roman"/>
                      <w:color w:val="000000"/>
                      <w:highlight w:val="none"/>
                      <w:lang w:val="en-US" w:eastAsia="zh-CN"/>
                    </w:rPr>
                    <w:t>、SS、NH</w:t>
                  </w:r>
                  <w:r>
                    <w:rPr>
                      <w:rFonts w:hint="default" w:ascii="Times New Roman" w:hAnsi="Times New Roman" w:cs="Times New Roman"/>
                      <w:color w:val="000000"/>
                      <w:highlight w:val="none"/>
                      <w:vertAlign w:val="subscript"/>
                      <w:lang w:val="en-US" w:eastAsia="zh-CN"/>
                    </w:rPr>
                    <w:t>3</w:t>
                  </w:r>
                  <w:r>
                    <w:rPr>
                      <w:rFonts w:hint="default" w:ascii="Times New Roman" w:hAnsi="Times New Roman" w:cs="Times New Roman"/>
                      <w:color w:val="000000"/>
                      <w:highlight w:val="none"/>
                      <w:lang w:val="en-US" w:eastAsia="zh-CN"/>
                    </w:rPr>
                    <w:t>-N</w:t>
                  </w:r>
                </w:p>
              </w:tc>
              <w:tc>
                <w:tcPr>
                  <w:tcW w:w="1231" w:type="dxa"/>
                  <w:noWrap w:val="0"/>
                  <w:vAlign w:val="center"/>
                </w:tcPr>
                <w:p w14:paraId="57DFC7BC">
                  <w:pPr>
                    <w:pStyle w:val="31"/>
                    <w:bidi w:val="0"/>
                    <w:jc w:val="center"/>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1.25</w:t>
                  </w:r>
                  <w:r>
                    <w:rPr>
                      <w:rFonts w:hint="default" w:ascii="Times New Roman" w:hAnsi="Times New Roman" w:cs="Times New Roman"/>
                      <w:b w:val="0"/>
                      <w:bCs w:val="0"/>
                      <w:color w:val="000000"/>
                      <w:highlight w:val="none"/>
                      <w:lang w:eastAsia="en-US"/>
                    </w:rPr>
                    <w:t>m</w:t>
                  </w:r>
                  <w:r>
                    <w:rPr>
                      <w:rFonts w:hint="default" w:ascii="Times New Roman" w:hAnsi="Times New Roman" w:cs="Times New Roman"/>
                      <w:b w:val="0"/>
                      <w:bCs w:val="0"/>
                      <w:color w:val="000000"/>
                      <w:highlight w:val="none"/>
                      <w:vertAlign w:val="superscript"/>
                      <w:lang w:eastAsia="en-US"/>
                    </w:rPr>
                    <w:t>3</w:t>
                  </w:r>
                  <w:r>
                    <w:rPr>
                      <w:rFonts w:hint="default" w:ascii="Times New Roman" w:hAnsi="Times New Roman" w:cs="Times New Roman"/>
                      <w:b w:val="0"/>
                      <w:bCs w:val="0"/>
                      <w:color w:val="000000"/>
                      <w:highlight w:val="none"/>
                      <w:lang w:eastAsia="en-US"/>
                    </w:rPr>
                    <w:t>/d</w:t>
                  </w:r>
                </w:p>
              </w:tc>
              <w:tc>
                <w:tcPr>
                  <w:tcW w:w="2972" w:type="dxa"/>
                  <w:noWrap w:val="0"/>
                  <w:vAlign w:val="center"/>
                </w:tcPr>
                <w:p w14:paraId="60FF6E90">
                  <w:pPr>
                    <w:pStyle w:val="31"/>
                    <w:bidi w:val="0"/>
                    <w:jc w:val="center"/>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依托附近村庄现有的化粪池处理</w:t>
                  </w:r>
                </w:p>
              </w:tc>
            </w:tr>
            <w:tr w14:paraId="3133B7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3" w:hRule="atLeast"/>
              </w:trPr>
              <w:tc>
                <w:tcPr>
                  <w:tcW w:w="775" w:type="dxa"/>
                  <w:vMerge w:val="continue"/>
                  <w:noWrap w:val="0"/>
                  <w:vAlign w:val="center"/>
                </w:tcPr>
                <w:p w14:paraId="2973FB82">
                  <w:pPr>
                    <w:pStyle w:val="31"/>
                    <w:bidi w:val="0"/>
                    <w:jc w:val="center"/>
                    <w:rPr>
                      <w:rFonts w:hint="default" w:ascii="Times New Roman" w:hAnsi="Times New Roman" w:cs="Times New Roman"/>
                      <w:color w:val="000000"/>
                      <w:highlight w:val="none"/>
                    </w:rPr>
                  </w:pPr>
                </w:p>
              </w:tc>
              <w:tc>
                <w:tcPr>
                  <w:tcW w:w="1811" w:type="dxa"/>
                  <w:noWrap w:val="0"/>
                  <w:vAlign w:val="center"/>
                </w:tcPr>
                <w:p w14:paraId="527858AA">
                  <w:pPr>
                    <w:pStyle w:val="31"/>
                    <w:bidi w:val="0"/>
                    <w:jc w:val="center"/>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施工</w:t>
                  </w:r>
                  <w:r>
                    <w:rPr>
                      <w:rFonts w:hint="default" w:ascii="Times New Roman" w:hAnsi="Times New Roman" w:cs="Times New Roman"/>
                      <w:color w:val="000000"/>
                      <w:highlight w:val="none"/>
                      <w:lang w:eastAsia="zh-CN"/>
                    </w:rPr>
                    <w:t>机械设备冲洗废水</w:t>
                  </w:r>
                </w:p>
              </w:tc>
              <w:tc>
                <w:tcPr>
                  <w:tcW w:w="1448" w:type="dxa"/>
                  <w:noWrap w:val="0"/>
                  <w:vAlign w:val="center"/>
                </w:tcPr>
                <w:p w14:paraId="40689C54">
                  <w:pPr>
                    <w:pStyle w:val="31"/>
                    <w:bidi w:val="0"/>
                    <w:jc w:val="center"/>
                    <w:rPr>
                      <w:rFonts w:hint="default" w:ascii="Times New Roman" w:hAnsi="Times New Roman" w:cs="Times New Roman"/>
                      <w:color w:val="000000"/>
                      <w:highlight w:val="none"/>
                    </w:rPr>
                  </w:pPr>
                  <w:r>
                    <w:rPr>
                      <w:rFonts w:hint="default" w:ascii="Times New Roman" w:hAnsi="Times New Roman" w:cs="Times New Roman"/>
                      <w:color w:val="000000"/>
                      <w:highlight w:val="none"/>
                    </w:rPr>
                    <w:t>SS、石油类</w:t>
                  </w:r>
                </w:p>
              </w:tc>
              <w:tc>
                <w:tcPr>
                  <w:tcW w:w="1231" w:type="dxa"/>
                  <w:noWrap w:val="0"/>
                  <w:vAlign w:val="center"/>
                </w:tcPr>
                <w:p w14:paraId="67888B71">
                  <w:pPr>
                    <w:pStyle w:val="31"/>
                    <w:bidi w:val="0"/>
                    <w:jc w:val="center"/>
                    <w:rPr>
                      <w:rFonts w:hint="default" w:ascii="Times New Roman" w:hAnsi="Times New Roman" w:cs="Times New Roman"/>
                      <w:color w:val="000000"/>
                      <w:highlight w:val="none"/>
                    </w:rPr>
                  </w:pPr>
                  <w:r>
                    <w:rPr>
                      <w:rFonts w:hint="default" w:ascii="Times New Roman" w:hAnsi="Times New Roman" w:cs="Times New Roman"/>
                      <w:color w:val="000000"/>
                      <w:highlight w:val="none"/>
                    </w:rPr>
                    <w:t>8.0m</w:t>
                  </w:r>
                  <w:r>
                    <w:rPr>
                      <w:rFonts w:hint="default" w:ascii="Times New Roman" w:hAnsi="Times New Roman" w:cs="Times New Roman"/>
                      <w:color w:val="000000"/>
                      <w:highlight w:val="none"/>
                      <w:vertAlign w:val="superscript"/>
                    </w:rPr>
                    <w:t>3</w:t>
                  </w:r>
                  <w:r>
                    <w:rPr>
                      <w:rFonts w:hint="default" w:ascii="Times New Roman" w:hAnsi="Times New Roman" w:cs="Times New Roman"/>
                      <w:color w:val="000000"/>
                      <w:highlight w:val="none"/>
                    </w:rPr>
                    <w:t>/d</w:t>
                  </w:r>
                </w:p>
              </w:tc>
              <w:tc>
                <w:tcPr>
                  <w:tcW w:w="2972" w:type="dxa"/>
                  <w:noWrap w:val="0"/>
                  <w:vAlign w:val="center"/>
                </w:tcPr>
                <w:p w14:paraId="3FAE4CD0">
                  <w:pPr>
                    <w:pStyle w:val="31"/>
                    <w:bidi w:val="0"/>
                    <w:jc w:val="center"/>
                    <w:rPr>
                      <w:rFonts w:hint="default" w:ascii="Times New Roman" w:hAnsi="Times New Roman" w:cs="Times New Roman"/>
                      <w:color w:val="000000"/>
                      <w:highlight w:val="none"/>
                    </w:rPr>
                  </w:pPr>
                  <w:r>
                    <w:rPr>
                      <w:rFonts w:hint="default" w:ascii="Times New Roman" w:hAnsi="Times New Roman" w:cs="Times New Roman"/>
                      <w:color w:val="000000"/>
                      <w:highlight w:val="none"/>
                    </w:rPr>
                    <w:t>经隔油沉淀处理后回用于设备冲洗、施工场地喷洒降尘用水</w:t>
                  </w:r>
                </w:p>
              </w:tc>
            </w:tr>
            <w:tr w14:paraId="485A8E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9" w:hRule="atLeast"/>
              </w:trPr>
              <w:tc>
                <w:tcPr>
                  <w:tcW w:w="775" w:type="dxa"/>
                  <w:vMerge w:val="restart"/>
                  <w:noWrap w:val="0"/>
                  <w:vAlign w:val="center"/>
                </w:tcPr>
                <w:p w14:paraId="69C8FDD5">
                  <w:pPr>
                    <w:pStyle w:val="31"/>
                    <w:bidi w:val="0"/>
                    <w:jc w:val="center"/>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废气</w:t>
                  </w:r>
                </w:p>
              </w:tc>
              <w:tc>
                <w:tcPr>
                  <w:tcW w:w="1811" w:type="dxa"/>
                  <w:noWrap w:val="0"/>
                  <w:vAlign w:val="center"/>
                </w:tcPr>
                <w:p w14:paraId="4B90A41E">
                  <w:pPr>
                    <w:pStyle w:val="31"/>
                    <w:bidi w:val="0"/>
                    <w:jc w:val="center"/>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施工扬尘</w:t>
                  </w:r>
                </w:p>
              </w:tc>
              <w:tc>
                <w:tcPr>
                  <w:tcW w:w="1448" w:type="dxa"/>
                  <w:noWrap w:val="0"/>
                  <w:vAlign w:val="center"/>
                </w:tcPr>
                <w:p w14:paraId="0EA9149E">
                  <w:pPr>
                    <w:pStyle w:val="31"/>
                    <w:bidi w:val="0"/>
                    <w:jc w:val="center"/>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TSP</w:t>
                  </w:r>
                </w:p>
              </w:tc>
              <w:tc>
                <w:tcPr>
                  <w:tcW w:w="1231" w:type="dxa"/>
                  <w:noWrap w:val="0"/>
                  <w:vAlign w:val="center"/>
                </w:tcPr>
                <w:p w14:paraId="06C6509F">
                  <w:pPr>
                    <w:pStyle w:val="31"/>
                    <w:bidi w:val="0"/>
                    <w:jc w:val="center"/>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w:t>
                  </w:r>
                </w:p>
              </w:tc>
              <w:tc>
                <w:tcPr>
                  <w:tcW w:w="2972" w:type="dxa"/>
                  <w:noWrap w:val="0"/>
                  <w:vAlign w:val="center"/>
                </w:tcPr>
                <w:p w14:paraId="0CAFB230">
                  <w:pPr>
                    <w:pStyle w:val="31"/>
                    <w:bidi w:val="0"/>
                    <w:jc w:val="center"/>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无组织排放</w:t>
                  </w:r>
                </w:p>
              </w:tc>
            </w:tr>
            <w:tr w14:paraId="12966E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3" w:hRule="atLeast"/>
              </w:trPr>
              <w:tc>
                <w:tcPr>
                  <w:tcW w:w="775" w:type="dxa"/>
                  <w:vMerge w:val="continue"/>
                  <w:noWrap w:val="0"/>
                  <w:vAlign w:val="center"/>
                </w:tcPr>
                <w:p w14:paraId="001F28AA">
                  <w:pPr>
                    <w:pStyle w:val="31"/>
                    <w:bidi w:val="0"/>
                    <w:jc w:val="center"/>
                    <w:rPr>
                      <w:rFonts w:hint="default" w:ascii="Times New Roman" w:hAnsi="Times New Roman" w:cs="Times New Roman"/>
                      <w:color w:val="000000"/>
                      <w:highlight w:val="none"/>
                    </w:rPr>
                  </w:pPr>
                </w:p>
              </w:tc>
              <w:tc>
                <w:tcPr>
                  <w:tcW w:w="1811" w:type="dxa"/>
                  <w:noWrap w:val="0"/>
                  <w:vAlign w:val="center"/>
                </w:tcPr>
                <w:p w14:paraId="02DB6D94">
                  <w:pPr>
                    <w:pStyle w:val="31"/>
                    <w:bidi w:val="0"/>
                    <w:jc w:val="center"/>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施工船舶、车辆及机械设备尾气</w:t>
                  </w:r>
                </w:p>
              </w:tc>
              <w:tc>
                <w:tcPr>
                  <w:tcW w:w="1448" w:type="dxa"/>
                  <w:noWrap w:val="0"/>
                  <w:vAlign w:val="center"/>
                </w:tcPr>
                <w:p w14:paraId="53CBDEC6">
                  <w:pPr>
                    <w:pStyle w:val="31"/>
                    <w:bidi w:val="0"/>
                    <w:jc w:val="center"/>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SO</w:t>
                  </w:r>
                  <w:r>
                    <w:rPr>
                      <w:rFonts w:hint="default" w:ascii="Times New Roman" w:hAnsi="Times New Roman" w:cs="Times New Roman"/>
                      <w:color w:val="000000"/>
                      <w:highlight w:val="none"/>
                      <w:vertAlign w:val="subscript"/>
                      <w:lang w:val="en-US" w:eastAsia="zh-CN"/>
                    </w:rPr>
                    <w:t>2</w:t>
                  </w:r>
                  <w:r>
                    <w:rPr>
                      <w:rFonts w:hint="default" w:ascii="Times New Roman" w:hAnsi="Times New Roman" w:cs="Times New Roman"/>
                      <w:color w:val="000000"/>
                      <w:highlight w:val="none"/>
                      <w:lang w:val="en-US" w:eastAsia="zh-CN"/>
                    </w:rPr>
                    <w:t>、NO</w:t>
                  </w:r>
                  <w:r>
                    <w:rPr>
                      <w:rFonts w:hint="default" w:ascii="Times New Roman" w:hAnsi="Times New Roman" w:cs="Times New Roman"/>
                      <w:color w:val="000000"/>
                      <w:highlight w:val="none"/>
                      <w:vertAlign w:val="subscript"/>
                      <w:lang w:val="en-US" w:eastAsia="zh-CN"/>
                    </w:rPr>
                    <w:t>X</w:t>
                  </w:r>
                  <w:r>
                    <w:rPr>
                      <w:rFonts w:hint="default" w:ascii="Times New Roman" w:hAnsi="Times New Roman" w:cs="Times New Roman"/>
                      <w:color w:val="000000"/>
                      <w:highlight w:val="none"/>
                      <w:lang w:val="en-US" w:eastAsia="zh-CN"/>
                    </w:rPr>
                    <w:t>、CO、颗粒物</w:t>
                  </w:r>
                </w:p>
              </w:tc>
              <w:tc>
                <w:tcPr>
                  <w:tcW w:w="1231" w:type="dxa"/>
                  <w:noWrap w:val="0"/>
                  <w:vAlign w:val="center"/>
                </w:tcPr>
                <w:p w14:paraId="305B8686">
                  <w:pPr>
                    <w:pStyle w:val="31"/>
                    <w:bidi w:val="0"/>
                    <w:jc w:val="center"/>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w:t>
                  </w:r>
                </w:p>
              </w:tc>
              <w:tc>
                <w:tcPr>
                  <w:tcW w:w="2972" w:type="dxa"/>
                  <w:noWrap w:val="0"/>
                  <w:vAlign w:val="center"/>
                </w:tcPr>
                <w:p w14:paraId="57284937">
                  <w:pPr>
                    <w:pStyle w:val="31"/>
                    <w:bidi w:val="0"/>
                    <w:jc w:val="center"/>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无组织排放</w:t>
                  </w:r>
                </w:p>
              </w:tc>
            </w:tr>
            <w:tr w14:paraId="5BC205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3" w:hRule="atLeast"/>
              </w:trPr>
              <w:tc>
                <w:tcPr>
                  <w:tcW w:w="775" w:type="dxa"/>
                  <w:noWrap w:val="0"/>
                  <w:vAlign w:val="center"/>
                </w:tcPr>
                <w:p w14:paraId="3CCDA5DD">
                  <w:pPr>
                    <w:pStyle w:val="31"/>
                    <w:bidi w:val="0"/>
                    <w:jc w:val="center"/>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噪声</w:t>
                  </w:r>
                </w:p>
              </w:tc>
              <w:tc>
                <w:tcPr>
                  <w:tcW w:w="1811" w:type="dxa"/>
                  <w:noWrap w:val="0"/>
                  <w:vAlign w:val="center"/>
                </w:tcPr>
                <w:p w14:paraId="3ED3189B">
                  <w:pPr>
                    <w:pStyle w:val="31"/>
                    <w:bidi w:val="0"/>
                    <w:jc w:val="center"/>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施工机械和船舶、运输车辆</w:t>
                  </w:r>
                </w:p>
              </w:tc>
              <w:tc>
                <w:tcPr>
                  <w:tcW w:w="1448" w:type="dxa"/>
                  <w:noWrap w:val="0"/>
                  <w:vAlign w:val="center"/>
                </w:tcPr>
                <w:p w14:paraId="291E8E6B">
                  <w:pPr>
                    <w:pStyle w:val="31"/>
                    <w:bidi w:val="0"/>
                    <w:jc w:val="center"/>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L</w:t>
                  </w:r>
                  <w:r>
                    <w:rPr>
                      <w:rFonts w:hint="default" w:ascii="Times New Roman" w:hAnsi="Times New Roman" w:cs="Times New Roman"/>
                      <w:color w:val="000000"/>
                      <w:highlight w:val="none"/>
                      <w:vertAlign w:val="subscript"/>
                      <w:lang w:val="en-US" w:eastAsia="zh-CN"/>
                    </w:rPr>
                    <w:t>Aeq</w:t>
                  </w:r>
                </w:p>
              </w:tc>
              <w:tc>
                <w:tcPr>
                  <w:tcW w:w="1231" w:type="dxa"/>
                  <w:noWrap w:val="0"/>
                  <w:vAlign w:val="center"/>
                </w:tcPr>
                <w:p w14:paraId="7288F2A0">
                  <w:pPr>
                    <w:pStyle w:val="31"/>
                    <w:bidi w:val="0"/>
                    <w:jc w:val="center"/>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70~95dB(A)</w:t>
                  </w:r>
                </w:p>
              </w:tc>
              <w:tc>
                <w:tcPr>
                  <w:tcW w:w="2972" w:type="dxa"/>
                  <w:noWrap w:val="0"/>
                  <w:vAlign w:val="center"/>
                </w:tcPr>
                <w:p w14:paraId="6DADFB00">
                  <w:pPr>
                    <w:pStyle w:val="31"/>
                    <w:bidi w:val="0"/>
                    <w:jc w:val="center"/>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自然衰减</w:t>
                  </w:r>
                </w:p>
              </w:tc>
            </w:tr>
            <w:tr w14:paraId="3A0C9D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5" w:hRule="atLeast"/>
              </w:trPr>
              <w:tc>
                <w:tcPr>
                  <w:tcW w:w="775" w:type="dxa"/>
                  <w:vMerge w:val="restart"/>
                  <w:noWrap w:val="0"/>
                  <w:vAlign w:val="center"/>
                </w:tcPr>
                <w:p w14:paraId="42C985D1">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固体</w:t>
                  </w:r>
                </w:p>
                <w:p w14:paraId="5CECC066">
                  <w:pPr>
                    <w:pStyle w:val="31"/>
                    <w:bidi w:val="0"/>
                    <w:jc w:val="center"/>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废物</w:t>
                  </w:r>
                </w:p>
              </w:tc>
              <w:tc>
                <w:tcPr>
                  <w:tcW w:w="1811" w:type="dxa"/>
                  <w:vMerge w:val="restart"/>
                  <w:noWrap w:val="0"/>
                  <w:vAlign w:val="center"/>
                </w:tcPr>
                <w:p w14:paraId="7261C307">
                  <w:pPr>
                    <w:pStyle w:val="31"/>
                    <w:bidi w:val="0"/>
                    <w:jc w:val="center"/>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施工船舶垃圾</w:t>
                  </w:r>
                </w:p>
              </w:tc>
              <w:tc>
                <w:tcPr>
                  <w:tcW w:w="1448" w:type="dxa"/>
                  <w:noWrap w:val="0"/>
                  <w:vAlign w:val="center"/>
                </w:tcPr>
                <w:p w14:paraId="25FED7E3">
                  <w:pPr>
                    <w:pStyle w:val="31"/>
                    <w:bidi w:val="0"/>
                    <w:jc w:val="center"/>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船舶生活垃圾</w:t>
                  </w:r>
                </w:p>
              </w:tc>
              <w:tc>
                <w:tcPr>
                  <w:tcW w:w="1231" w:type="dxa"/>
                  <w:noWrap w:val="0"/>
                  <w:vAlign w:val="center"/>
                </w:tcPr>
                <w:p w14:paraId="7A8C53A6">
                  <w:pPr>
                    <w:pStyle w:val="31"/>
                    <w:bidi w:val="0"/>
                    <w:jc w:val="center"/>
                    <w:rPr>
                      <w:rFonts w:hint="default" w:ascii="Times New Roman" w:hAnsi="Times New Roman" w:cs="Times New Roman"/>
                      <w:color w:val="000000"/>
                      <w:highlight w:val="none"/>
                    </w:rPr>
                  </w:pPr>
                  <w:r>
                    <w:rPr>
                      <w:rFonts w:hint="default" w:ascii="Times New Roman" w:hAnsi="Times New Roman" w:cs="Times New Roman"/>
                      <w:color w:val="000000"/>
                      <w:highlight w:val="none"/>
                    </w:rPr>
                    <w:t>30kg/d</w:t>
                  </w:r>
                </w:p>
              </w:tc>
              <w:tc>
                <w:tcPr>
                  <w:tcW w:w="2972" w:type="dxa"/>
                  <w:noWrap w:val="0"/>
                  <w:vAlign w:val="center"/>
                </w:tcPr>
                <w:p w14:paraId="597ED2CB">
                  <w:pPr>
                    <w:pStyle w:val="31"/>
                    <w:bidi w:val="0"/>
                    <w:jc w:val="center"/>
                    <w:rPr>
                      <w:rFonts w:hint="default" w:ascii="Times New Roman" w:hAnsi="Times New Roman" w:cs="Times New Roman"/>
                      <w:color w:val="000000"/>
                      <w:highlight w:val="none"/>
                    </w:rPr>
                  </w:pPr>
                  <w:r>
                    <w:rPr>
                      <w:rFonts w:hint="default" w:ascii="Times New Roman" w:hAnsi="Times New Roman" w:cs="Times New Roman"/>
                      <w:color w:val="000000"/>
                      <w:highlight w:val="none"/>
                    </w:rPr>
                    <w:t>船舶垃圾由海事部门认可的船舶污染物接收单位接收处理，</w:t>
                  </w:r>
                  <w:r>
                    <w:rPr>
                      <w:rFonts w:hint="default" w:ascii="Times New Roman" w:hAnsi="Times New Roman" w:cs="Times New Roman"/>
                      <w:color w:val="000000"/>
                      <w:highlight w:val="none"/>
                      <w:lang w:val="en-US" w:eastAsia="zh-CN"/>
                    </w:rPr>
                    <w:t>禁止在施工水域排放</w:t>
                  </w:r>
                </w:p>
              </w:tc>
            </w:tr>
            <w:tr w14:paraId="796BAA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7" w:hRule="atLeast"/>
              </w:trPr>
              <w:tc>
                <w:tcPr>
                  <w:tcW w:w="775" w:type="dxa"/>
                  <w:vMerge w:val="continue"/>
                  <w:noWrap w:val="0"/>
                  <w:vAlign w:val="center"/>
                </w:tcPr>
                <w:p w14:paraId="39AFE930">
                  <w:pPr>
                    <w:pStyle w:val="31"/>
                    <w:bidi w:val="0"/>
                    <w:jc w:val="center"/>
                    <w:rPr>
                      <w:rFonts w:hint="default" w:ascii="Times New Roman" w:hAnsi="Times New Roman" w:cs="Times New Roman"/>
                      <w:color w:val="000000"/>
                      <w:highlight w:val="none"/>
                    </w:rPr>
                  </w:pPr>
                </w:p>
              </w:tc>
              <w:tc>
                <w:tcPr>
                  <w:tcW w:w="1811" w:type="dxa"/>
                  <w:vMerge w:val="continue"/>
                  <w:noWrap w:val="0"/>
                  <w:vAlign w:val="center"/>
                </w:tcPr>
                <w:p w14:paraId="03AAC62A">
                  <w:pPr>
                    <w:pStyle w:val="31"/>
                    <w:bidi w:val="0"/>
                    <w:jc w:val="center"/>
                    <w:rPr>
                      <w:rFonts w:hint="default" w:ascii="Times New Roman" w:hAnsi="Times New Roman" w:cs="Times New Roman"/>
                      <w:color w:val="000000"/>
                      <w:highlight w:val="none"/>
                    </w:rPr>
                  </w:pPr>
                </w:p>
              </w:tc>
              <w:tc>
                <w:tcPr>
                  <w:tcW w:w="1448" w:type="dxa"/>
                  <w:noWrap w:val="0"/>
                  <w:vAlign w:val="center"/>
                </w:tcPr>
                <w:p w14:paraId="09691323">
                  <w:pPr>
                    <w:pStyle w:val="31"/>
                    <w:bidi w:val="0"/>
                    <w:jc w:val="center"/>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船舶检修废物</w:t>
                  </w:r>
                </w:p>
              </w:tc>
              <w:tc>
                <w:tcPr>
                  <w:tcW w:w="1231" w:type="dxa"/>
                  <w:noWrap w:val="0"/>
                  <w:vAlign w:val="center"/>
                </w:tcPr>
                <w:p w14:paraId="652A4C27">
                  <w:pPr>
                    <w:pStyle w:val="31"/>
                    <w:bidi w:val="0"/>
                    <w:jc w:val="center"/>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5</w:t>
                  </w:r>
                  <w:r>
                    <w:rPr>
                      <w:rFonts w:hint="default" w:ascii="Times New Roman" w:hAnsi="Times New Roman" w:cs="Times New Roman"/>
                      <w:color w:val="000000"/>
                      <w:highlight w:val="none"/>
                    </w:rPr>
                    <w:t>kg/d</w:t>
                  </w:r>
                </w:p>
              </w:tc>
              <w:tc>
                <w:tcPr>
                  <w:tcW w:w="2972" w:type="dxa"/>
                  <w:noWrap w:val="0"/>
                  <w:vAlign w:val="center"/>
                </w:tcPr>
                <w:p w14:paraId="3DA8DE62">
                  <w:pPr>
                    <w:pStyle w:val="31"/>
                    <w:bidi w:val="0"/>
                    <w:jc w:val="center"/>
                    <w:rPr>
                      <w:rFonts w:hint="default" w:ascii="Times New Roman" w:hAnsi="Times New Roman" w:eastAsia="宋体" w:cs="Times New Roman"/>
                      <w:color w:val="000000"/>
                      <w:highlight w:val="none"/>
                      <w:lang w:eastAsia="zh-CN"/>
                    </w:rPr>
                  </w:pPr>
                  <w:r>
                    <w:rPr>
                      <w:rFonts w:hint="default" w:ascii="Times New Roman" w:hAnsi="Times New Roman" w:cs="Times New Roman"/>
                      <w:color w:val="000000"/>
                      <w:highlight w:val="none"/>
                    </w:rPr>
                    <w:t>由船东按要求进行处理</w:t>
                  </w:r>
                  <w:r>
                    <w:rPr>
                      <w:rFonts w:hint="default" w:ascii="Times New Roman" w:hAnsi="Times New Roman" w:cs="Times New Roman"/>
                      <w:color w:val="000000"/>
                      <w:highlight w:val="none"/>
                      <w:lang w:eastAsia="zh-CN"/>
                    </w:rPr>
                    <w:t>，废机油需由有资质的单位接收和处置，含油抹布、手套由海事部门认可的船舶污染物接收单位接收处理，禁止在施工水域排放</w:t>
                  </w:r>
                </w:p>
              </w:tc>
            </w:tr>
            <w:tr w14:paraId="196CCF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3" w:hRule="atLeast"/>
              </w:trPr>
              <w:tc>
                <w:tcPr>
                  <w:tcW w:w="775" w:type="dxa"/>
                  <w:vMerge w:val="continue"/>
                  <w:noWrap w:val="0"/>
                  <w:vAlign w:val="center"/>
                </w:tcPr>
                <w:p w14:paraId="34816846">
                  <w:pPr>
                    <w:pStyle w:val="31"/>
                    <w:bidi w:val="0"/>
                    <w:jc w:val="center"/>
                    <w:rPr>
                      <w:rFonts w:hint="default" w:ascii="Times New Roman" w:hAnsi="Times New Roman" w:cs="Times New Roman"/>
                      <w:color w:val="000000"/>
                      <w:highlight w:val="none"/>
                    </w:rPr>
                  </w:pPr>
                </w:p>
              </w:tc>
              <w:tc>
                <w:tcPr>
                  <w:tcW w:w="1811" w:type="dxa"/>
                  <w:vMerge w:val="restart"/>
                  <w:noWrap w:val="0"/>
                  <w:vAlign w:val="center"/>
                </w:tcPr>
                <w:p w14:paraId="6A65F8FD">
                  <w:pPr>
                    <w:pStyle w:val="31"/>
                    <w:bidi w:val="0"/>
                    <w:jc w:val="center"/>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陆域施工垃圾</w:t>
                  </w:r>
                </w:p>
              </w:tc>
              <w:tc>
                <w:tcPr>
                  <w:tcW w:w="1448" w:type="dxa"/>
                  <w:noWrap w:val="0"/>
                  <w:vAlign w:val="center"/>
                </w:tcPr>
                <w:p w14:paraId="16B457D8">
                  <w:pPr>
                    <w:pStyle w:val="31"/>
                    <w:bidi w:val="0"/>
                    <w:jc w:val="center"/>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陆域施工生活垃圾</w:t>
                  </w:r>
                </w:p>
              </w:tc>
              <w:tc>
                <w:tcPr>
                  <w:tcW w:w="1231" w:type="dxa"/>
                  <w:noWrap w:val="0"/>
                  <w:vAlign w:val="center"/>
                </w:tcPr>
                <w:p w14:paraId="64193860">
                  <w:pPr>
                    <w:pStyle w:val="31"/>
                    <w:bidi w:val="0"/>
                    <w:jc w:val="center"/>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30</w:t>
                  </w:r>
                  <w:r>
                    <w:rPr>
                      <w:rFonts w:hint="default" w:ascii="Times New Roman" w:hAnsi="Times New Roman" w:cs="Times New Roman"/>
                      <w:color w:val="000000"/>
                      <w:highlight w:val="none"/>
                    </w:rPr>
                    <w:t>kg/d</w:t>
                  </w:r>
                </w:p>
              </w:tc>
              <w:tc>
                <w:tcPr>
                  <w:tcW w:w="2972" w:type="dxa"/>
                  <w:noWrap w:val="0"/>
                  <w:vAlign w:val="center"/>
                </w:tcPr>
                <w:p w14:paraId="1F4630EE">
                  <w:pPr>
                    <w:pStyle w:val="31"/>
                    <w:bidi w:val="0"/>
                    <w:jc w:val="center"/>
                    <w:rPr>
                      <w:rFonts w:hint="default" w:ascii="Times New Roman" w:hAnsi="Times New Roman" w:cs="Times New Roman"/>
                      <w:color w:val="000000"/>
                      <w:highlight w:val="none"/>
                    </w:rPr>
                  </w:pPr>
                  <w:r>
                    <w:rPr>
                      <w:rFonts w:hint="default" w:ascii="Times New Roman" w:hAnsi="Times New Roman" w:cs="Times New Roman"/>
                      <w:color w:val="000000"/>
                      <w:highlight w:val="none"/>
                    </w:rPr>
                    <w:t>由当地环卫部门清运处理</w:t>
                  </w:r>
                </w:p>
              </w:tc>
            </w:tr>
            <w:tr w14:paraId="03D7F3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5" w:hRule="atLeast"/>
              </w:trPr>
              <w:tc>
                <w:tcPr>
                  <w:tcW w:w="775" w:type="dxa"/>
                  <w:vMerge w:val="continue"/>
                  <w:noWrap w:val="0"/>
                  <w:vAlign w:val="center"/>
                </w:tcPr>
                <w:p w14:paraId="7BBD67F3">
                  <w:pPr>
                    <w:pStyle w:val="31"/>
                    <w:bidi w:val="0"/>
                    <w:jc w:val="center"/>
                    <w:rPr>
                      <w:rFonts w:hint="default" w:ascii="Times New Roman" w:hAnsi="Times New Roman" w:cs="Times New Roman"/>
                      <w:color w:val="000000"/>
                      <w:highlight w:val="none"/>
                    </w:rPr>
                  </w:pPr>
                </w:p>
              </w:tc>
              <w:tc>
                <w:tcPr>
                  <w:tcW w:w="1811" w:type="dxa"/>
                  <w:vMerge w:val="continue"/>
                  <w:noWrap w:val="0"/>
                  <w:vAlign w:val="center"/>
                </w:tcPr>
                <w:p w14:paraId="186B7393">
                  <w:pPr>
                    <w:pStyle w:val="31"/>
                    <w:bidi w:val="0"/>
                    <w:jc w:val="center"/>
                    <w:rPr>
                      <w:rFonts w:hint="default" w:ascii="Times New Roman" w:hAnsi="Times New Roman" w:cs="Times New Roman"/>
                      <w:color w:val="000000"/>
                      <w:highlight w:val="none"/>
                    </w:rPr>
                  </w:pPr>
                </w:p>
              </w:tc>
              <w:tc>
                <w:tcPr>
                  <w:tcW w:w="1448" w:type="dxa"/>
                  <w:noWrap w:val="0"/>
                  <w:vAlign w:val="center"/>
                </w:tcPr>
                <w:p w14:paraId="1AF1B515">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施工建筑垃圾</w:t>
                  </w:r>
                </w:p>
              </w:tc>
              <w:tc>
                <w:tcPr>
                  <w:tcW w:w="1231" w:type="dxa"/>
                  <w:noWrap w:val="0"/>
                  <w:vAlign w:val="center"/>
                </w:tcPr>
                <w:p w14:paraId="4638426A">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w:t>
                  </w:r>
                </w:p>
              </w:tc>
              <w:tc>
                <w:tcPr>
                  <w:tcW w:w="2972" w:type="dxa"/>
                  <w:noWrap w:val="0"/>
                  <w:vAlign w:val="center"/>
                </w:tcPr>
                <w:p w14:paraId="24163266">
                  <w:pPr>
                    <w:pStyle w:val="31"/>
                    <w:bidi w:val="0"/>
                    <w:jc w:val="center"/>
                    <w:rPr>
                      <w:rFonts w:hint="default" w:ascii="Times New Roman" w:hAnsi="Times New Roman" w:cs="Times New Roman"/>
                      <w:color w:val="000000"/>
                      <w:highlight w:val="none"/>
                    </w:rPr>
                  </w:pPr>
                  <w:r>
                    <w:rPr>
                      <w:rFonts w:hint="default" w:ascii="Times New Roman" w:hAnsi="Times New Roman" w:cs="Times New Roman"/>
                      <w:color w:val="000000"/>
                      <w:highlight w:val="none"/>
                    </w:rPr>
                    <w:t>大部分可回收利用，不可利用的垃圾统一收集后清运到固废</w:t>
                  </w:r>
                  <w:r>
                    <w:rPr>
                      <w:rFonts w:hint="default" w:ascii="Times New Roman" w:hAnsi="Times New Roman" w:cs="Times New Roman"/>
                      <w:color w:val="000000"/>
                      <w:highlight w:val="none"/>
                      <w:lang w:eastAsia="zh-CN"/>
                    </w:rPr>
                    <w:t>处理厂</w:t>
                  </w:r>
                  <w:r>
                    <w:rPr>
                      <w:rFonts w:hint="default" w:ascii="Times New Roman" w:hAnsi="Times New Roman" w:cs="Times New Roman"/>
                      <w:color w:val="000000"/>
                      <w:highlight w:val="none"/>
                    </w:rPr>
                    <w:t>处理</w:t>
                  </w:r>
                </w:p>
              </w:tc>
            </w:tr>
            <w:tr w14:paraId="3CA3B3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9" w:hRule="atLeast"/>
              </w:trPr>
              <w:tc>
                <w:tcPr>
                  <w:tcW w:w="775" w:type="dxa"/>
                  <w:vMerge w:val="continue"/>
                  <w:noWrap w:val="0"/>
                  <w:vAlign w:val="center"/>
                </w:tcPr>
                <w:p w14:paraId="73B6BC7B">
                  <w:pPr>
                    <w:pStyle w:val="31"/>
                    <w:bidi w:val="0"/>
                    <w:jc w:val="center"/>
                    <w:rPr>
                      <w:rFonts w:hint="default" w:ascii="Times New Roman" w:hAnsi="Times New Roman" w:cs="Times New Roman"/>
                      <w:color w:val="000000"/>
                      <w:highlight w:val="none"/>
                    </w:rPr>
                  </w:pPr>
                </w:p>
              </w:tc>
              <w:tc>
                <w:tcPr>
                  <w:tcW w:w="1811" w:type="dxa"/>
                  <w:noWrap w:val="0"/>
                  <w:vAlign w:val="center"/>
                </w:tcPr>
                <w:p w14:paraId="55B8FF6A">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隔油池含油污泥</w:t>
                  </w:r>
                </w:p>
              </w:tc>
              <w:tc>
                <w:tcPr>
                  <w:tcW w:w="1448" w:type="dxa"/>
                  <w:noWrap w:val="0"/>
                  <w:vAlign w:val="center"/>
                </w:tcPr>
                <w:p w14:paraId="19E2E24E">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含油污泥</w:t>
                  </w:r>
                </w:p>
              </w:tc>
              <w:tc>
                <w:tcPr>
                  <w:tcW w:w="1231" w:type="dxa"/>
                  <w:noWrap w:val="0"/>
                  <w:vAlign w:val="center"/>
                </w:tcPr>
                <w:p w14:paraId="30C12A34">
                  <w:pPr>
                    <w:pStyle w:val="31"/>
                    <w:bidi w:val="0"/>
                    <w:jc w:val="center"/>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1</w:t>
                  </w:r>
                  <w:r>
                    <w:rPr>
                      <w:rFonts w:hint="default" w:ascii="Times New Roman" w:hAnsi="Times New Roman" w:cs="Times New Roman"/>
                      <w:color w:val="000000"/>
                      <w:highlight w:val="none"/>
                    </w:rPr>
                    <w:t>kg/d</w:t>
                  </w:r>
                </w:p>
              </w:tc>
              <w:tc>
                <w:tcPr>
                  <w:tcW w:w="2972" w:type="dxa"/>
                  <w:noWrap w:val="0"/>
                  <w:vAlign w:val="center"/>
                </w:tcPr>
                <w:p w14:paraId="011407CF">
                  <w:pPr>
                    <w:pStyle w:val="31"/>
                    <w:bidi w:val="0"/>
                    <w:jc w:val="center"/>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由有资质的单位接收和处置</w:t>
                  </w:r>
                </w:p>
              </w:tc>
            </w:tr>
            <w:tr w14:paraId="1C2560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9" w:hRule="atLeast"/>
              </w:trPr>
              <w:tc>
                <w:tcPr>
                  <w:tcW w:w="775" w:type="dxa"/>
                  <w:vMerge w:val="continue"/>
                  <w:noWrap w:val="0"/>
                  <w:vAlign w:val="center"/>
                </w:tcPr>
                <w:p w14:paraId="29B3DE06">
                  <w:pPr>
                    <w:pStyle w:val="31"/>
                    <w:bidi w:val="0"/>
                    <w:jc w:val="center"/>
                    <w:rPr>
                      <w:rFonts w:hint="default" w:ascii="Times New Roman" w:hAnsi="Times New Roman" w:cs="Times New Roman"/>
                      <w:color w:val="000000"/>
                      <w:highlight w:val="none"/>
                    </w:rPr>
                  </w:pPr>
                </w:p>
              </w:tc>
              <w:tc>
                <w:tcPr>
                  <w:tcW w:w="1811" w:type="dxa"/>
                  <w:vMerge w:val="restart"/>
                  <w:noWrap w:val="0"/>
                  <w:vAlign w:val="center"/>
                </w:tcPr>
                <w:p w14:paraId="6C44B1DA">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基槽开挖弃方、疏浚物</w:t>
                  </w:r>
                </w:p>
              </w:tc>
              <w:tc>
                <w:tcPr>
                  <w:tcW w:w="1448" w:type="dxa"/>
                  <w:noWrap w:val="0"/>
                  <w:vAlign w:val="center"/>
                </w:tcPr>
                <w:p w14:paraId="6B19FFFE">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陆域形成</w:t>
                  </w:r>
                </w:p>
              </w:tc>
              <w:tc>
                <w:tcPr>
                  <w:tcW w:w="1231" w:type="dxa"/>
                  <w:noWrap w:val="0"/>
                  <w:vAlign w:val="center"/>
                </w:tcPr>
                <w:p w14:paraId="474DBF30">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511.44万m</w:t>
                  </w:r>
                  <w:r>
                    <w:rPr>
                      <w:rFonts w:hint="default" w:ascii="Times New Roman" w:hAnsi="Times New Roman" w:cs="Times New Roman"/>
                      <w:color w:val="000000"/>
                      <w:highlight w:val="none"/>
                      <w:vertAlign w:val="superscript"/>
                      <w:lang w:val="en-US" w:eastAsia="zh-CN"/>
                    </w:rPr>
                    <w:t>3</w:t>
                  </w:r>
                </w:p>
              </w:tc>
              <w:tc>
                <w:tcPr>
                  <w:tcW w:w="2972" w:type="dxa"/>
                  <w:vMerge w:val="restart"/>
                  <w:noWrap w:val="0"/>
                  <w:vAlign w:val="center"/>
                </w:tcPr>
                <w:p w14:paraId="2476FF8F">
                  <w:pPr>
                    <w:pStyle w:val="31"/>
                    <w:bidi w:val="0"/>
                    <w:jc w:val="center"/>
                    <w:rPr>
                      <w:rFonts w:hint="default" w:ascii="Times New Roman" w:hAnsi="Times New Roman" w:cs="Times New Roman"/>
                      <w:color w:val="000000"/>
                      <w:highlight w:val="none"/>
                    </w:rPr>
                  </w:pPr>
                  <w:r>
                    <w:rPr>
                      <w:rFonts w:hint="default" w:ascii="Times New Roman" w:hAnsi="Times New Roman" w:cs="Times New Roman"/>
                      <w:color w:val="000000"/>
                      <w:highlight w:val="none"/>
                    </w:rPr>
                    <w:t>由属地政府进行公开有偿化处置</w:t>
                  </w:r>
                </w:p>
              </w:tc>
            </w:tr>
            <w:tr w14:paraId="11FEF1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9" w:hRule="atLeast"/>
              </w:trPr>
              <w:tc>
                <w:tcPr>
                  <w:tcW w:w="775" w:type="dxa"/>
                  <w:vMerge w:val="continue"/>
                  <w:noWrap w:val="0"/>
                  <w:vAlign w:val="center"/>
                </w:tcPr>
                <w:p w14:paraId="3FD285C1">
                  <w:pPr>
                    <w:pStyle w:val="31"/>
                    <w:bidi w:val="0"/>
                    <w:jc w:val="center"/>
                    <w:rPr>
                      <w:rFonts w:hint="default" w:ascii="Times New Roman" w:hAnsi="Times New Roman" w:cs="Times New Roman"/>
                      <w:color w:val="000000"/>
                      <w:highlight w:val="none"/>
                    </w:rPr>
                  </w:pPr>
                </w:p>
              </w:tc>
              <w:tc>
                <w:tcPr>
                  <w:tcW w:w="1811" w:type="dxa"/>
                  <w:vMerge w:val="continue"/>
                  <w:noWrap w:val="0"/>
                  <w:vAlign w:val="center"/>
                </w:tcPr>
                <w:p w14:paraId="6D410A8B">
                  <w:pPr>
                    <w:pStyle w:val="31"/>
                    <w:bidi w:val="0"/>
                    <w:jc w:val="center"/>
                    <w:rPr>
                      <w:rFonts w:hint="default" w:ascii="Times New Roman" w:hAnsi="Times New Roman" w:cs="Times New Roman"/>
                      <w:color w:val="000000"/>
                      <w:highlight w:val="none"/>
                      <w:lang w:val="en-US" w:eastAsia="zh-CN"/>
                    </w:rPr>
                  </w:pPr>
                </w:p>
              </w:tc>
              <w:tc>
                <w:tcPr>
                  <w:tcW w:w="1448" w:type="dxa"/>
                  <w:noWrap w:val="0"/>
                  <w:vAlign w:val="center"/>
                </w:tcPr>
                <w:p w14:paraId="03B06A6C">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南防波堤</w:t>
                  </w:r>
                </w:p>
              </w:tc>
              <w:tc>
                <w:tcPr>
                  <w:tcW w:w="1231" w:type="dxa"/>
                  <w:noWrap w:val="0"/>
                  <w:vAlign w:val="center"/>
                </w:tcPr>
                <w:p w14:paraId="4DB95D01">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13.58万m</w:t>
                  </w:r>
                  <w:r>
                    <w:rPr>
                      <w:rFonts w:hint="default" w:ascii="Times New Roman" w:hAnsi="Times New Roman" w:cs="Times New Roman"/>
                      <w:color w:val="000000"/>
                      <w:highlight w:val="none"/>
                      <w:vertAlign w:val="superscript"/>
                      <w:lang w:val="en-US" w:eastAsia="zh-CN"/>
                    </w:rPr>
                    <w:t>3</w:t>
                  </w:r>
                </w:p>
              </w:tc>
              <w:tc>
                <w:tcPr>
                  <w:tcW w:w="2972" w:type="dxa"/>
                  <w:vMerge w:val="continue"/>
                  <w:noWrap w:val="0"/>
                  <w:vAlign w:val="center"/>
                </w:tcPr>
                <w:p w14:paraId="4C01A148">
                  <w:pPr>
                    <w:pStyle w:val="31"/>
                    <w:bidi w:val="0"/>
                    <w:jc w:val="center"/>
                    <w:rPr>
                      <w:rFonts w:hint="default" w:ascii="Times New Roman" w:hAnsi="Times New Roman" w:cs="Times New Roman"/>
                      <w:color w:val="000000"/>
                      <w:highlight w:val="none"/>
                    </w:rPr>
                  </w:pPr>
                </w:p>
              </w:tc>
            </w:tr>
            <w:tr w14:paraId="6CE2F7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9" w:hRule="atLeast"/>
              </w:trPr>
              <w:tc>
                <w:tcPr>
                  <w:tcW w:w="775" w:type="dxa"/>
                  <w:vMerge w:val="continue"/>
                  <w:noWrap w:val="0"/>
                  <w:vAlign w:val="center"/>
                </w:tcPr>
                <w:p w14:paraId="3BA2174A">
                  <w:pPr>
                    <w:pStyle w:val="31"/>
                    <w:bidi w:val="0"/>
                    <w:jc w:val="center"/>
                    <w:rPr>
                      <w:rFonts w:hint="default" w:ascii="Times New Roman" w:hAnsi="Times New Roman" w:cs="Times New Roman"/>
                      <w:color w:val="000000"/>
                      <w:highlight w:val="none"/>
                    </w:rPr>
                  </w:pPr>
                </w:p>
              </w:tc>
              <w:tc>
                <w:tcPr>
                  <w:tcW w:w="1811" w:type="dxa"/>
                  <w:vMerge w:val="continue"/>
                  <w:noWrap w:val="0"/>
                  <w:vAlign w:val="center"/>
                </w:tcPr>
                <w:p w14:paraId="53A4130D">
                  <w:pPr>
                    <w:pStyle w:val="31"/>
                    <w:bidi w:val="0"/>
                    <w:jc w:val="center"/>
                    <w:rPr>
                      <w:rFonts w:hint="default" w:ascii="Times New Roman" w:hAnsi="Times New Roman" w:cs="Times New Roman"/>
                      <w:color w:val="000000"/>
                      <w:highlight w:val="none"/>
                      <w:lang w:val="en-US" w:eastAsia="zh-CN"/>
                    </w:rPr>
                  </w:pPr>
                </w:p>
              </w:tc>
              <w:tc>
                <w:tcPr>
                  <w:tcW w:w="1448" w:type="dxa"/>
                  <w:noWrap w:val="0"/>
                  <w:vAlign w:val="center"/>
                </w:tcPr>
                <w:p w14:paraId="031AB6E9">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东防波堤</w:t>
                  </w:r>
                </w:p>
              </w:tc>
              <w:tc>
                <w:tcPr>
                  <w:tcW w:w="1231" w:type="dxa"/>
                  <w:noWrap w:val="0"/>
                  <w:vAlign w:val="center"/>
                </w:tcPr>
                <w:p w14:paraId="3FEC6BF7">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5.28万m</w:t>
                  </w:r>
                  <w:r>
                    <w:rPr>
                      <w:rFonts w:hint="default" w:ascii="Times New Roman" w:hAnsi="Times New Roman" w:cs="Times New Roman"/>
                      <w:color w:val="000000"/>
                      <w:highlight w:val="none"/>
                      <w:vertAlign w:val="superscript"/>
                      <w:lang w:val="en-US" w:eastAsia="zh-CN"/>
                    </w:rPr>
                    <w:t>3</w:t>
                  </w:r>
                </w:p>
              </w:tc>
              <w:tc>
                <w:tcPr>
                  <w:tcW w:w="2972" w:type="dxa"/>
                  <w:vMerge w:val="continue"/>
                  <w:noWrap w:val="0"/>
                  <w:vAlign w:val="center"/>
                </w:tcPr>
                <w:p w14:paraId="666F55DE">
                  <w:pPr>
                    <w:pStyle w:val="31"/>
                    <w:bidi w:val="0"/>
                    <w:jc w:val="center"/>
                    <w:rPr>
                      <w:rFonts w:hint="default" w:ascii="Times New Roman" w:hAnsi="Times New Roman" w:cs="Times New Roman"/>
                      <w:color w:val="000000"/>
                      <w:highlight w:val="none"/>
                    </w:rPr>
                  </w:pPr>
                </w:p>
              </w:tc>
            </w:tr>
            <w:tr w14:paraId="0A323B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59" w:hRule="atLeast"/>
              </w:trPr>
              <w:tc>
                <w:tcPr>
                  <w:tcW w:w="775" w:type="dxa"/>
                  <w:vMerge w:val="continue"/>
                  <w:noWrap w:val="0"/>
                  <w:vAlign w:val="center"/>
                </w:tcPr>
                <w:p w14:paraId="53C80B4A">
                  <w:pPr>
                    <w:pStyle w:val="31"/>
                    <w:bidi w:val="0"/>
                    <w:jc w:val="center"/>
                    <w:rPr>
                      <w:rFonts w:hint="default" w:ascii="Times New Roman" w:hAnsi="Times New Roman" w:cs="Times New Roman"/>
                      <w:color w:val="000000"/>
                      <w:highlight w:val="none"/>
                    </w:rPr>
                  </w:pPr>
                </w:p>
              </w:tc>
              <w:tc>
                <w:tcPr>
                  <w:tcW w:w="1811" w:type="dxa"/>
                  <w:vMerge w:val="continue"/>
                  <w:noWrap w:val="0"/>
                  <w:vAlign w:val="center"/>
                </w:tcPr>
                <w:p w14:paraId="2FE20141">
                  <w:pPr>
                    <w:pStyle w:val="31"/>
                    <w:bidi w:val="0"/>
                    <w:jc w:val="center"/>
                    <w:rPr>
                      <w:rFonts w:hint="default" w:ascii="Times New Roman" w:hAnsi="Times New Roman" w:cs="Times New Roman"/>
                      <w:color w:val="000000"/>
                      <w:highlight w:val="none"/>
                      <w:lang w:val="en-US" w:eastAsia="zh-CN"/>
                    </w:rPr>
                  </w:pPr>
                </w:p>
              </w:tc>
              <w:tc>
                <w:tcPr>
                  <w:tcW w:w="1448" w:type="dxa"/>
                  <w:noWrap w:val="0"/>
                  <w:vAlign w:val="center"/>
                </w:tcPr>
                <w:p w14:paraId="119261EA">
                  <w:pPr>
                    <w:pStyle w:val="31"/>
                    <w:bidi w:val="0"/>
                    <w:jc w:val="center"/>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疏浚物</w:t>
                  </w:r>
                </w:p>
              </w:tc>
              <w:tc>
                <w:tcPr>
                  <w:tcW w:w="1231" w:type="dxa"/>
                  <w:noWrap w:val="0"/>
                  <w:vAlign w:val="center"/>
                </w:tcPr>
                <w:p w14:paraId="1FE596F1">
                  <w:pPr>
                    <w:pStyle w:val="31"/>
                    <w:bidi w:val="0"/>
                    <w:jc w:val="center"/>
                    <w:rPr>
                      <w:rFonts w:hint="default" w:ascii="Times New Roman" w:hAnsi="Times New Roman" w:cs="Times New Roman"/>
                      <w:color w:val="000000"/>
                      <w:highlight w:val="none"/>
                    </w:rPr>
                  </w:pPr>
                  <w:r>
                    <w:rPr>
                      <w:rFonts w:hint="default" w:ascii="Times New Roman" w:hAnsi="Times New Roman" w:cs="Times New Roman"/>
                      <w:color w:val="000000"/>
                      <w:highlight w:val="none"/>
                    </w:rPr>
                    <w:t>4.84万m</w:t>
                  </w:r>
                  <w:r>
                    <w:rPr>
                      <w:rFonts w:hint="default" w:ascii="Times New Roman" w:hAnsi="Times New Roman" w:cs="Times New Roman"/>
                      <w:color w:val="000000"/>
                      <w:highlight w:val="none"/>
                      <w:vertAlign w:val="superscript"/>
                    </w:rPr>
                    <w:t>3</w:t>
                  </w:r>
                </w:p>
              </w:tc>
              <w:tc>
                <w:tcPr>
                  <w:tcW w:w="2972" w:type="dxa"/>
                  <w:vMerge w:val="continue"/>
                  <w:noWrap w:val="0"/>
                  <w:vAlign w:val="center"/>
                </w:tcPr>
                <w:p w14:paraId="7239CE49">
                  <w:pPr>
                    <w:pStyle w:val="31"/>
                    <w:bidi w:val="0"/>
                    <w:jc w:val="center"/>
                    <w:rPr>
                      <w:rFonts w:hint="default" w:ascii="Times New Roman" w:hAnsi="Times New Roman" w:cs="Times New Roman"/>
                      <w:color w:val="000000"/>
                      <w:highlight w:val="none"/>
                    </w:rPr>
                  </w:pPr>
                </w:p>
              </w:tc>
            </w:tr>
          </w:tbl>
          <w:p w14:paraId="2559A019">
            <w:pPr>
              <w:pStyle w:val="3"/>
              <w:bidi w:val="0"/>
              <w:rPr>
                <w:rFonts w:hint="default"/>
              </w:rPr>
            </w:pPr>
            <w:bookmarkStart w:id="288" w:name="_Toc13497"/>
            <w:r>
              <w:rPr>
                <w:rFonts w:hint="eastAsia"/>
                <w:lang w:val="en-US" w:eastAsia="zh-CN"/>
              </w:rPr>
              <w:t>施工期生态环境影响分析</w:t>
            </w:r>
            <w:bookmarkEnd w:id="288"/>
          </w:p>
          <w:p w14:paraId="230F9EA6">
            <w:pPr>
              <w:pStyle w:val="4"/>
              <w:bidi w:val="0"/>
              <w:rPr>
                <w:rFonts w:hint="default"/>
              </w:rPr>
            </w:pPr>
            <w:bookmarkStart w:id="289" w:name="_Toc2013"/>
            <w:bookmarkStart w:id="290" w:name="_Toc19558"/>
            <w:bookmarkStart w:id="291" w:name="_Toc26921"/>
            <w:r>
              <w:rPr>
                <w:rFonts w:hint="default"/>
              </w:rPr>
              <w:t>海洋水文动力环境影响预测与评价</w:t>
            </w:r>
            <w:bookmarkEnd w:id="289"/>
            <w:bookmarkEnd w:id="290"/>
            <w:bookmarkEnd w:id="291"/>
          </w:p>
          <w:p w14:paraId="6D0008AD">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为了全面了解和掌握工程附近海域潮流的时空分布和变化特征，结合该海域海流和潮汐特征，研究工程方案的实施对工程周边海域水动力条件变化的影响，并为计算冲淤环境演变、悬浮物扩散模拟提供动力场。在此基础上预测</w:t>
            </w:r>
            <w:r>
              <w:rPr>
                <w:rFonts w:hint="default" w:ascii="Times New Roman" w:hAnsi="Times New Roman" w:cs="Times New Roman"/>
                <w:color w:val="000000"/>
                <w:highlight w:val="none"/>
                <w:lang w:val="en-US" w:eastAsia="zh-CN"/>
              </w:rPr>
              <w:t>本</w:t>
            </w:r>
            <w:r>
              <w:rPr>
                <w:rFonts w:hint="default" w:ascii="Times New Roman" w:hAnsi="Times New Roman" w:cs="Times New Roman"/>
                <w:color w:val="000000"/>
                <w:highlight w:val="none"/>
              </w:rPr>
              <w:t>工程</w:t>
            </w:r>
            <w:r>
              <w:rPr>
                <w:rFonts w:hint="default" w:ascii="Times New Roman" w:hAnsi="Times New Roman" w:cs="Times New Roman"/>
                <w:color w:val="000000"/>
                <w:highlight w:val="none"/>
                <w:lang w:val="en-US" w:eastAsia="zh-CN"/>
              </w:rPr>
              <w:t>建设</w:t>
            </w:r>
            <w:r>
              <w:rPr>
                <w:rFonts w:hint="default" w:ascii="Times New Roman" w:hAnsi="Times New Roman" w:cs="Times New Roman"/>
                <w:color w:val="000000"/>
                <w:highlight w:val="none"/>
              </w:rPr>
              <w:t>对海域水文动力和冲淤环境及引起的悬浮泥沙对海域水质环境的影响。</w:t>
            </w:r>
          </w:p>
          <w:p w14:paraId="759EFAB6">
            <w:pPr>
              <w:pStyle w:val="5"/>
              <w:bidi w:val="0"/>
              <w:rPr>
                <w:rFonts w:hint="default"/>
              </w:rPr>
            </w:pPr>
            <w:bookmarkStart w:id="292" w:name="_Toc9406"/>
            <w:bookmarkStart w:id="293" w:name="_Toc15221"/>
            <w:r>
              <w:rPr>
                <w:rFonts w:hint="default"/>
              </w:rPr>
              <w:t>水文动力模型</w:t>
            </w:r>
            <w:bookmarkEnd w:id="292"/>
            <w:bookmarkEnd w:id="293"/>
          </w:p>
          <w:p w14:paraId="7A1D99D9">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数值模型采用有限体积方法对二维潮流运动基本方程组进行离散，得到离散方程组，从而得出流速、流向、潮位。考虑到滩地随涨、落潮或淹没或露出，因此采用活动边界技术，以保证模型计算的精度和连续性，潮流场数学模型控制方程如下：</w:t>
            </w:r>
          </w:p>
          <w:p w14:paraId="78F6017C">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控制方程采用二维浅水方程进行计算：</w:t>
            </w:r>
          </w:p>
          <w:p w14:paraId="235286D4">
            <w:pPr>
              <w:bidi w:val="0"/>
              <w:ind w:firstLine="480" w:firstLineChars="200"/>
              <w:rPr>
                <w:rFonts w:hint="default" w:ascii="Times New Roman" w:hAnsi="Times New Roman" w:cs="Times New Roman"/>
                <w:color w:val="000000"/>
                <w:highlight w:val="none"/>
              </w:rPr>
            </w:pPr>
            <w:r>
              <w:rPr>
                <w:rFonts w:hint="default" w:ascii="Times New Roman" w:hAnsi="Times New Roman" w:eastAsia="宋体" w:cs="Times New Roman"/>
                <w:color w:val="000000"/>
                <w:position w:val="-28"/>
                <w:szCs w:val="28"/>
                <w:highlight w:val="none"/>
              </w:rPr>
              <w:object>
                <v:shape id="_x0000_i1026" o:spt="75" type="#_x0000_t75" style="height:36.7pt;width:102.45pt;" o:ole="t" filled="f" o:preferrelative="t" stroked="f" coordsize="21600,21600">
                  <v:path/>
                  <v:fill on="f" focussize="0,0"/>
                  <v:stroke on="f" joinstyle="miter"/>
                  <v:imagedata r:id="rId28" o:title=""/>
                  <o:lock v:ext="edit" aspectratio="t"/>
                  <w10:wrap type="none"/>
                  <w10:anchorlock/>
                </v:shape>
                <o:OLEObject Type="Embed" ProgID="Equation.DSMT4" ShapeID="_x0000_i1026" DrawAspect="Content" ObjectID="_1468075726" r:id="rId27">
                  <o:LockedField>false</o:LockedField>
                </o:OLEObject>
              </w:object>
            </w:r>
            <w:r>
              <w:rPr>
                <w:rFonts w:hint="default" w:ascii="Times New Roman" w:hAnsi="Times New Roman" w:cs="Times New Roman"/>
                <w:color w:val="000000"/>
                <w:highlight w:val="none"/>
              </w:rPr>
              <w:tab/>
            </w:r>
            <w:r>
              <w:rPr>
                <w:rFonts w:hint="default" w:ascii="Times New Roman" w:hAnsi="Times New Roman" w:cs="Times New Roman"/>
                <w:color w:val="000000"/>
                <w:highlight w:val="none"/>
                <w:lang w:val="en-US" w:eastAsia="zh-CN"/>
              </w:rPr>
              <w:t xml:space="preserve">                                   </w:t>
            </w:r>
            <w:r>
              <w:rPr>
                <w:rFonts w:hint="default" w:ascii="Times New Roman" w:hAnsi="Times New Roman" w:cs="Times New Roman"/>
                <w:color w:val="000000"/>
                <w:highlight w:val="none"/>
              </w:rPr>
              <w:t>（</w:t>
            </w:r>
            <w:r>
              <w:rPr>
                <w:rFonts w:hint="eastAsia" w:cs="Times New Roman"/>
                <w:color w:val="000000"/>
                <w:highlight w:val="none"/>
                <w:lang w:val="en-US" w:eastAsia="zh-CN"/>
              </w:rPr>
              <w:t>4</w:t>
            </w:r>
            <w:r>
              <w:rPr>
                <w:rFonts w:hint="default" w:ascii="Times New Roman" w:hAnsi="Times New Roman" w:cs="Times New Roman"/>
                <w:color w:val="000000"/>
                <w:highlight w:val="none"/>
                <w:lang w:val="en-US" w:eastAsia="zh-CN"/>
              </w:rPr>
              <w:t>.</w:t>
            </w:r>
            <w:r>
              <w:rPr>
                <w:rFonts w:hint="eastAsia" w:cs="Times New Roman"/>
                <w:color w:val="000000"/>
                <w:highlight w:val="none"/>
                <w:lang w:val="en-US" w:eastAsia="zh-CN"/>
              </w:rPr>
              <w:t>3</w:t>
            </w:r>
            <w:r>
              <w:rPr>
                <w:rFonts w:hint="default" w:ascii="Times New Roman" w:hAnsi="Times New Roman" w:cs="Times New Roman"/>
                <w:color w:val="000000"/>
                <w:highlight w:val="none"/>
                <w:lang w:val="en-US" w:eastAsia="zh-CN"/>
              </w:rPr>
              <w:t>.1</w:t>
            </w:r>
            <w:r>
              <w:rPr>
                <w:rFonts w:hint="default" w:ascii="Times New Roman" w:hAnsi="Times New Roman" w:cs="Times New Roman"/>
                <w:color w:val="000000"/>
                <w:highlight w:val="none"/>
              </w:rPr>
              <w:t>-1）</w:t>
            </w:r>
          </w:p>
          <w:p w14:paraId="5DA3E65B">
            <w:pPr>
              <w:bidi w:val="0"/>
              <w:ind w:firstLine="480" w:firstLineChars="200"/>
              <w:rPr>
                <w:rFonts w:hint="default" w:ascii="Times New Roman" w:hAnsi="Times New Roman" w:cs="Times New Roman"/>
                <w:color w:val="000000"/>
                <w:highlight w:val="none"/>
              </w:rPr>
            </w:pPr>
            <w:r>
              <w:rPr>
                <w:rFonts w:hint="default" w:ascii="Times New Roman" w:hAnsi="Times New Roman" w:eastAsia="宋体" w:cs="Times New Roman"/>
                <w:color w:val="000000"/>
                <w:position w:val="-88"/>
                <w:szCs w:val="28"/>
                <w:highlight w:val="none"/>
              </w:rPr>
              <w:object>
                <v:shape id="_x0000_i1027" o:spt="75" type="#_x0000_t75" style="height:99.7pt;width:218.75pt;" o:ole="t" filled="f" o:preferrelative="t" stroked="f" coordsize="21600,21600">
                  <v:path/>
                  <v:fill on="f" focussize="0,0"/>
                  <v:stroke on="f" joinstyle="miter"/>
                  <v:imagedata r:id="rId30" o:title=""/>
                  <o:lock v:ext="edit" aspectratio="t"/>
                  <w10:wrap type="none"/>
                  <w10:anchorlock/>
                </v:shape>
                <o:OLEObject Type="Embed" ProgID="Equation.DSMT4" ShapeID="_x0000_i1027" DrawAspect="Content" ObjectID="_1468075727" r:id="rId29">
                  <o:LockedField>false</o:LockedField>
                </o:OLEObject>
              </w:object>
            </w:r>
            <w:r>
              <w:rPr>
                <w:rFonts w:hint="default" w:ascii="Times New Roman" w:hAnsi="Times New Roman" w:cs="Times New Roman"/>
                <w:color w:val="000000"/>
                <w:highlight w:val="none"/>
              </w:rPr>
              <w:tab/>
            </w:r>
            <w:r>
              <w:rPr>
                <w:rFonts w:hint="default" w:ascii="Times New Roman" w:hAnsi="Times New Roman" w:cs="Times New Roman"/>
                <w:color w:val="000000"/>
                <w:highlight w:val="none"/>
                <w:lang w:val="en-US" w:eastAsia="zh-CN"/>
              </w:rPr>
              <w:t xml:space="preserve">                  </w:t>
            </w:r>
            <w:r>
              <w:rPr>
                <w:rFonts w:hint="default" w:ascii="Times New Roman" w:hAnsi="Times New Roman" w:cs="Times New Roman"/>
                <w:color w:val="000000"/>
                <w:highlight w:val="none"/>
              </w:rPr>
              <w:t>（</w:t>
            </w:r>
            <w:r>
              <w:rPr>
                <w:rFonts w:hint="eastAsia" w:cs="Times New Roman"/>
                <w:color w:val="000000"/>
                <w:highlight w:val="none"/>
                <w:lang w:val="en-US" w:eastAsia="zh-CN"/>
              </w:rPr>
              <w:t>4</w:t>
            </w:r>
            <w:r>
              <w:rPr>
                <w:rFonts w:hint="default" w:ascii="Times New Roman" w:hAnsi="Times New Roman" w:cs="Times New Roman"/>
                <w:color w:val="000000"/>
                <w:highlight w:val="none"/>
                <w:lang w:val="en-US" w:eastAsia="zh-CN"/>
              </w:rPr>
              <w:t>.</w:t>
            </w:r>
            <w:r>
              <w:rPr>
                <w:rFonts w:hint="eastAsia" w:cs="Times New Roman"/>
                <w:color w:val="000000"/>
                <w:highlight w:val="none"/>
                <w:lang w:val="en-US" w:eastAsia="zh-CN"/>
              </w:rPr>
              <w:t>3</w:t>
            </w:r>
            <w:r>
              <w:rPr>
                <w:rFonts w:hint="default" w:ascii="Times New Roman" w:hAnsi="Times New Roman" w:cs="Times New Roman"/>
                <w:color w:val="000000"/>
                <w:highlight w:val="none"/>
                <w:lang w:val="en-US" w:eastAsia="zh-CN"/>
              </w:rPr>
              <w:t>.1</w:t>
            </w:r>
            <w:r>
              <w:rPr>
                <w:rFonts w:hint="default" w:ascii="Times New Roman" w:hAnsi="Times New Roman" w:cs="Times New Roman"/>
                <w:color w:val="000000"/>
                <w:highlight w:val="none"/>
              </w:rPr>
              <w:t>-2）</w:t>
            </w:r>
          </w:p>
          <w:p w14:paraId="7ED83D55">
            <w:pPr>
              <w:bidi w:val="0"/>
              <w:ind w:firstLine="480" w:firstLineChars="200"/>
              <w:rPr>
                <w:rFonts w:hint="default" w:ascii="Times New Roman" w:hAnsi="Times New Roman" w:cs="Times New Roman"/>
                <w:color w:val="000000"/>
                <w:highlight w:val="none"/>
              </w:rPr>
            </w:pPr>
            <w:r>
              <w:rPr>
                <w:rFonts w:hint="default" w:ascii="Times New Roman" w:hAnsi="Times New Roman" w:cs="Times New Roman"/>
                <w:color w:val="000000"/>
                <w:highlight w:val="none"/>
              </w:rPr>
              <w:drawing>
                <wp:inline distT="0" distB="0" distL="114300" distR="114300">
                  <wp:extent cx="2717800" cy="1203960"/>
                  <wp:effectExtent l="0" t="0" r="6350" b="15240"/>
                  <wp:docPr id="298" name="图片 784" descr="wechat_2025-10-20_090913_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784" descr="wechat_2025-10-20_090913_953"/>
                          <pic:cNvPicPr>
                            <a:picLocks noChangeAspect="1"/>
                          </pic:cNvPicPr>
                        </pic:nvPicPr>
                        <pic:blipFill>
                          <a:blip r:embed="rId31"/>
                          <a:stretch>
                            <a:fillRect/>
                          </a:stretch>
                        </pic:blipFill>
                        <pic:spPr>
                          <a:xfrm>
                            <a:off x="0" y="0"/>
                            <a:ext cx="2717800" cy="1203960"/>
                          </a:xfrm>
                          <a:prstGeom prst="rect">
                            <a:avLst/>
                          </a:prstGeom>
                          <a:noFill/>
                          <a:ln>
                            <a:noFill/>
                          </a:ln>
                        </pic:spPr>
                      </pic:pic>
                    </a:graphicData>
                  </a:graphic>
                </wp:inline>
              </w:drawing>
            </w:r>
            <w:r>
              <w:rPr>
                <w:rFonts w:hint="default" w:ascii="Times New Roman" w:hAnsi="Times New Roman" w:cs="Times New Roman"/>
                <w:color w:val="000000"/>
                <w:highlight w:val="none"/>
              </w:rPr>
              <w:tab/>
            </w:r>
            <w:r>
              <w:rPr>
                <w:rFonts w:hint="default" w:ascii="Times New Roman" w:hAnsi="Times New Roman" w:cs="Times New Roman"/>
                <w:color w:val="000000"/>
                <w:highlight w:val="none"/>
                <w:lang w:val="en-US" w:eastAsia="zh-CN"/>
              </w:rPr>
              <w:t xml:space="preserve">                  </w:t>
            </w:r>
            <w:r>
              <w:rPr>
                <w:rFonts w:hint="default" w:ascii="Times New Roman" w:hAnsi="Times New Roman" w:cs="Times New Roman"/>
                <w:color w:val="000000"/>
                <w:highlight w:val="none"/>
              </w:rPr>
              <w:t>（</w:t>
            </w:r>
            <w:r>
              <w:rPr>
                <w:rFonts w:hint="eastAsia" w:cs="Times New Roman"/>
                <w:color w:val="000000"/>
                <w:highlight w:val="none"/>
                <w:lang w:val="en-US" w:eastAsia="zh-CN"/>
              </w:rPr>
              <w:t>4</w:t>
            </w:r>
            <w:r>
              <w:rPr>
                <w:rFonts w:hint="default" w:ascii="Times New Roman" w:hAnsi="Times New Roman" w:cs="Times New Roman"/>
                <w:color w:val="000000"/>
                <w:highlight w:val="none"/>
                <w:lang w:val="en-US" w:eastAsia="zh-CN"/>
              </w:rPr>
              <w:t>.</w:t>
            </w:r>
            <w:r>
              <w:rPr>
                <w:rFonts w:hint="eastAsia" w:cs="Times New Roman"/>
                <w:color w:val="000000"/>
                <w:highlight w:val="none"/>
                <w:lang w:val="en-US" w:eastAsia="zh-CN"/>
              </w:rPr>
              <w:t>3</w:t>
            </w:r>
            <w:r>
              <w:rPr>
                <w:rFonts w:hint="default" w:ascii="Times New Roman" w:hAnsi="Times New Roman" w:cs="Times New Roman"/>
                <w:color w:val="000000"/>
                <w:highlight w:val="none"/>
                <w:lang w:val="en-US" w:eastAsia="zh-CN"/>
              </w:rPr>
              <w:t>.1</w:t>
            </w:r>
            <w:r>
              <w:rPr>
                <w:rFonts w:hint="default" w:ascii="Times New Roman" w:hAnsi="Times New Roman" w:cs="Times New Roman"/>
                <w:color w:val="000000"/>
                <w:highlight w:val="none"/>
              </w:rPr>
              <w:t>-3）</w:t>
            </w:r>
          </w:p>
          <w:p w14:paraId="20EF7247">
            <w:pPr>
              <w:adjustRightInd w:val="0"/>
              <w:snapToGrid w:val="0"/>
              <w:ind w:firstLine="480"/>
              <w:rPr>
                <w:rFonts w:hint="default" w:ascii="Times New Roman" w:hAnsi="Times New Roman" w:eastAsia="宋体" w:cs="Times New Roman"/>
                <w:color w:val="000000"/>
                <w:szCs w:val="28"/>
                <w:highlight w:val="none"/>
              </w:rPr>
            </w:pPr>
            <w:r>
              <w:rPr>
                <w:rFonts w:hint="default" w:ascii="Times New Roman" w:hAnsi="Times New Roman" w:eastAsia="宋体" w:cs="Times New Roman"/>
                <w:color w:val="000000"/>
                <w:sz w:val="24"/>
                <w:szCs w:val="24"/>
                <w:highlight w:val="none"/>
              </w:rPr>
              <w:t>式中，</w:t>
            </w:r>
            <w:r>
              <w:rPr>
                <w:rFonts w:hint="default" w:ascii="Times New Roman" w:hAnsi="Times New Roman" w:eastAsia="宋体" w:cs="Times New Roman"/>
                <w:i/>
                <w:color w:val="000000"/>
                <w:sz w:val="24"/>
                <w:szCs w:val="24"/>
                <w:highlight w:val="none"/>
              </w:rPr>
              <w:t>t</w:t>
            </w:r>
            <w:r>
              <w:rPr>
                <w:rFonts w:hint="default" w:ascii="Times New Roman" w:hAnsi="Times New Roman" w:eastAsia="宋体" w:cs="Times New Roman"/>
                <w:color w:val="000000"/>
                <w:sz w:val="24"/>
                <w:szCs w:val="24"/>
                <w:highlight w:val="none"/>
              </w:rPr>
              <w:t>为时间，</w:t>
            </w:r>
            <w:r>
              <w:rPr>
                <w:rFonts w:hint="default" w:ascii="Times New Roman" w:hAnsi="Times New Roman" w:eastAsia="宋体" w:cs="Times New Roman"/>
                <w:i/>
                <w:color w:val="000000"/>
                <w:sz w:val="24"/>
                <w:szCs w:val="24"/>
                <w:highlight w:val="none"/>
              </w:rPr>
              <w:t>x</w:t>
            </w:r>
            <w:r>
              <w:rPr>
                <w:rFonts w:hint="default" w:ascii="Times New Roman" w:hAnsi="Times New Roman" w:eastAsia="宋体" w:cs="Times New Roman"/>
                <w:color w:val="000000"/>
                <w:sz w:val="24"/>
                <w:szCs w:val="24"/>
                <w:highlight w:val="none"/>
              </w:rPr>
              <w:t>、</w:t>
            </w:r>
            <w:r>
              <w:rPr>
                <w:rFonts w:hint="default" w:ascii="Times New Roman" w:hAnsi="Times New Roman" w:eastAsia="宋体" w:cs="Times New Roman"/>
                <w:i/>
                <w:color w:val="000000"/>
                <w:sz w:val="24"/>
                <w:szCs w:val="24"/>
                <w:highlight w:val="none"/>
              </w:rPr>
              <w:t>y</w:t>
            </w:r>
            <w:r>
              <w:rPr>
                <w:rFonts w:hint="default" w:ascii="Times New Roman" w:hAnsi="Times New Roman" w:eastAsia="宋体" w:cs="Times New Roman"/>
                <w:color w:val="000000"/>
                <w:sz w:val="24"/>
                <w:szCs w:val="24"/>
                <w:highlight w:val="none"/>
              </w:rPr>
              <w:t>、</w:t>
            </w:r>
            <w:r>
              <w:rPr>
                <w:rFonts w:hint="default" w:ascii="Times New Roman" w:hAnsi="Times New Roman" w:eastAsia="宋体" w:cs="Times New Roman"/>
                <w:i/>
                <w:color w:val="000000"/>
                <w:sz w:val="24"/>
                <w:szCs w:val="24"/>
                <w:highlight w:val="none"/>
              </w:rPr>
              <w:t>z</w:t>
            </w:r>
            <w:r>
              <w:rPr>
                <w:rFonts w:hint="default" w:ascii="Times New Roman" w:hAnsi="Times New Roman" w:eastAsia="宋体" w:cs="Times New Roman"/>
                <w:color w:val="000000"/>
                <w:sz w:val="24"/>
                <w:szCs w:val="24"/>
                <w:highlight w:val="none"/>
              </w:rPr>
              <w:t>为笛卡尔坐标系；</w:t>
            </w:r>
            <w:r>
              <w:rPr>
                <w:rFonts w:hint="default" w:ascii="Times New Roman" w:hAnsi="Times New Roman" w:eastAsia="宋体" w:cs="Times New Roman"/>
                <w:color w:val="000000"/>
                <w:position w:val="-10"/>
                <w:sz w:val="24"/>
                <w:szCs w:val="24"/>
                <w:highlight w:val="none"/>
              </w:rPr>
              <w:object>
                <v:shape id="_x0000_i1028" o:spt="75" type="#_x0000_t75" style="height:11.75pt;width:11.1pt;" o:ole="t" filled="f" o:preferrelative="t" stroked="f" coordsize="21600,21600">
                  <v:path/>
                  <v:fill on="f" focussize="0,0"/>
                  <v:stroke on="f" joinstyle="miter"/>
                  <v:imagedata r:id="rId33" o:title=""/>
                  <o:lock v:ext="edit" aspectratio="t"/>
                  <w10:wrap type="none"/>
                  <w10:anchorlock/>
                </v:shape>
                <o:OLEObject Type="Embed" ProgID="Equation.DSMT4" ShapeID="_x0000_i1028" DrawAspect="Content" ObjectID="_1468075728" r:id="rId32">
                  <o:LockedField>false</o:LockedField>
                </o:OLEObject>
              </w:object>
            </w:r>
            <w:r>
              <w:rPr>
                <w:rFonts w:hint="default" w:ascii="Times New Roman" w:hAnsi="Times New Roman" w:eastAsia="宋体" w:cs="Times New Roman"/>
                <w:color w:val="000000"/>
                <w:sz w:val="24"/>
                <w:szCs w:val="24"/>
                <w:highlight w:val="none"/>
              </w:rPr>
              <w:t>为水面高程；d为静水位；</w:t>
            </w:r>
            <w:r>
              <w:rPr>
                <w:rFonts w:hint="default" w:ascii="Times New Roman" w:hAnsi="Times New Roman" w:eastAsia="宋体" w:cs="Times New Roman"/>
                <w:i/>
                <w:color w:val="000000"/>
                <w:sz w:val="24"/>
                <w:szCs w:val="24"/>
                <w:highlight w:val="none"/>
              </w:rPr>
              <w:t>h</w:t>
            </w:r>
            <w:r>
              <w:rPr>
                <w:rFonts w:hint="default" w:ascii="Times New Roman" w:hAnsi="Times New Roman" w:eastAsia="宋体" w:cs="Times New Roman"/>
                <w:color w:val="000000"/>
                <w:sz w:val="24"/>
                <w:szCs w:val="24"/>
                <w:highlight w:val="none"/>
              </w:rPr>
              <w:t>表示总水深，</w:t>
            </w:r>
            <w:r>
              <w:rPr>
                <w:rFonts w:hint="default" w:ascii="Times New Roman" w:hAnsi="Times New Roman" w:eastAsia="宋体" w:cs="Times New Roman"/>
                <w:i/>
                <w:color w:val="000000"/>
                <w:sz w:val="24"/>
                <w:szCs w:val="24"/>
                <w:highlight w:val="none"/>
              </w:rPr>
              <w:t>h=</w:t>
            </w:r>
            <w:r>
              <w:rPr>
                <w:rFonts w:hint="default" w:ascii="Times New Roman" w:hAnsi="Times New Roman" w:eastAsia="宋体" w:cs="Times New Roman"/>
                <w:i/>
                <w:color w:val="000000"/>
                <w:position w:val="-10"/>
                <w:sz w:val="24"/>
                <w:szCs w:val="24"/>
                <w:highlight w:val="none"/>
              </w:rPr>
              <w:object>
                <v:shape id="_x0000_i1029" o:spt="75" type="#_x0000_t75" style="height:11.75pt;width:11.1pt;" o:ole="t" filled="f" o:preferrelative="t" stroked="f" coordsize="21600,21600">
                  <v:path/>
                  <v:fill on="f" focussize="0,0"/>
                  <v:stroke on="f" joinstyle="miter"/>
                  <v:imagedata r:id="rId33" o:title=""/>
                  <o:lock v:ext="edit" aspectratio="t"/>
                  <w10:wrap type="none"/>
                  <w10:anchorlock/>
                </v:shape>
                <o:OLEObject Type="Embed" ProgID="Equation.DSMT4" ShapeID="_x0000_i1029" DrawAspect="Content" ObjectID="_1468075729" r:id="rId34">
                  <o:LockedField>false</o:LockedField>
                </o:OLEObject>
              </w:object>
            </w:r>
            <w:r>
              <w:rPr>
                <w:rFonts w:hint="default" w:ascii="Times New Roman" w:hAnsi="Times New Roman" w:eastAsia="宋体" w:cs="Times New Roman"/>
                <w:i/>
                <w:color w:val="000000"/>
                <w:sz w:val="24"/>
                <w:szCs w:val="24"/>
                <w:highlight w:val="none"/>
              </w:rPr>
              <w:t>+d</w:t>
            </w:r>
            <w:r>
              <w:rPr>
                <w:rFonts w:hint="default" w:ascii="Times New Roman" w:hAnsi="Times New Roman" w:eastAsia="宋体" w:cs="Times New Roman"/>
                <w:color w:val="000000"/>
                <w:sz w:val="24"/>
                <w:szCs w:val="24"/>
                <w:highlight w:val="none"/>
              </w:rPr>
              <w:t>；</w:t>
            </w:r>
            <w:r>
              <w:rPr>
                <w:rFonts w:hint="default" w:ascii="Times New Roman" w:hAnsi="Times New Roman" w:eastAsia="宋体" w:cs="Times New Roman"/>
                <w:i/>
                <w:color w:val="000000"/>
                <w:sz w:val="24"/>
                <w:szCs w:val="24"/>
                <w:highlight w:val="none"/>
              </w:rPr>
              <w:t>u、v</w:t>
            </w:r>
            <w:r>
              <w:rPr>
                <w:rFonts w:hint="default" w:ascii="Times New Roman" w:hAnsi="Times New Roman" w:eastAsia="宋体" w:cs="Times New Roman"/>
                <w:color w:val="000000"/>
                <w:sz w:val="24"/>
                <w:szCs w:val="24"/>
                <w:highlight w:val="none"/>
              </w:rPr>
              <w:t>表示平面</w:t>
            </w:r>
            <w:r>
              <w:rPr>
                <w:rFonts w:hint="default" w:ascii="Times New Roman" w:hAnsi="Times New Roman" w:eastAsia="宋体" w:cs="Times New Roman"/>
                <w:i/>
                <w:color w:val="000000"/>
                <w:sz w:val="24"/>
                <w:szCs w:val="24"/>
                <w:highlight w:val="none"/>
              </w:rPr>
              <w:t>x、y</w:t>
            </w:r>
            <w:r>
              <w:rPr>
                <w:rFonts w:hint="default" w:ascii="Times New Roman" w:hAnsi="Times New Roman" w:eastAsia="宋体" w:cs="Times New Roman"/>
                <w:color w:val="000000"/>
                <w:sz w:val="24"/>
                <w:szCs w:val="24"/>
                <w:highlight w:val="none"/>
              </w:rPr>
              <w:t>方向上的速度分量；</w:t>
            </w:r>
            <w:r>
              <w:rPr>
                <w:rFonts w:hint="default" w:ascii="Times New Roman" w:hAnsi="Times New Roman" w:eastAsia="宋体" w:cs="Times New Roman"/>
                <w:color w:val="000000"/>
                <w:position w:val="-10"/>
                <w:sz w:val="24"/>
                <w:szCs w:val="24"/>
                <w:highlight w:val="none"/>
              </w:rPr>
              <w:object>
                <v:shape id="_x0000_i1030" o:spt="75" type="#_x0000_t75" style="height:15.9pt;width:60.25pt;" o:ole="t" filled="f" o:preferrelative="t" stroked="f" coordsize="21600,21600">
                  <v:path/>
                  <v:fill on="f" focussize="0,0"/>
                  <v:stroke on="f" joinstyle="miter"/>
                  <v:imagedata r:id="rId36" o:title=""/>
                  <o:lock v:ext="edit" aspectratio="t"/>
                  <w10:wrap type="none"/>
                  <w10:anchorlock/>
                </v:shape>
                <o:OLEObject Type="Embed" ProgID="Equation.DSMT4" ShapeID="_x0000_i1030" DrawAspect="Content" ObjectID="_1468075730" r:id="rId35">
                  <o:LockedField>false</o:LockedField>
                </o:OLEObject>
              </w:object>
            </w:r>
            <w:r>
              <w:rPr>
                <w:rFonts w:hint="default" w:ascii="Times New Roman" w:hAnsi="Times New Roman" w:eastAsia="宋体" w:cs="Times New Roman"/>
                <w:color w:val="000000"/>
                <w:sz w:val="24"/>
                <w:szCs w:val="24"/>
                <w:highlight w:val="none"/>
              </w:rPr>
              <w:t>表示科氏力作用，</w:t>
            </w:r>
            <w:r>
              <w:rPr>
                <w:rFonts w:hint="default" w:ascii="Times New Roman" w:hAnsi="Times New Roman" w:eastAsia="宋体" w:cs="Times New Roman"/>
                <w:color w:val="000000"/>
                <w:position w:val="-4"/>
                <w:sz w:val="24"/>
                <w:szCs w:val="24"/>
                <w:highlight w:val="none"/>
              </w:rPr>
              <w:object>
                <v:shape id="_x0000_i1031" o:spt="75" type="#_x0000_t75" style="height:11.75pt;width:11.75pt;" o:ole="t" filled="f" o:preferrelative="t" stroked="f" coordsize="21600,21600">
                  <v:path/>
                  <v:fill on="f" focussize="0,0"/>
                  <v:stroke on="f" joinstyle="miter"/>
                  <v:imagedata r:id="rId38" o:title=""/>
                  <o:lock v:ext="edit" aspectratio="t"/>
                  <w10:wrap type="none"/>
                  <w10:anchorlock/>
                </v:shape>
                <o:OLEObject Type="Embed" ProgID="Equation.DSMT4" ShapeID="_x0000_i1031" DrawAspect="Content" ObjectID="_1468075731" r:id="rId37">
                  <o:LockedField>false</o:LockedField>
                </o:OLEObject>
              </w:object>
            </w:r>
            <w:r>
              <w:rPr>
                <w:rFonts w:hint="default" w:ascii="Times New Roman" w:hAnsi="Times New Roman" w:eastAsia="宋体" w:cs="Times New Roman"/>
                <w:color w:val="000000"/>
                <w:sz w:val="24"/>
                <w:szCs w:val="24"/>
                <w:highlight w:val="none"/>
              </w:rPr>
              <w:t>为地球自转角速度，</w:t>
            </w:r>
            <w:r>
              <w:rPr>
                <w:rFonts w:hint="default" w:ascii="Times New Roman" w:hAnsi="Times New Roman" w:eastAsia="宋体" w:cs="Times New Roman"/>
                <w:color w:val="000000"/>
                <w:position w:val="-10"/>
                <w:sz w:val="24"/>
                <w:szCs w:val="24"/>
                <w:highlight w:val="none"/>
              </w:rPr>
              <w:object>
                <v:shape id="_x0000_i1032" o:spt="75" type="#_x0000_t75" style="height:15.9pt;width:11.1pt;" o:ole="t" filled="f" o:preferrelative="t" stroked="f" coordsize="21600,21600">
                  <v:path/>
                  <v:fill on="f" focussize="0,0"/>
                  <v:stroke on="f" joinstyle="miter"/>
                  <v:imagedata r:id="rId40" o:title=""/>
                  <o:lock v:ext="edit" aspectratio="t"/>
                  <w10:wrap type="none"/>
                  <w10:anchorlock/>
                </v:shape>
                <o:OLEObject Type="Embed" ProgID="Equation.DSMT4" ShapeID="_x0000_i1032" DrawAspect="Content" ObjectID="_1468075732" r:id="rId39">
                  <o:LockedField>false</o:LockedField>
                </o:OLEObject>
              </w:object>
            </w:r>
            <w:r>
              <w:rPr>
                <w:rFonts w:hint="default" w:ascii="Times New Roman" w:hAnsi="Times New Roman" w:eastAsia="宋体" w:cs="Times New Roman"/>
                <w:color w:val="000000"/>
                <w:sz w:val="24"/>
                <w:szCs w:val="24"/>
                <w:highlight w:val="none"/>
              </w:rPr>
              <w:t>为地球纬度；</w:t>
            </w:r>
            <w:r>
              <w:rPr>
                <w:rFonts w:hint="default" w:ascii="Times New Roman" w:hAnsi="Times New Roman" w:eastAsia="宋体" w:cs="Times New Roman"/>
                <w:color w:val="000000"/>
                <w:position w:val="-10"/>
                <w:sz w:val="24"/>
                <w:szCs w:val="24"/>
                <w:highlight w:val="none"/>
              </w:rPr>
              <w:object>
                <v:shape id="_x0000_i1033" o:spt="75" type="#_x0000_t75" style="height:11.75pt;width:11.75pt;" o:ole="t" filled="f" o:preferrelative="t" stroked="f" coordsize="21600,21600">
                  <v:path/>
                  <v:fill on="f" focussize="0,0"/>
                  <v:stroke on="f" joinstyle="miter"/>
                  <v:imagedata r:id="rId42" o:title=""/>
                  <o:lock v:ext="edit" aspectratio="t"/>
                  <w10:wrap type="none"/>
                  <w10:anchorlock/>
                </v:shape>
                <o:OLEObject Type="Embed" ProgID="Equation.DSMT4" ShapeID="_x0000_i1033" DrawAspect="Content" ObjectID="_1468075733" r:id="rId41">
                  <o:LockedField>false</o:LockedField>
                </o:OLEObject>
              </w:object>
            </w:r>
            <w:r>
              <w:rPr>
                <w:rFonts w:hint="default" w:ascii="Times New Roman" w:hAnsi="Times New Roman" w:eastAsia="宋体" w:cs="Times New Roman"/>
                <w:color w:val="000000"/>
                <w:sz w:val="24"/>
                <w:szCs w:val="24"/>
                <w:highlight w:val="none"/>
              </w:rPr>
              <w:t>表示水密度；</w:t>
            </w:r>
            <w:r>
              <w:rPr>
                <w:rFonts w:hint="default" w:ascii="Times New Roman" w:hAnsi="Times New Roman" w:eastAsia="宋体" w:cs="Times New Roman"/>
                <w:i/>
                <w:color w:val="000000"/>
                <w:sz w:val="24"/>
                <w:szCs w:val="24"/>
                <w:highlight w:val="none"/>
              </w:rPr>
              <w:t>S</w:t>
            </w:r>
            <w:r>
              <w:rPr>
                <w:rFonts w:hint="default" w:ascii="Times New Roman" w:hAnsi="Times New Roman" w:eastAsia="宋体" w:cs="Times New Roman"/>
                <w:i/>
                <w:color w:val="000000"/>
                <w:sz w:val="24"/>
                <w:szCs w:val="24"/>
                <w:highlight w:val="none"/>
                <w:vertAlign w:val="subscript"/>
              </w:rPr>
              <w:t>xx</w:t>
            </w:r>
            <w:r>
              <w:rPr>
                <w:rFonts w:hint="default" w:ascii="Times New Roman" w:hAnsi="Times New Roman" w:eastAsia="宋体" w:cs="Times New Roman"/>
                <w:i/>
                <w:color w:val="000000"/>
                <w:sz w:val="24"/>
                <w:szCs w:val="24"/>
                <w:highlight w:val="none"/>
              </w:rPr>
              <w:t>、S</w:t>
            </w:r>
            <w:r>
              <w:rPr>
                <w:rFonts w:hint="default" w:ascii="Times New Roman" w:hAnsi="Times New Roman" w:eastAsia="宋体" w:cs="Times New Roman"/>
                <w:i/>
                <w:color w:val="000000"/>
                <w:sz w:val="24"/>
                <w:szCs w:val="24"/>
                <w:highlight w:val="none"/>
                <w:vertAlign w:val="subscript"/>
              </w:rPr>
              <w:t>xy</w:t>
            </w:r>
            <w:r>
              <w:rPr>
                <w:rFonts w:hint="default" w:ascii="Times New Roman" w:hAnsi="Times New Roman" w:eastAsia="宋体" w:cs="Times New Roman"/>
                <w:i/>
                <w:color w:val="000000"/>
                <w:sz w:val="24"/>
                <w:szCs w:val="24"/>
                <w:highlight w:val="none"/>
              </w:rPr>
              <w:t>、S</w:t>
            </w:r>
            <w:r>
              <w:rPr>
                <w:rFonts w:hint="default" w:ascii="Times New Roman" w:hAnsi="Times New Roman" w:eastAsia="宋体" w:cs="Times New Roman"/>
                <w:i/>
                <w:color w:val="000000"/>
                <w:sz w:val="24"/>
                <w:szCs w:val="24"/>
                <w:highlight w:val="none"/>
                <w:vertAlign w:val="subscript"/>
              </w:rPr>
              <w:t>yx</w:t>
            </w:r>
            <w:r>
              <w:rPr>
                <w:rFonts w:hint="default" w:ascii="Times New Roman" w:hAnsi="Times New Roman" w:eastAsia="宋体" w:cs="Times New Roman"/>
                <w:i/>
                <w:color w:val="000000"/>
                <w:sz w:val="24"/>
                <w:szCs w:val="24"/>
                <w:highlight w:val="none"/>
              </w:rPr>
              <w:t>、S</w:t>
            </w:r>
            <w:r>
              <w:rPr>
                <w:rFonts w:hint="default" w:ascii="Times New Roman" w:hAnsi="Times New Roman" w:eastAsia="宋体" w:cs="Times New Roman"/>
                <w:i/>
                <w:color w:val="000000"/>
                <w:sz w:val="24"/>
                <w:szCs w:val="24"/>
                <w:highlight w:val="none"/>
                <w:vertAlign w:val="subscript"/>
              </w:rPr>
              <w:t>yy</w:t>
            </w:r>
            <w:r>
              <w:rPr>
                <w:rFonts w:hint="default" w:ascii="Times New Roman" w:hAnsi="Times New Roman" w:eastAsia="宋体" w:cs="Times New Roman"/>
                <w:color w:val="000000"/>
                <w:sz w:val="24"/>
                <w:szCs w:val="24"/>
                <w:highlight w:val="none"/>
              </w:rPr>
              <w:t>为辐射应力的分量；</w:t>
            </w:r>
            <w:r>
              <w:rPr>
                <w:rFonts w:hint="default" w:ascii="Times New Roman" w:hAnsi="Times New Roman" w:eastAsia="宋体" w:cs="Times New Roman"/>
                <w:color w:val="000000"/>
                <w:position w:val="-12"/>
                <w:sz w:val="24"/>
                <w:szCs w:val="24"/>
                <w:highlight w:val="none"/>
              </w:rPr>
              <w:object>
                <v:shape id="_x0000_i1034" o:spt="75" type="#_x0000_t75" style="height:20.1pt;width:15.9pt;" o:ole="t" filled="f" o:preferrelative="t" stroked="f" coordsize="21600,21600">
                  <v:path/>
                  <v:fill on="f" focussize="0,0"/>
                  <v:stroke on="f" joinstyle="miter"/>
                  <v:imagedata r:id="rId44" o:title=""/>
                  <o:lock v:ext="edit" aspectratio="t"/>
                  <w10:wrap type="none"/>
                  <w10:anchorlock/>
                </v:shape>
                <o:OLEObject Type="Embed" ProgID="Equation.DSMT4" ShapeID="_x0000_i1034" DrawAspect="Content" ObjectID="_1468075734" r:id="rId43">
                  <o:LockedField>false</o:LockedField>
                </o:OLEObject>
              </w:object>
            </w:r>
            <w:r>
              <w:rPr>
                <w:rFonts w:hint="default" w:ascii="Times New Roman" w:hAnsi="Times New Roman" w:eastAsia="宋体" w:cs="Times New Roman"/>
                <w:color w:val="000000"/>
                <w:sz w:val="24"/>
                <w:szCs w:val="24"/>
                <w:highlight w:val="none"/>
              </w:rPr>
              <w:t>表示与水的相对密度；</w:t>
            </w:r>
            <w:r>
              <w:rPr>
                <w:rFonts w:hint="default" w:ascii="Times New Roman" w:hAnsi="Times New Roman" w:eastAsia="宋体" w:cs="Times New Roman"/>
                <w:i/>
                <w:color w:val="000000"/>
                <w:sz w:val="24"/>
                <w:szCs w:val="24"/>
                <w:highlight w:val="none"/>
              </w:rPr>
              <w:t>p</w:t>
            </w:r>
            <w:r>
              <w:rPr>
                <w:rFonts w:hint="default" w:ascii="Times New Roman" w:hAnsi="Times New Roman" w:eastAsia="宋体" w:cs="Times New Roman"/>
                <w:i/>
                <w:color w:val="000000"/>
                <w:sz w:val="24"/>
                <w:szCs w:val="24"/>
                <w:highlight w:val="none"/>
                <w:vertAlign w:val="subscript"/>
              </w:rPr>
              <w:t>a</w:t>
            </w:r>
            <w:r>
              <w:rPr>
                <w:rFonts w:hint="default" w:ascii="Times New Roman" w:hAnsi="Times New Roman" w:eastAsia="宋体" w:cs="Times New Roman"/>
                <w:color w:val="000000"/>
                <w:sz w:val="24"/>
                <w:szCs w:val="24"/>
                <w:highlight w:val="none"/>
              </w:rPr>
              <w:t>表示大气压强；S表示源汇项的流量尺度；（</w:t>
            </w:r>
            <w:r>
              <w:rPr>
                <w:rFonts w:hint="default" w:ascii="Times New Roman" w:hAnsi="Times New Roman" w:eastAsia="宋体" w:cs="Times New Roman"/>
                <w:i/>
                <w:color w:val="000000"/>
                <w:sz w:val="24"/>
                <w:szCs w:val="24"/>
                <w:highlight w:val="none"/>
              </w:rPr>
              <w:t>u</w:t>
            </w:r>
            <w:r>
              <w:rPr>
                <w:rFonts w:hint="default" w:ascii="Times New Roman" w:hAnsi="Times New Roman" w:eastAsia="宋体" w:cs="Times New Roman"/>
                <w:i/>
                <w:color w:val="000000"/>
                <w:sz w:val="24"/>
                <w:szCs w:val="24"/>
                <w:highlight w:val="none"/>
                <w:vertAlign w:val="subscript"/>
              </w:rPr>
              <w:t>s</w:t>
            </w:r>
            <w:r>
              <w:rPr>
                <w:rFonts w:hint="default" w:ascii="Times New Roman" w:hAnsi="Times New Roman" w:eastAsia="宋体" w:cs="Times New Roman"/>
                <w:i/>
                <w:color w:val="000000"/>
                <w:sz w:val="24"/>
                <w:szCs w:val="24"/>
                <w:highlight w:val="none"/>
              </w:rPr>
              <w:t>，v</w:t>
            </w:r>
            <w:r>
              <w:rPr>
                <w:rFonts w:hint="default" w:ascii="Times New Roman" w:hAnsi="Times New Roman" w:eastAsia="宋体" w:cs="Times New Roman"/>
                <w:i/>
                <w:color w:val="000000"/>
                <w:sz w:val="24"/>
                <w:szCs w:val="24"/>
                <w:highlight w:val="none"/>
                <w:vertAlign w:val="subscript"/>
              </w:rPr>
              <w:t>s</w:t>
            </w:r>
            <w:r>
              <w:rPr>
                <w:rFonts w:hint="default" w:ascii="Times New Roman" w:hAnsi="Times New Roman" w:eastAsia="宋体" w:cs="Times New Roman"/>
                <w:color w:val="000000"/>
                <w:sz w:val="24"/>
                <w:szCs w:val="24"/>
                <w:highlight w:val="none"/>
              </w:rPr>
              <w:t>）表示源汇相对于静止水体的流速变化；所有上标横线表示按水深平均值。如</w:t>
            </w:r>
            <w:r>
              <w:rPr>
                <w:rFonts w:hint="default" w:ascii="Times New Roman" w:hAnsi="Times New Roman" w:eastAsia="宋体" w:cs="Times New Roman"/>
                <w:color w:val="000000"/>
                <w:position w:val="-6"/>
                <w:sz w:val="24"/>
                <w:szCs w:val="24"/>
                <w:highlight w:val="none"/>
              </w:rPr>
              <w:object>
                <v:shape id="_x0000_i1035" o:spt="75" type="#_x0000_t75" style="height:15.9pt;width:7.6pt;" o:ole="t" filled="f" o:preferrelative="t" stroked="f" coordsize="21600,21600">
                  <v:path/>
                  <v:fill on="f" focussize="0,0"/>
                  <v:stroke on="f" joinstyle="miter"/>
                  <v:imagedata r:id="rId46" o:title=""/>
                  <o:lock v:ext="edit" aspectratio="t"/>
                  <w10:wrap type="none"/>
                  <w10:anchorlock/>
                </v:shape>
                <o:OLEObject Type="Embed" ProgID="Equation.DSMT4" ShapeID="_x0000_i1035" DrawAspect="Content" ObjectID="_1468075735" r:id="rId45">
                  <o:LockedField>false</o:LockedField>
                </o:OLEObject>
              </w:object>
            </w:r>
            <w:r>
              <w:rPr>
                <w:rFonts w:hint="default" w:ascii="Times New Roman" w:hAnsi="Times New Roman" w:eastAsia="宋体" w:cs="Times New Roman"/>
                <w:color w:val="000000"/>
                <w:sz w:val="24"/>
                <w:szCs w:val="24"/>
                <w:highlight w:val="none"/>
              </w:rPr>
              <w:t>和</w:t>
            </w:r>
            <w:r>
              <w:rPr>
                <w:rFonts w:hint="default" w:ascii="Times New Roman" w:hAnsi="Times New Roman" w:eastAsia="宋体" w:cs="Times New Roman"/>
                <w:color w:val="000000"/>
                <w:position w:val="-6"/>
                <w:sz w:val="24"/>
                <w:szCs w:val="24"/>
                <w:highlight w:val="none"/>
              </w:rPr>
              <w:object>
                <v:shape id="_x0000_i1036" o:spt="75" type="#_x0000_t75" style="height:15.9pt;width:7.6pt;" o:ole="t" filled="f" o:preferrelative="t" stroked="f" coordsize="21600,21600">
                  <v:path/>
                  <v:fill on="f" focussize="0,0"/>
                  <v:stroke on="f" joinstyle="miter"/>
                  <v:imagedata r:id="rId48" o:title=""/>
                  <o:lock v:ext="edit" aspectratio="t"/>
                  <w10:wrap type="none"/>
                  <w10:anchorlock/>
                </v:shape>
                <o:OLEObject Type="Embed" ProgID="Equation.DSMT4" ShapeID="_x0000_i1036" DrawAspect="Content" ObjectID="_1468075736" r:id="rId47">
                  <o:LockedField>false</o:LockedField>
                </o:OLEObject>
              </w:object>
            </w:r>
            <w:r>
              <w:rPr>
                <w:rFonts w:hint="default" w:ascii="Times New Roman" w:hAnsi="Times New Roman" w:eastAsia="宋体" w:cs="Times New Roman"/>
                <w:color w:val="000000"/>
                <w:sz w:val="24"/>
                <w:szCs w:val="24"/>
                <w:highlight w:val="none"/>
              </w:rPr>
              <w:t>为水深平均流速，即：</w:t>
            </w:r>
          </w:p>
          <w:p w14:paraId="6FBC01DB">
            <w:pPr>
              <w:adjustRightInd w:val="0"/>
              <w:snapToGrid w:val="0"/>
              <w:spacing w:line="360" w:lineRule="auto"/>
              <w:ind w:left="15" w:firstLine="560"/>
              <w:jc w:val="center"/>
              <w:rPr>
                <w:rFonts w:hint="default" w:ascii="Times New Roman" w:hAnsi="Times New Roman" w:eastAsia="宋体" w:cs="Times New Roman"/>
                <w:color w:val="000000"/>
                <w:szCs w:val="28"/>
                <w:highlight w:val="none"/>
              </w:rPr>
            </w:pPr>
            <w:r>
              <w:rPr>
                <w:rFonts w:hint="default" w:ascii="Times New Roman" w:hAnsi="Times New Roman" w:eastAsia="宋体" w:cs="Times New Roman"/>
                <w:color w:val="000000"/>
                <w:position w:val="-18"/>
                <w:szCs w:val="28"/>
                <w:highlight w:val="none"/>
              </w:rPr>
              <w:object>
                <v:shape id="_x0000_i1037" o:spt="75" type="#_x0000_t75" style="height:24.9pt;width:60.25pt;" o:ole="t" filled="f" o:preferrelative="t" stroked="f" coordsize="21600,21600">
                  <v:path/>
                  <v:fill on="f" focussize="0,0"/>
                  <v:stroke on="f" joinstyle="miter"/>
                  <v:imagedata r:id="rId50" o:title=""/>
                  <o:lock v:ext="edit" aspectratio="t"/>
                  <w10:wrap type="none"/>
                  <w10:anchorlock/>
                </v:shape>
                <o:OLEObject Type="Embed" ProgID="Equation.DSMT4" ShapeID="_x0000_i1037" DrawAspect="Content" ObjectID="_1468075737" r:id="rId49">
                  <o:LockedField>false</o:LockedField>
                </o:OLEObject>
              </w:object>
            </w:r>
          </w:p>
          <w:p w14:paraId="61E55425">
            <w:pPr>
              <w:adjustRightInd w:val="0"/>
              <w:snapToGrid w:val="0"/>
              <w:spacing w:line="360" w:lineRule="auto"/>
              <w:ind w:left="15" w:firstLine="560"/>
              <w:jc w:val="center"/>
              <w:rPr>
                <w:rFonts w:hint="default" w:ascii="Times New Roman" w:hAnsi="Times New Roman" w:eastAsia="宋体" w:cs="Times New Roman"/>
                <w:color w:val="000000"/>
                <w:szCs w:val="28"/>
                <w:highlight w:val="none"/>
              </w:rPr>
            </w:pPr>
            <w:r>
              <w:rPr>
                <w:rFonts w:hint="default" w:ascii="Times New Roman" w:hAnsi="Times New Roman" w:eastAsia="宋体" w:cs="Times New Roman"/>
                <w:color w:val="000000"/>
                <w:position w:val="-18"/>
                <w:szCs w:val="28"/>
                <w:highlight w:val="none"/>
              </w:rPr>
              <w:object>
                <v:shape id="_x0000_i1038" o:spt="75" type="#_x0000_t75" style="height:24.9pt;width:57.45pt;" o:ole="t" filled="f" o:preferrelative="t" stroked="f" coordsize="21600,21600">
                  <v:path/>
                  <v:fill on="f" focussize="0,0"/>
                  <v:stroke on="f" joinstyle="miter"/>
                  <v:imagedata r:id="rId52" o:title=""/>
                  <o:lock v:ext="edit" aspectratio="t"/>
                  <w10:wrap type="none"/>
                  <w10:anchorlock/>
                </v:shape>
                <o:OLEObject Type="Embed" ProgID="Equation.DSMT4" ShapeID="_x0000_i1038" DrawAspect="Content" ObjectID="_1468075738" r:id="rId51">
                  <o:LockedField>false</o:LockedField>
                </o:OLEObject>
              </w:object>
            </w:r>
          </w:p>
          <w:p w14:paraId="38F91F04">
            <w:pPr>
              <w:adjustRightInd w:val="0"/>
              <w:snapToGrid w:val="0"/>
              <w:ind w:firstLine="480"/>
              <w:rPr>
                <w:rFonts w:hint="default" w:ascii="Times New Roman" w:hAnsi="Times New Roman" w:eastAsia="宋体" w:cs="Times New Roman"/>
                <w:color w:val="000000"/>
                <w:szCs w:val="28"/>
                <w:highlight w:val="none"/>
              </w:rPr>
            </w:pPr>
            <w:r>
              <w:rPr>
                <w:rFonts w:hint="default" w:ascii="Times New Roman" w:hAnsi="Times New Roman" w:eastAsia="宋体" w:cs="Times New Roman"/>
                <w:i/>
                <w:color w:val="000000"/>
                <w:sz w:val="24"/>
                <w:szCs w:val="24"/>
                <w:highlight w:val="none"/>
              </w:rPr>
              <w:t>T</w:t>
            </w:r>
            <w:r>
              <w:rPr>
                <w:rFonts w:hint="default" w:ascii="Times New Roman" w:hAnsi="Times New Roman" w:eastAsia="宋体" w:cs="Times New Roman"/>
                <w:i/>
                <w:color w:val="000000"/>
                <w:sz w:val="24"/>
                <w:szCs w:val="24"/>
                <w:highlight w:val="none"/>
              </w:rPr>
              <w:softHyphen/>
            </w:r>
            <w:r>
              <w:rPr>
                <w:rFonts w:hint="default" w:ascii="Times New Roman" w:hAnsi="Times New Roman" w:eastAsia="宋体" w:cs="Times New Roman"/>
                <w:i/>
                <w:color w:val="000000"/>
                <w:sz w:val="24"/>
                <w:szCs w:val="24"/>
                <w:highlight w:val="none"/>
              </w:rPr>
              <w:softHyphen/>
            </w:r>
            <w:r>
              <w:rPr>
                <w:rFonts w:hint="default" w:ascii="Times New Roman" w:hAnsi="Times New Roman" w:eastAsia="宋体" w:cs="Times New Roman"/>
                <w:i/>
                <w:color w:val="000000"/>
                <w:sz w:val="24"/>
                <w:szCs w:val="24"/>
                <w:highlight w:val="none"/>
                <w:vertAlign w:val="subscript"/>
              </w:rPr>
              <w:t>ij</w:t>
            </w:r>
            <w:r>
              <w:rPr>
                <w:rFonts w:hint="default" w:ascii="Times New Roman" w:hAnsi="Times New Roman" w:eastAsia="宋体" w:cs="Times New Roman"/>
                <w:color w:val="000000"/>
                <w:sz w:val="24"/>
                <w:szCs w:val="24"/>
                <w:highlight w:val="none"/>
              </w:rPr>
              <w:t>包含涡粘摩阻、紊流摩阻及对流项，定义如下：</w:t>
            </w:r>
          </w:p>
          <w:p w14:paraId="025AB460">
            <w:pPr>
              <w:adjustRightInd w:val="0"/>
              <w:snapToGrid w:val="0"/>
              <w:spacing w:line="360" w:lineRule="auto"/>
              <w:ind w:firstLine="560"/>
              <w:jc w:val="center"/>
              <w:rPr>
                <w:rFonts w:hint="default" w:ascii="Times New Roman" w:hAnsi="Times New Roman" w:eastAsia="宋体" w:cs="Times New Roman"/>
                <w:color w:val="000000"/>
                <w:position w:val="-28"/>
                <w:szCs w:val="28"/>
                <w:highlight w:val="none"/>
              </w:rPr>
            </w:pPr>
            <w:r>
              <w:rPr>
                <w:rFonts w:hint="default" w:ascii="Times New Roman" w:hAnsi="Times New Roman" w:eastAsia="宋体" w:cs="Times New Roman"/>
                <w:color w:val="000000"/>
                <w:szCs w:val="28"/>
                <w:highlight w:val="none"/>
              </w:rPr>
              <w:pict>
                <v:shape id="Object 3" o:spid="_x0000_s2061" o:spt="75" type="#_x0000_t75" style="position:absolute;left:0pt;margin-left:206.5pt;margin-top:2.75pt;height:32.3pt;width:58.15pt;mso-wrap-distance-bottom:0pt;mso-wrap-distance-left:9pt;mso-wrap-distance-right:9pt;mso-wrap-distance-top:0pt;z-index:251663360;mso-width-relative:page;mso-height-relative:page;" o:ole="t" filled="f" o:preferrelative="t" stroked="f" coordsize="21600,21600">
                  <v:path/>
                  <v:fill on="f" focussize="0,0"/>
                  <v:stroke on="f" joinstyle="miter"/>
                  <v:imagedata r:id="rId54" o:title=""/>
                  <o:lock v:ext="edit" aspectratio="t"/>
                  <w10:wrap type="square" side="right"/>
                </v:shape>
                <o:OLEObject Type="Embed" ProgID="" ShapeID="Object 3" DrawAspect="Content" ObjectID="_1468075739" r:id="rId53">
                  <o:LockedField>false</o:LockedField>
                </o:OLEObject>
              </w:pict>
            </w:r>
          </w:p>
          <w:p w14:paraId="64CC78E7">
            <w:pPr>
              <w:adjustRightInd w:val="0"/>
              <w:snapToGrid w:val="0"/>
              <w:spacing w:line="360" w:lineRule="auto"/>
              <w:ind w:firstLine="560"/>
              <w:jc w:val="center"/>
              <w:rPr>
                <w:rFonts w:hint="default" w:ascii="Times New Roman" w:hAnsi="Times New Roman" w:eastAsia="宋体" w:cs="Times New Roman"/>
                <w:color w:val="000000"/>
                <w:position w:val="-28"/>
                <w:szCs w:val="28"/>
                <w:highlight w:val="none"/>
              </w:rPr>
            </w:pPr>
          </w:p>
          <w:p w14:paraId="2FB8AD88">
            <w:pPr>
              <w:adjustRightInd w:val="0"/>
              <w:snapToGrid w:val="0"/>
              <w:spacing w:line="360" w:lineRule="auto"/>
              <w:ind w:firstLine="560"/>
              <w:jc w:val="center"/>
              <w:rPr>
                <w:rFonts w:hint="default" w:ascii="Times New Roman" w:hAnsi="Times New Roman" w:eastAsia="宋体" w:cs="Times New Roman"/>
                <w:color w:val="000000"/>
                <w:szCs w:val="28"/>
                <w:highlight w:val="none"/>
              </w:rPr>
            </w:pPr>
            <w:r>
              <w:rPr>
                <w:rFonts w:hint="default" w:ascii="Times New Roman" w:hAnsi="Times New Roman" w:eastAsia="宋体" w:cs="Times New Roman"/>
                <w:color w:val="000000"/>
                <w:position w:val="-28"/>
                <w:szCs w:val="28"/>
                <w:highlight w:val="none"/>
              </w:rPr>
              <w:object>
                <v:shape id="_x0000_i1039" o:spt="75" type="#_x0000_t75" style="height:36.7pt;width:83.75pt;" o:ole="t" filled="f" o:preferrelative="t" stroked="f" coordsize="21600,21600">
                  <v:path/>
                  <v:fill on="f" focussize="0,0"/>
                  <v:stroke on="f" joinstyle="miter"/>
                  <v:imagedata r:id="rId56" o:title=""/>
                  <o:lock v:ext="edit" aspectratio="t"/>
                  <w10:wrap type="none"/>
                  <w10:anchorlock/>
                </v:shape>
                <o:OLEObject Type="Embed" ProgID="Equation.DSMT4" ShapeID="_x0000_i1039" DrawAspect="Content" ObjectID="_1468075740" r:id="rId55">
                  <o:LockedField>false</o:LockedField>
                </o:OLEObject>
              </w:object>
            </w:r>
          </w:p>
          <w:p w14:paraId="2AD8A294">
            <w:pPr>
              <w:adjustRightInd w:val="0"/>
              <w:snapToGrid w:val="0"/>
              <w:spacing w:line="360" w:lineRule="auto"/>
              <w:ind w:firstLine="560"/>
              <w:jc w:val="center"/>
              <w:rPr>
                <w:rFonts w:hint="default" w:ascii="Times New Roman" w:hAnsi="Times New Roman" w:eastAsia="宋体" w:cs="Times New Roman"/>
                <w:color w:val="000000"/>
                <w:szCs w:val="28"/>
                <w:highlight w:val="none"/>
              </w:rPr>
            </w:pPr>
            <w:r>
              <w:rPr>
                <w:rFonts w:hint="default" w:ascii="Times New Roman" w:hAnsi="Times New Roman" w:eastAsia="宋体" w:cs="Times New Roman"/>
                <w:color w:val="000000"/>
                <w:position w:val="-28"/>
                <w:szCs w:val="28"/>
                <w:highlight w:val="none"/>
              </w:rPr>
              <w:object>
                <v:shape id="_x0000_i1040" o:spt="75" type="#_x0000_t75" style="height:36.7pt;width:57.45pt;" o:ole="t" filled="f" o:preferrelative="t" stroked="f" coordsize="21600,21600">
                  <v:path/>
                  <v:fill on="f" focussize="0,0"/>
                  <v:stroke on="f" joinstyle="miter"/>
                  <v:imagedata r:id="rId58" o:title=""/>
                  <o:lock v:ext="edit" aspectratio="t"/>
                  <w10:wrap type="none"/>
                  <w10:anchorlock/>
                </v:shape>
                <o:OLEObject Type="Embed" ProgID="Equation.DSMT4" ShapeID="_x0000_i1040" DrawAspect="Content" ObjectID="_1468075741" r:id="rId57">
                  <o:LockedField>false</o:LockedField>
                </o:OLEObject>
              </w:object>
            </w:r>
          </w:p>
          <w:p w14:paraId="1FE25C0A">
            <w:pPr>
              <w:adjustRightInd w:val="0"/>
              <w:snapToGrid w:val="0"/>
              <w:ind w:firstLine="480"/>
              <w:rPr>
                <w:rFonts w:hint="default" w:ascii="Times New Roman" w:hAnsi="Times New Roman" w:eastAsia="宋体" w:cs="Times New Roman"/>
                <w:color w:val="000000"/>
                <w:szCs w:val="28"/>
                <w:highlight w:val="none"/>
              </w:rPr>
            </w:pPr>
            <w:r>
              <w:rPr>
                <w:rFonts w:hint="default" w:ascii="Times New Roman" w:hAnsi="Times New Roman" w:eastAsia="宋体" w:cs="Times New Roman"/>
                <w:color w:val="000000"/>
                <w:szCs w:val="28"/>
                <w:highlight w:val="none"/>
              </w:rPr>
              <w:t>对于任一标量的输运方程，采用沿水深方向垂向积分，得到：</w:t>
            </w:r>
          </w:p>
          <w:p w14:paraId="0F1122D8">
            <w:pPr>
              <w:tabs>
                <w:tab w:val="left" w:pos="7455"/>
              </w:tabs>
              <w:adjustRightInd w:val="0"/>
              <w:snapToGrid w:val="0"/>
              <w:spacing w:line="360" w:lineRule="auto"/>
              <w:ind w:firstLine="1296" w:firstLineChars="540"/>
              <w:jc w:val="right"/>
              <w:rPr>
                <w:rFonts w:hint="default" w:ascii="Times New Roman" w:hAnsi="Times New Roman" w:eastAsia="宋体" w:cs="Times New Roman"/>
                <w:color w:val="000000"/>
                <w:szCs w:val="28"/>
                <w:highlight w:val="none"/>
              </w:rPr>
            </w:pPr>
            <w:r>
              <w:rPr>
                <w:rFonts w:hint="default" w:ascii="Times New Roman" w:hAnsi="Times New Roman" w:eastAsia="宋体" w:cs="Times New Roman"/>
                <w:color w:val="000000"/>
                <w:position w:val="-28"/>
                <w:szCs w:val="28"/>
                <w:highlight w:val="none"/>
              </w:rPr>
              <w:object>
                <v:shape id="_x0000_i1041" o:spt="75" type="#_x0000_t75" style="height:36.7pt;width:207.7pt;" o:ole="t" filled="f" o:preferrelative="t" stroked="f" coordsize="21600,21600">
                  <v:path/>
                  <v:fill on="f" focussize="0,0"/>
                  <v:stroke on="f" joinstyle="miter"/>
                  <v:imagedata r:id="rId60" o:title=""/>
                  <o:lock v:ext="edit" aspectratio="t"/>
                  <w10:wrap type="none"/>
                  <w10:anchorlock/>
                </v:shape>
                <o:OLEObject Type="Embed" ProgID="Equation.DSMT4" ShapeID="_x0000_i1041" DrawAspect="Content" ObjectID="_1468075742" r:id="rId59">
                  <o:LockedField>false</o:LockedField>
                </o:OLEObject>
              </w:object>
            </w:r>
            <w:r>
              <w:rPr>
                <w:rFonts w:hint="default" w:ascii="Times New Roman" w:hAnsi="Times New Roman" w:cs="Times New Roman"/>
                <w:color w:val="000000"/>
                <w:highlight w:val="none"/>
                <w:lang w:val="en-US" w:eastAsia="zh-CN"/>
              </w:rPr>
              <w:t xml:space="preserve">            </w:t>
            </w:r>
            <w:r>
              <w:rPr>
                <w:rFonts w:hint="default" w:ascii="Times New Roman" w:hAnsi="Times New Roman" w:eastAsia="宋体" w:cs="Times New Roman"/>
                <w:color w:val="000000"/>
                <w:szCs w:val="28"/>
                <w:highlight w:val="none"/>
              </w:rPr>
              <w:t>（</w:t>
            </w:r>
            <w:r>
              <w:rPr>
                <w:rFonts w:hint="eastAsia" w:cs="Times New Roman"/>
                <w:color w:val="000000"/>
                <w:szCs w:val="28"/>
                <w:highlight w:val="none"/>
                <w:lang w:val="en-US" w:eastAsia="zh-CN"/>
              </w:rPr>
              <w:t>4</w:t>
            </w:r>
            <w:r>
              <w:rPr>
                <w:rFonts w:hint="default" w:ascii="Times New Roman" w:hAnsi="Times New Roman" w:eastAsia="宋体" w:cs="Times New Roman"/>
                <w:color w:val="000000"/>
                <w:szCs w:val="28"/>
                <w:highlight w:val="none"/>
                <w:lang w:val="en-US" w:eastAsia="zh-CN"/>
              </w:rPr>
              <w:t>.</w:t>
            </w:r>
            <w:r>
              <w:rPr>
                <w:rFonts w:hint="eastAsia" w:cs="Times New Roman"/>
                <w:color w:val="000000"/>
                <w:szCs w:val="28"/>
                <w:highlight w:val="none"/>
                <w:lang w:val="en-US" w:eastAsia="zh-CN"/>
              </w:rPr>
              <w:t>3</w:t>
            </w:r>
            <w:r>
              <w:rPr>
                <w:rFonts w:hint="default" w:ascii="Times New Roman" w:hAnsi="Times New Roman" w:eastAsia="宋体" w:cs="Times New Roman"/>
                <w:color w:val="000000"/>
                <w:szCs w:val="28"/>
                <w:highlight w:val="none"/>
                <w:lang w:val="en-US" w:eastAsia="zh-CN"/>
              </w:rPr>
              <w:t>.1</w:t>
            </w:r>
            <w:r>
              <w:rPr>
                <w:rFonts w:hint="default" w:ascii="Times New Roman" w:hAnsi="Times New Roman" w:eastAsia="宋体" w:cs="Times New Roman"/>
                <w:color w:val="000000"/>
                <w:szCs w:val="28"/>
                <w:highlight w:val="none"/>
              </w:rPr>
              <w:t>-4）</w:t>
            </w:r>
          </w:p>
          <w:p w14:paraId="0445D444">
            <w:pPr>
              <w:adjustRightInd w:val="0"/>
              <w:snapToGrid w:val="0"/>
              <w:spacing w:before="156" w:beforeLines="50" w:after="156" w:afterLines="50" w:line="360" w:lineRule="auto"/>
              <w:ind w:firstLine="480" w:firstLineChars="200"/>
              <w:rPr>
                <w:rFonts w:hint="default" w:ascii="Times New Roman" w:hAnsi="Times New Roman" w:eastAsia="宋体" w:cs="Times New Roman"/>
                <w:color w:val="000000"/>
                <w:sz w:val="24"/>
                <w:szCs w:val="24"/>
                <w:highlight w:val="none"/>
              </w:rPr>
            </w:pPr>
            <w:r>
              <w:rPr>
                <w:rFonts w:hint="default" w:ascii="Times New Roman" w:hAnsi="Times New Roman" w:eastAsia="宋体" w:cs="Times New Roman"/>
                <w:color w:val="000000"/>
                <w:sz w:val="24"/>
                <w:szCs w:val="24"/>
                <w:highlight w:val="none"/>
              </w:rPr>
              <w:t>上式中，</w:t>
            </w:r>
            <w:r>
              <w:rPr>
                <w:rFonts w:hint="default" w:ascii="Times New Roman" w:hAnsi="Times New Roman" w:eastAsia="宋体" w:cs="Times New Roman"/>
                <w:color w:val="000000"/>
                <w:position w:val="-6"/>
                <w:sz w:val="24"/>
                <w:szCs w:val="24"/>
                <w:highlight w:val="none"/>
              </w:rPr>
              <w:object>
                <v:shape id="_x0000_i1042" o:spt="75" type="#_x0000_t75" style="height:15.9pt;width:11.75pt;" o:ole="t" filled="f" o:preferrelative="t" stroked="f" coordsize="21600,21600">
                  <v:path/>
                  <v:fill on="f" focussize="0,0"/>
                  <v:stroke on="f" joinstyle="miter"/>
                  <v:imagedata r:id="rId62" o:title=""/>
                  <o:lock v:ext="edit" aspectratio="t"/>
                  <w10:wrap type="none"/>
                  <w10:anchorlock/>
                </v:shape>
                <o:OLEObject Type="Embed" ProgID="Equation.DSMT4" ShapeID="_x0000_i1042" DrawAspect="Content" ObjectID="_1468075743" r:id="rId61">
                  <o:LockedField>false</o:LockedField>
                </o:OLEObject>
              </w:object>
            </w:r>
            <w:r>
              <w:rPr>
                <w:rFonts w:hint="default" w:ascii="Times New Roman" w:hAnsi="Times New Roman" w:eastAsia="宋体" w:cs="Times New Roman"/>
                <w:color w:val="000000"/>
                <w:sz w:val="24"/>
                <w:szCs w:val="24"/>
                <w:highlight w:val="none"/>
              </w:rPr>
              <w:t>为任一沿水深平均标量。</w:t>
            </w:r>
          </w:p>
          <w:p w14:paraId="7C557B3A">
            <w:pPr>
              <w:adjustRightInd w:val="0"/>
              <w:snapToGrid w:val="0"/>
              <w:spacing w:before="156" w:beforeLines="50" w:after="156" w:afterLines="50" w:line="360" w:lineRule="auto"/>
              <w:ind w:firstLine="480" w:firstLineChars="200"/>
              <w:rPr>
                <w:rFonts w:hint="default" w:ascii="Times New Roman" w:hAnsi="Times New Roman" w:eastAsia="宋体" w:cs="Times New Roman"/>
                <w:color w:val="000000"/>
                <w:sz w:val="24"/>
                <w:szCs w:val="24"/>
                <w:highlight w:val="none"/>
              </w:rPr>
            </w:pPr>
            <w:r>
              <w:rPr>
                <w:rFonts w:hint="default" w:ascii="Times New Roman" w:hAnsi="Times New Roman" w:eastAsia="宋体" w:cs="Times New Roman"/>
                <w:color w:val="000000"/>
                <w:sz w:val="24"/>
                <w:szCs w:val="24"/>
                <w:highlight w:val="none"/>
              </w:rPr>
              <w:t>底部摩阻力</w:t>
            </w:r>
            <w:r>
              <w:rPr>
                <w:rFonts w:hint="default" w:ascii="Times New Roman" w:hAnsi="Times New Roman" w:eastAsia="宋体" w:cs="Times New Roman"/>
                <w:color w:val="000000"/>
                <w:position w:val="-14"/>
                <w:sz w:val="24"/>
                <w:szCs w:val="24"/>
                <w:highlight w:val="none"/>
              </w:rPr>
              <w:object>
                <v:shape id="_x0000_i1043" o:spt="75" type="#_x0000_t75" style="height:20.1pt;width:64.4pt;" o:ole="t" filled="f" o:preferrelative="t" stroked="f" coordsize="21600,21600">
                  <v:path/>
                  <v:fill on="f" focussize="0,0"/>
                  <v:stroke on="f" joinstyle="miter"/>
                  <v:imagedata r:id="rId64" o:title=""/>
                  <o:lock v:ext="edit" aspectratio="t"/>
                  <w10:wrap type="none"/>
                  <w10:anchorlock/>
                </v:shape>
                <o:OLEObject Type="Embed" ProgID="Equation.DSMT4" ShapeID="_x0000_i1043" DrawAspect="Content" ObjectID="_1468075744" r:id="rId63">
                  <o:LockedField>false</o:LockedField>
                </o:OLEObject>
              </w:object>
            </w:r>
            <w:r>
              <w:rPr>
                <w:rFonts w:hint="default" w:ascii="Times New Roman" w:hAnsi="Times New Roman" w:eastAsia="宋体" w:cs="Times New Roman"/>
                <w:color w:val="000000"/>
                <w:sz w:val="24"/>
                <w:szCs w:val="24"/>
                <w:highlight w:val="none"/>
              </w:rPr>
              <w:t>采用与流速平方关系的摩阻公式定义：</w:t>
            </w:r>
          </w:p>
          <w:p w14:paraId="39080E25">
            <w:pPr>
              <w:tabs>
                <w:tab w:val="center" w:pos="4153"/>
                <w:tab w:val="left" w:pos="7455"/>
                <w:tab w:val="right" w:pos="8425"/>
              </w:tabs>
              <w:adjustRightInd w:val="0"/>
              <w:snapToGrid w:val="0"/>
              <w:spacing w:line="360" w:lineRule="auto"/>
              <w:jc w:val="right"/>
              <w:rPr>
                <w:rFonts w:hint="default" w:ascii="Times New Roman" w:hAnsi="Times New Roman" w:eastAsia="宋体" w:cs="Times New Roman"/>
                <w:color w:val="000000"/>
                <w:szCs w:val="28"/>
                <w:highlight w:val="none"/>
              </w:rPr>
            </w:pPr>
            <w:r>
              <w:rPr>
                <w:rFonts w:hint="default" w:ascii="Times New Roman" w:hAnsi="Times New Roman" w:eastAsia="宋体" w:cs="Times New Roman"/>
                <w:color w:val="000000"/>
                <w:szCs w:val="28"/>
                <w:highlight w:val="none"/>
                <w:lang w:eastAsia="zh-CN"/>
              </w:rPr>
              <w:tab/>
            </w:r>
            <w:r>
              <w:rPr>
                <w:rFonts w:hint="default" w:ascii="Times New Roman" w:hAnsi="Times New Roman" w:eastAsia="宋体" w:cs="Times New Roman"/>
                <w:color w:val="000000"/>
                <w:szCs w:val="28"/>
                <w:highlight w:val="none"/>
              </w:rPr>
              <w:object>
                <v:shape id="_x0000_i1044" o:spt="75" type="#_x0000_t75" style="height:36.7pt;width:68.55pt;" o:ole="t" filled="f" o:preferrelative="t" stroked="f" coordsize="21600,21600">
                  <v:path/>
                  <v:fill on="f" focussize="0,0"/>
                  <v:stroke on="f" joinstyle="miter"/>
                  <v:imagedata r:id="rId66" o:title=""/>
                  <o:lock v:ext="edit" aspectratio="t"/>
                  <w10:wrap type="none"/>
                  <w10:anchorlock/>
                </v:shape>
                <o:OLEObject Type="Embed" ProgID="Equation.DSMT4" ShapeID="_x0000_i1044" DrawAspect="Content" ObjectID="_1468075745" r:id="rId65">
                  <o:LockedField>false</o:LockedField>
                </o:OLEObject>
              </w:object>
            </w:r>
            <w:r>
              <w:rPr>
                <w:rFonts w:hint="default" w:ascii="Times New Roman" w:hAnsi="Times New Roman" w:cs="Times New Roman"/>
                <w:color w:val="000000"/>
                <w:highlight w:val="none"/>
                <w:lang w:val="en-US" w:eastAsia="zh-CN"/>
              </w:rPr>
              <w:t xml:space="preserve">                      </w:t>
            </w:r>
            <w:r>
              <w:rPr>
                <w:rFonts w:hint="eastAsia" w:cs="Times New Roman"/>
                <w:color w:val="000000"/>
                <w:highlight w:val="none"/>
                <w:lang w:val="en-US" w:eastAsia="zh-CN"/>
              </w:rPr>
              <w:t>（4</w:t>
            </w:r>
            <w:r>
              <w:rPr>
                <w:rFonts w:hint="default" w:ascii="Times New Roman" w:hAnsi="Times New Roman" w:eastAsia="宋体" w:cs="Times New Roman"/>
                <w:color w:val="000000"/>
                <w:szCs w:val="28"/>
                <w:highlight w:val="none"/>
                <w:lang w:val="en-US" w:eastAsia="zh-CN"/>
              </w:rPr>
              <w:t>.</w:t>
            </w:r>
            <w:r>
              <w:rPr>
                <w:rFonts w:hint="eastAsia" w:cs="Times New Roman"/>
                <w:color w:val="000000"/>
                <w:szCs w:val="28"/>
                <w:highlight w:val="none"/>
                <w:lang w:val="en-US" w:eastAsia="zh-CN"/>
              </w:rPr>
              <w:t>3</w:t>
            </w:r>
            <w:r>
              <w:rPr>
                <w:rFonts w:hint="default" w:ascii="Times New Roman" w:hAnsi="Times New Roman" w:eastAsia="宋体" w:cs="Times New Roman"/>
                <w:color w:val="000000"/>
                <w:szCs w:val="28"/>
                <w:highlight w:val="none"/>
                <w:lang w:val="en-US" w:eastAsia="zh-CN"/>
              </w:rPr>
              <w:t>.1</w:t>
            </w:r>
            <w:r>
              <w:rPr>
                <w:rFonts w:hint="default" w:ascii="Times New Roman" w:hAnsi="Times New Roman" w:eastAsia="宋体" w:cs="Times New Roman"/>
                <w:color w:val="000000"/>
                <w:szCs w:val="28"/>
                <w:highlight w:val="none"/>
              </w:rPr>
              <w:t>-5）</w:t>
            </w:r>
          </w:p>
          <w:p w14:paraId="3DF0BFFC">
            <w:pPr>
              <w:tabs>
                <w:tab w:val="left" w:pos="7660"/>
              </w:tabs>
              <w:adjustRightInd w:val="0"/>
              <w:snapToGrid w:val="0"/>
              <w:spacing w:before="156" w:beforeLines="50" w:after="156" w:afterLines="50" w:line="360" w:lineRule="auto"/>
              <w:ind w:firstLine="480" w:firstLineChars="200"/>
              <w:rPr>
                <w:rFonts w:hint="default" w:ascii="Times New Roman" w:hAnsi="Times New Roman" w:eastAsia="宋体" w:cs="Times New Roman"/>
                <w:color w:val="000000"/>
                <w:sz w:val="24"/>
                <w:szCs w:val="24"/>
                <w:highlight w:val="none"/>
              </w:rPr>
            </w:pPr>
            <w:r>
              <w:rPr>
                <w:rFonts w:hint="default" w:ascii="Times New Roman" w:hAnsi="Times New Roman" w:eastAsia="宋体" w:cs="Times New Roman"/>
                <w:color w:val="000000"/>
                <w:sz w:val="24"/>
                <w:szCs w:val="24"/>
                <w:highlight w:val="none"/>
              </w:rPr>
              <w:t>上式中，</w:t>
            </w:r>
            <w:r>
              <w:rPr>
                <w:rFonts w:hint="default" w:ascii="Times New Roman" w:hAnsi="Times New Roman" w:eastAsia="宋体" w:cs="Times New Roman"/>
                <w:i/>
                <w:color w:val="000000"/>
                <w:sz w:val="24"/>
                <w:szCs w:val="24"/>
                <w:highlight w:val="none"/>
              </w:rPr>
              <w:t>c</w:t>
            </w:r>
            <w:r>
              <w:rPr>
                <w:rFonts w:hint="default" w:ascii="Times New Roman" w:hAnsi="Times New Roman" w:eastAsia="宋体" w:cs="Times New Roman"/>
                <w:i/>
                <w:color w:val="000000"/>
                <w:sz w:val="24"/>
                <w:szCs w:val="24"/>
                <w:highlight w:val="none"/>
                <w:vertAlign w:val="subscript"/>
              </w:rPr>
              <w:t>f</w:t>
            </w:r>
            <w:r>
              <w:rPr>
                <w:rFonts w:hint="default" w:ascii="Times New Roman" w:hAnsi="Times New Roman" w:eastAsia="宋体" w:cs="Times New Roman"/>
                <w:color w:val="000000"/>
                <w:sz w:val="24"/>
                <w:szCs w:val="24"/>
                <w:highlight w:val="none"/>
              </w:rPr>
              <w:t>为摩阻系数，</w:t>
            </w:r>
            <w:r>
              <w:rPr>
                <w:rFonts w:hint="default" w:ascii="Times New Roman" w:hAnsi="Times New Roman" w:eastAsia="宋体" w:cs="Times New Roman"/>
                <w:color w:val="000000"/>
                <w:position w:val="-12"/>
                <w:sz w:val="24"/>
                <w:szCs w:val="24"/>
                <w:highlight w:val="none"/>
              </w:rPr>
              <w:object>
                <v:shape id="_x0000_i1045" o:spt="75" type="#_x0000_t75" style="height:20.1pt;width:60.25pt;" o:ole="t" filled="f" o:preferrelative="t" stroked="f" coordsize="21600,21600">
                  <v:path/>
                  <v:fill on="f" focussize="0,0"/>
                  <v:stroke on="f" joinstyle="miter"/>
                  <v:imagedata r:id="rId68" o:title=""/>
                  <o:lock v:ext="edit" aspectratio="t"/>
                  <w10:wrap type="none"/>
                  <w10:anchorlock/>
                </v:shape>
                <o:OLEObject Type="Embed" ProgID="Equation.DSMT4" ShapeID="_x0000_i1045" DrawAspect="Content" ObjectID="_1468075746" r:id="rId67">
                  <o:LockedField>false</o:LockedField>
                </o:OLEObject>
              </w:object>
            </w:r>
            <w:r>
              <w:rPr>
                <w:rFonts w:hint="default" w:ascii="Times New Roman" w:hAnsi="Times New Roman" w:eastAsia="宋体" w:cs="Times New Roman"/>
                <w:color w:val="000000"/>
                <w:sz w:val="24"/>
                <w:szCs w:val="24"/>
                <w:highlight w:val="none"/>
              </w:rPr>
              <w:t>为底部表面流速。与底部摩阻力相关的摩阻流速按如下式定义：</w:t>
            </w:r>
          </w:p>
          <w:p w14:paraId="79C6829F">
            <w:pPr>
              <w:tabs>
                <w:tab w:val="center" w:pos="4153"/>
                <w:tab w:val="left" w:pos="7455"/>
                <w:tab w:val="right" w:pos="8425"/>
              </w:tabs>
              <w:adjustRightInd w:val="0"/>
              <w:snapToGrid w:val="0"/>
              <w:spacing w:line="360" w:lineRule="auto"/>
              <w:jc w:val="right"/>
              <w:rPr>
                <w:rFonts w:hint="default" w:ascii="Times New Roman" w:hAnsi="Times New Roman" w:eastAsia="宋体" w:cs="Times New Roman"/>
                <w:color w:val="000000"/>
                <w:szCs w:val="28"/>
                <w:highlight w:val="none"/>
              </w:rPr>
            </w:pPr>
            <w:r>
              <w:rPr>
                <w:rFonts w:hint="default" w:ascii="Times New Roman" w:hAnsi="Times New Roman" w:eastAsia="宋体" w:cs="Times New Roman"/>
                <w:color w:val="000000"/>
                <w:szCs w:val="28"/>
                <w:highlight w:val="none"/>
                <w:lang w:eastAsia="zh-CN"/>
              </w:rPr>
              <w:tab/>
            </w:r>
            <w:r>
              <w:rPr>
                <w:rFonts w:hint="default" w:ascii="Times New Roman" w:hAnsi="Times New Roman" w:eastAsia="宋体" w:cs="Times New Roman"/>
                <w:color w:val="000000"/>
                <w:szCs w:val="28"/>
                <w:highlight w:val="none"/>
              </w:rPr>
              <w:object>
                <v:shape id="_x0000_i1046" o:spt="75" type="#_x0000_t75" style="height:29.1pt;width:72pt;" o:ole="t" filled="f" o:preferrelative="t" stroked="f" coordsize="21600,21600">
                  <v:path/>
                  <v:fill on="f" focussize="0,0"/>
                  <v:stroke on="f" joinstyle="miter"/>
                  <v:imagedata r:id="rId70" o:title=""/>
                  <o:lock v:ext="edit" aspectratio="t"/>
                  <w10:wrap type="none"/>
                  <w10:anchorlock/>
                </v:shape>
                <o:OLEObject Type="Embed" ProgID="Equation.DSMT4" ShapeID="_x0000_i1046" DrawAspect="Content" ObjectID="_1468075747" r:id="rId69">
                  <o:LockedField>false</o:LockedField>
                </o:OLEObject>
              </w:object>
            </w:r>
            <w:r>
              <w:rPr>
                <w:rFonts w:hint="default" w:ascii="Times New Roman" w:hAnsi="Times New Roman" w:cs="Times New Roman"/>
                <w:color w:val="000000"/>
                <w:highlight w:val="none"/>
                <w:lang w:val="en-US" w:eastAsia="zh-CN"/>
              </w:rPr>
              <w:t xml:space="preserve">                     </w:t>
            </w:r>
            <w:r>
              <w:rPr>
                <w:rFonts w:hint="default" w:ascii="Times New Roman" w:hAnsi="Times New Roman" w:eastAsia="宋体" w:cs="Times New Roman"/>
                <w:color w:val="000000"/>
                <w:szCs w:val="28"/>
                <w:highlight w:val="none"/>
              </w:rPr>
              <w:t>（</w:t>
            </w:r>
            <w:r>
              <w:rPr>
                <w:rFonts w:hint="eastAsia" w:cs="Times New Roman"/>
                <w:color w:val="000000"/>
                <w:szCs w:val="28"/>
                <w:highlight w:val="none"/>
                <w:lang w:val="en-US" w:eastAsia="zh-CN"/>
              </w:rPr>
              <w:t>4</w:t>
            </w:r>
            <w:r>
              <w:rPr>
                <w:rFonts w:hint="default" w:ascii="Times New Roman" w:hAnsi="Times New Roman" w:eastAsia="宋体" w:cs="Times New Roman"/>
                <w:color w:val="000000"/>
                <w:szCs w:val="28"/>
                <w:highlight w:val="none"/>
                <w:lang w:val="en-US" w:eastAsia="zh-CN"/>
              </w:rPr>
              <w:t>.</w:t>
            </w:r>
            <w:r>
              <w:rPr>
                <w:rFonts w:hint="eastAsia" w:cs="Times New Roman"/>
                <w:color w:val="000000"/>
                <w:szCs w:val="28"/>
                <w:highlight w:val="none"/>
                <w:lang w:val="en-US" w:eastAsia="zh-CN"/>
              </w:rPr>
              <w:t>3</w:t>
            </w:r>
            <w:r>
              <w:rPr>
                <w:rFonts w:hint="default" w:ascii="Times New Roman" w:hAnsi="Times New Roman" w:eastAsia="宋体" w:cs="Times New Roman"/>
                <w:color w:val="000000"/>
                <w:szCs w:val="28"/>
                <w:highlight w:val="none"/>
                <w:lang w:val="en-US" w:eastAsia="zh-CN"/>
              </w:rPr>
              <w:t>.1</w:t>
            </w:r>
            <w:r>
              <w:rPr>
                <w:rFonts w:hint="default" w:ascii="Times New Roman" w:hAnsi="Times New Roman" w:eastAsia="宋体" w:cs="Times New Roman"/>
                <w:color w:val="000000"/>
                <w:szCs w:val="28"/>
                <w:highlight w:val="none"/>
              </w:rPr>
              <w:t>-6）</w:t>
            </w:r>
          </w:p>
          <w:p w14:paraId="22E2E152">
            <w:pPr>
              <w:tabs>
                <w:tab w:val="left" w:pos="7660"/>
              </w:tabs>
              <w:adjustRightInd w:val="0"/>
              <w:snapToGrid w:val="0"/>
              <w:spacing w:before="156" w:beforeLines="50" w:after="156" w:afterLines="50" w:line="360" w:lineRule="auto"/>
              <w:ind w:firstLine="480" w:firstLineChars="200"/>
              <w:rPr>
                <w:rFonts w:hint="default" w:ascii="Times New Roman" w:hAnsi="Times New Roman" w:eastAsia="宋体" w:cs="Times New Roman"/>
                <w:color w:val="000000"/>
                <w:sz w:val="24"/>
                <w:szCs w:val="24"/>
                <w:highlight w:val="none"/>
              </w:rPr>
            </w:pPr>
            <w:r>
              <w:rPr>
                <w:rFonts w:hint="default" w:ascii="Times New Roman" w:hAnsi="Times New Roman" w:eastAsia="宋体" w:cs="Times New Roman"/>
                <w:color w:val="000000"/>
                <w:sz w:val="24"/>
                <w:szCs w:val="24"/>
                <w:highlight w:val="none"/>
              </w:rPr>
              <w:t>对于二维流计算，</w:t>
            </w:r>
            <w:r>
              <w:rPr>
                <w:rFonts w:hint="default" w:ascii="Times New Roman" w:hAnsi="Times New Roman" w:eastAsia="宋体" w:cs="Times New Roman"/>
                <w:color w:val="000000"/>
                <w:sz w:val="24"/>
                <w:szCs w:val="24"/>
                <w:highlight w:val="none"/>
              </w:rPr>
              <w:object>
                <v:shape id="_x0000_i1047" o:spt="75" type="#_x0000_t75" style="height:15.9pt;width:14.55pt;" o:ole="t" filled="f" o:preferrelative="t" stroked="f" coordsize="21600,21600">
                  <v:path/>
                  <v:fill on="f" focussize="0,0"/>
                  <v:stroke on="f" joinstyle="miter"/>
                  <v:imagedata r:id="rId72" o:title=""/>
                  <o:lock v:ext="edit" aspectratio="t"/>
                  <w10:wrap type="none"/>
                  <w10:anchorlock/>
                </v:shape>
                <o:OLEObject Type="Embed" ProgID="Equation.DSMT4" ShapeID="_x0000_i1047" DrawAspect="Content" ObjectID="_1468075748" r:id="rId71">
                  <o:LockedField>false</o:LockedField>
                </o:OLEObject>
              </w:object>
            </w:r>
            <w:r>
              <w:rPr>
                <w:rFonts w:hint="default" w:ascii="Times New Roman" w:hAnsi="Times New Roman" w:eastAsia="宋体" w:cs="Times New Roman"/>
                <w:color w:val="000000"/>
                <w:sz w:val="24"/>
                <w:szCs w:val="24"/>
                <w:highlight w:val="none"/>
              </w:rPr>
              <w:t>为沿水深平均流速；摩阻系数可采用Chezy数（C）或者曼宁数(M)形式表示：</w:t>
            </w:r>
          </w:p>
          <w:p w14:paraId="1F6DD6A5">
            <w:pPr>
              <w:tabs>
                <w:tab w:val="left" w:pos="7455"/>
              </w:tabs>
              <w:adjustRightInd w:val="0"/>
              <w:snapToGrid w:val="0"/>
              <w:spacing w:line="360" w:lineRule="auto"/>
              <w:ind w:firstLine="1536" w:firstLineChars="640"/>
              <w:jc w:val="right"/>
              <w:rPr>
                <w:rFonts w:hint="default" w:ascii="Times New Roman" w:hAnsi="Times New Roman" w:eastAsia="宋体" w:cs="Times New Roman"/>
                <w:color w:val="000000"/>
                <w:szCs w:val="28"/>
                <w:highlight w:val="none"/>
              </w:rPr>
            </w:pPr>
            <w:r>
              <w:rPr>
                <w:rFonts w:hint="default" w:ascii="Times New Roman" w:hAnsi="Times New Roman" w:eastAsia="宋体" w:cs="Times New Roman"/>
                <w:color w:val="000000"/>
                <w:position w:val="-24"/>
                <w:szCs w:val="28"/>
                <w:highlight w:val="none"/>
              </w:rPr>
              <w:object>
                <v:shape id="_x0000_i1048" o:spt="75" type="#_x0000_t75" style="height:29.1pt;width:37.4pt;" o:ole="t" filled="f" o:preferrelative="t" stroked="f" coordsize="21600,21600">
                  <v:path/>
                  <v:fill on="f" focussize="0,0"/>
                  <v:stroke on="f" joinstyle="miter"/>
                  <v:imagedata r:id="rId74" o:title=""/>
                  <o:lock v:ext="edit" aspectratio="t"/>
                  <w10:wrap type="none"/>
                  <w10:anchorlock/>
                </v:shape>
                <o:OLEObject Type="Embed" ProgID="Equation.DSMT4" ShapeID="_x0000_i1048" DrawAspect="Content" ObjectID="_1468075749" r:id="rId73">
                  <o:LockedField>false</o:LockedField>
                </o:OLEObject>
              </w:object>
            </w:r>
            <w:r>
              <w:rPr>
                <w:rFonts w:hint="default" w:ascii="Times New Roman" w:hAnsi="Times New Roman" w:cs="Times New Roman"/>
                <w:color w:val="000000"/>
                <w:highlight w:val="none"/>
                <w:lang w:val="en-US" w:eastAsia="zh-CN"/>
              </w:rPr>
              <w:t xml:space="preserve">                       </w:t>
            </w:r>
            <w:r>
              <w:rPr>
                <w:rFonts w:hint="default" w:ascii="Times New Roman" w:hAnsi="Times New Roman" w:eastAsia="宋体" w:cs="Times New Roman"/>
                <w:color w:val="000000"/>
                <w:szCs w:val="28"/>
                <w:highlight w:val="none"/>
              </w:rPr>
              <w:t>（</w:t>
            </w:r>
            <w:r>
              <w:rPr>
                <w:rFonts w:hint="eastAsia" w:cs="Times New Roman"/>
                <w:color w:val="000000"/>
                <w:szCs w:val="28"/>
                <w:highlight w:val="none"/>
                <w:lang w:val="en-US" w:eastAsia="zh-CN"/>
              </w:rPr>
              <w:t>4</w:t>
            </w:r>
            <w:r>
              <w:rPr>
                <w:rFonts w:hint="default" w:ascii="Times New Roman" w:hAnsi="Times New Roman" w:eastAsia="宋体" w:cs="Times New Roman"/>
                <w:color w:val="000000"/>
                <w:szCs w:val="28"/>
                <w:highlight w:val="none"/>
                <w:lang w:val="en-US" w:eastAsia="zh-CN"/>
              </w:rPr>
              <w:t>.</w:t>
            </w:r>
            <w:r>
              <w:rPr>
                <w:rFonts w:hint="eastAsia" w:cs="Times New Roman"/>
                <w:color w:val="000000"/>
                <w:szCs w:val="28"/>
                <w:highlight w:val="none"/>
                <w:lang w:val="en-US" w:eastAsia="zh-CN"/>
              </w:rPr>
              <w:t>3</w:t>
            </w:r>
            <w:r>
              <w:rPr>
                <w:rFonts w:hint="default" w:ascii="Times New Roman" w:hAnsi="Times New Roman" w:eastAsia="宋体" w:cs="Times New Roman"/>
                <w:color w:val="000000"/>
                <w:szCs w:val="28"/>
                <w:highlight w:val="none"/>
                <w:lang w:val="en-US" w:eastAsia="zh-CN"/>
              </w:rPr>
              <w:t>.1</w:t>
            </w:r>
            <w:r>
              <w:rPr>
                <w:rFonts w:hint="default" w:ascii="Times New Roman" w:hAnsi="Times New Roman" w:eastAsia="宋体" w:cs="Times New Roman"/>
                <w:color w:val="000000"/>
                <w:szCs w:val="28"/>
                <w:highlight w:val="none"/>
              </w:rPr>
              <w:t>-7）</w:t>
            </w:r>
          </w:p>
          <w:p w14:paraId="0431C634">
            <w:pPr>
              <w:tabs>
                <w:tab w:val="left" w:pos="7455"/>
              </w:tabs>
              <w:adjustRightInd w:val="0"/>
              <w:snapToGrid w:val="0"/>
              <w:spacing w:line="360" w:lineRule="auto"/>
              <w:ind w:firstLine="1296" w:firstLineChars="540"/>
              <w:jc w:val="right"/>
              <w:rPr>
                <w:rFonts w:hint="default" w:ascii="Times New Roman" w:hAnsi="Times New Roman" w:eastAsia="宋体" w:cs="Times New Roman"/>
                <w:color w:val="000000"/>
                <w:szCs w:val="28"/>
                <w:highlight w:val="none"/>
              </w:rPr>
            </w:pPr>
            <w:r>
              <w:rPr>
                <w:rFonts w:hint="default" w:ascii="Times New Roman" w:hAnsi="Times New Roman" w:eastAsia="宋体" w:cs="Times New Roman"/>
                <w:color w:val="000000"/>
                <w:position w:val="-28"/>
                <w:szCs w:val="28"/>
                <w:highlight w:val="none"/>
              </w:rPr>
              <w:object>
                <v:shape id="_x0000_i1049" o:spt="75" type="#_x0000_t75" style="height:34.6pt;width:65.1pt;" o:ole="t" filled="f" o:preferrelative="t" stroked="f" coordsize="21600,21600">
                  <v:path/>
                  <v:fill on="f" focussize="0,0"/>
                  <v:stroke on="f" joinstyle="miter"/>
                  <v:imagedata r:id="rId76" o:title=""/>
                  <o:lock v:ext="edit" aspectratio="t"/>
                  <w10:wrap type="none"/>
                  <w10:anchorlock/>
                </v:shape>
                <o:OLEObject Type="Embed" ProgID="Equation.DSMT4" ShapeID="_x0000_i1049" DrawAspect="Content" ObjectID="_1468075750" r:id="rId75">
                  <o:LockedField>false</o:LockedField>
                </o:OLEObject>
              </w:object>
            </w:r>
            <w:r>
              <w:rPr>
                <w:rFonts w:hint="default" w:ascii="Times New Roman" w:hAnsi="Times New Roman" w:cs="Times New Roman"/>
                <w:color w:val="000000"/>
                <w:highlight w:val="none"/>
                <w:lang w:val="en-US" w:eastAsia="zh-CN"/>
              </w:rPr>
              <w:t xml:space="preserve">                     </w:t>
            </w:r>
            <w:r>
              <w:rPr>
                <w:rFonts w:hint="default" w:ascii="Times New Roman" w:hAnsi="Times New Roman" w:eastAsia="宋体" w:cs="Times New Roman"/>
                <w:color w:val="000000"/>
                <w:szCs w:val="28"/>
                <w:highlight w:val="none"/>
              </w:rPr>
              <w:t>（</w:t>
            </w:r>
            <w:r>
              <w:rPr>
                <w:rFonts w:hint="eastAsia" w:cs="Times New Roman"/>
                <w:color w:val="000000"/>
                <w:szCs w:val="28"/>
                <w:highlight w:val="none"/>
                <w:lang w:val="en-US" w:eastAsia="zh-CN"/>
              </w:rPr>
              <w:t>4</w:t>
            </w:r>
            <w:r>
              <w:rPr>
                <w:rFonts w:hint="default" w:ascii="Times New Roman" w:hAnsi="Times New Roman" w:eastAsia="宋体" w:cs="Times New Roman"/>
                <w:color w:val="000000"/>
                <w:szCs w:val="28"/>
                <w:highlight w:val="none"/>
                <w:lang w:val="en-US" w:eastAsia="zh-CN"/>
              </w:rPr>
              <w:t>.</w:t>
            </w:r>
            <w:r>
              <w:rPr>
                <w:rFonts w:hint="eastAsia" w:cs="Times New Roman"/>
                <w:color w:val="000000"/>
                <w:szCs w:val="28"/>
                <w:highlight w:val="none"/>
                <w:lang w:val="en-US" w:eastAsia="zh-CN"/>
              </w:rPr>
              <w:t>3</w:t>
            </w:r>
            <w:r>
              <w:rPr>
                <w:rFonts w:hint="default" w:ascii="Times New Roman" w:hAnsi="Times New Roman" w:eastAsia="宋体" w:cs="Times New Roman"/>
                <w:color w:val="000000"/>
                <w:szCs w:val="28"/>
                <w:highlight w:val="none"/>
                <w:lang w:val="en-US" w:eastAsia="zh-CN"/>
              </w:rPr>
              <w:t>.1</w:t>
            </w:r>
            <w:r>
              <w:rPr>
                <w:rFonts w:hint="default" w:ascii="Times New Roman" w:hAnsi="Times New Roman" w:eastAsia="宋体" w:cs="Times New Roman"/>
                <w:color w:val="000000"/>
                <w:szCs w:val="28"/>
                <w:highlight w:val="none"/>
              </w:rPr>
              <w:t>-8）</w:t>
            </w:r>
          </w:p>
          <w:p w14:paraId="23C3E48F">
            <w:pPr>
              <w:tabs>
                <w:tab w:val="left" w:pos="7660"/>
              </w:tabs>
              <w:adjustRightInd w:val="0"/>
              <w:snapToGrid w:val="0"/>
              <w:spacing w:before="156" w:beforeLines="50" w:after="156" w:afterLines="50" w:line="360" w:lineRule="auto"/>
              <w:ind w:firstLine="480" w:firstLineChars="200"/>
              <w:rPr>
                <w:rFonts w:hint="default" w:ascii="Times New Roman" w:hAnsi="Times New Roman" w:eastAsia="宋体" w:cs="Times New Roman"/>
                <w:color w:val="000000"/>
                <w:sz w:val="24"/>
                <w:szCs w:val="24"/>
                <w:highlight w:val="none"/>
              </w:rPr>
            </w:pPr>
            <w:r>
              <w:rPr>
                <w:rFonts w:hint="default" w:ascii="Times New Roman" w:hAnsi="Times New Roman" w:eastAsia="宋体" w:cs="Times New Roman"/>
                <w:color w:val="000000"/>
                <w:sz w:val="24"/>
                <w:szCs w:val="24"/>
                <w:highlight w:val="none"/>
              </w:rPr>
              <w:object>
                <v:shape id="_x0000_i1050" o:spt="75" type="#_x0000_t75" style="height:20.1pt;width:65.1pt;" o:ole="t" filled="f" o:preferrelative="t" stroked="f" coordsize="21600,21600">
                  <v:path/>
                  <v:fill on="f" focussize="0,0"/>
                  <v:stroke on="f" joinstyle="miter"/>
                  <v:imagedata r:id="rId78" o:title=""/>
                  <o:lock v:ext="edit" aspectratio="t"/>
                  <w10:wrap type="none"/>
                  <w10:anchorlock/>
                </v:shape>
                <o:OLEObject Type="Embed" ProgID="Equation.DSMT4" ShapeID="_x0000_i1050" DrawAspect="Content" ObjectID="_1468075751" r:id="rId77">
                  <o:LockedField>false</o:LockedField>
                </o:OLEObject>
              </w:object>
            </w:r>
            <w:r>
              <w:rPr>
                <w:rFonts w:hint="default" w:ascii="Times New Roman" w:hAnsi="Times New Roman" w:eastAsia="宋体" w:cs="Times New Roman"/>
                <w:color w:val="000000"/>
                <w:sz w:val="24"/>
                <w:szCs w:val="24"/>
                <w:highlight w:val="none"/>
              </w:rPr>
              <w:t>表示未被浮冰覆盖的水面所受表面风切应力，由下述经验公式给出：</w:t>
            </w:r>
          </w:p>
          <w:p w14:paraId="4B42B3A4">
            <w:pPr>
              <w:tabs>
                <w:tab w:val="left" w:pos="7245"/>
              </w:tabs>
              <w:adjustRightInd w:val="0"/>
              <w:snapToGrid w:val="0"/>
              <w:spacing w:line="360" w:lineRule="auto"/>
              <w:ind w:firstLine="1296" w:firstLineChars="540"/>
              <w:jc w:val="right"/>
              <w:rPr>
                <w:rFonts w:hint="default" w:ascii="Times New Roman" w:hAnsi="Times New Roman" w:eastAsia="宋体" w:cs="Times New Roman"/>
                <w:color w:val="000000"/>
                <w:szCs w:val="28"/>
                <w:highlight w:val="none"/>
              </w:rPr>
            </w:pPr>
            <w:r>
              <w:rPr>
                <w:rFonts w:hint="default" w:ascii="Times New Roman" w:hAnsi="Times New Roman" w:eastAsia="宋体" w:cs="Times New Roman"/>
                <w:color w:val="000000"/>
                <w:position w:val="-18"/>
                <w:szCs w:val="28"/>
                <w:highlight w:val="none"/>
              </w:rPr>
              <w:object>
                <v:shape id="_x0000_i1051" o:spt="75" type="#_x0000_t75" style="height:27.7pt;width:78.25pt;" o:ole="t" filled="f" o:preferrelative="t" stroked="f" coordsize="21600,21600">
                  <v:path/>
                  <v:fill on="f" focussize="0,0"/>
                  <v:stroke on="f" joinstyle="miter"/>
                  <v:imagedata r:id="rId80" o:title=""/>
                  <o:lock v:ext="edit" aspectratio="t"/>
                  <w10:wrap type="none"/>
                  <w10:anchorlock/>
                </v:shape>
                <o:OLEObject Type="Embed" ProgID="Equation.DSMT4" ShapeID="_x0000_i1051" DrawAspect="Content" ObjectID="_1468075752" r:id="rId79">
                  <o:LockedField>false</o:LockedField>
                </o:OLEObject>
              </w:object>
            </w:r>
            <w:r>
              <w:rPr>
                <w:rFonts w:hint="default" w:ascii="Times New Roman" w:hAnsi="Times New Roman" w:cs="Times New Roman"/>
                <w:color w:val="000000"/>
                <w:highlight w:val="none"/>
                <w:lang w:val="en-US" w:eastAsia="zh-CN"/>
              </w:rPr>
              <w:t xml:space="preserve">                     </w:t>
            </w:r>
            <w:r>
              <w:rPr>
                <w:rFonts w:hint="default" w:ascii="Times New Roman" w:hAnsi="Times New Roman" w:eastAsia="宋体" w:cs="Times New Roman"/>
                <w:color w:val="000000"/>
                <w:szCs w:val="28"/>
                <w:highlight w:val="none"/>
              </w:rPr>
              <w:t>（</w:t>
            </w:r>
            <w:r>
              <w:rPr>
                <w:rFonts w:hint="eastAsia" w:cs="Times New Roman"/>
                <w:color w:val="000000"/>
                <w:szCs w:val="28"/>
                <w:highlight w:val="none"/>
                <w:lang w:val="en-US" w:eastAsia="zh-CN"/>
              </w:rPr>
              <w:t>4</w:t>
            </w:r>
            <w:r>
              <w:rPr>
                <w:rFonts w:hint="default" w:ascii="Times New Roman" w:hAnsi="Times New Roman" w:eastAsia="宋体" w:cs="Times New Roman"/>
                <w:color w:val="000000"/>
                <w:szCs w:val="28"/>
                <w:highlight w:val="none"/>
                <w:lang w:val="en-US" w:eastAsia="zh-CN"/>
              </w:rPr>
              <w:t>.</w:t>
            </w:r>
            <w:r>
              <w:rPr>
                <w:rFonts w:hint="eastAsia" w:cs="Times New Roman"/>
                <w:color w:val="000000"/>
                <w:szCs w:val="28"/>
                <w:highlight w:val="none"/>
                <w:lang w:val="en-US" w:eastAsia="zh-CN"/>
              </w:rPr>
              <w:t>3</w:t>
            </w:r>
            <w:r>
              <w:rPr>
                <w:rFonts w:hint="default" w:ascii="Times New Roman" w:hAnsi="Times New Roman" w:eastAsia="宋体" w:cs="Times New Roman"/>
                <w:color w:val="000000"/>
                <w:szCs w:val="28"/>
                <w:highlight w:val="none"/>
                <w:lang w:val="en-US" w:eastAsia="zh-CN"/>
              </w:rPr>
              <w:t>.1</w:t>
            </w:r>
            <w:r>
              <w:rPr>
                <w:rFonts w:hint="default" w:ascii="Times New Roman" w:hAnsi="Times New Roman" w:eastAsia="宋体" w:cs="Times New Roman"/>
                <w:color w:val="000000"/>
                <w:szCs w:val="28"/>
                <w:highlight w:val="none"/>
              </w:rPr>
              <w:t>-9）</w:t>
            </w:r>
          </w:p>
          <w:p w14:paraId="482C0518">
            <w:pPr>
              <w:tabs>
                <w:tab w:val="left" w:pos="7660"/>
              </w:tabs>
              <w:adjustRightInd w:val="0"/>
              <w:snapToGrid w:val="0"/>
              <w:spacing w:before="156" w:beforeLines="50" w:after="156" w:afterLines="50" w:line="360" w:lineRule="auto"/>
              <w:ind w:firstLine="480" w:firstLineChars="200"/>
              <w:rPr>
                <w:rFonts w:hint="default" w:ascii="Times New Roman" w:hAnsi="Times New Roman" w:eastAsia="宋体" w:cs="Times New Roman"/>
                <w:color w:val="000000"/>
                <w:sz w:val="24"/>
                <w:szCs w:val="24"/>
                <w:highlight w:val="none"/>
              </w:rPr>
            </w:pPr>
            <w:r>
              <w:rPr>
                <w:rFonts w:hint="default" w:ascii="Times New Roman" w:hAnsi="Times New Roman" w:eastAsia="宋体" w:cs="Times New Roman"/>
                <w:color w:val="000000"/>
                <w:sz w:val="24"/>
                <w:szCs w:val="24"/>
                <w:highlight w:val="none"/>
              </w:rPr>
              <w:t>式中，</w:t>
            </w:r>
            <w:r>
              <w:rPr>
                <w:rFonts w:hint="default" w:ascii="Times New Roman" w:hAnsi="Times New Roman" w:eastAsia="宋体" w:cs="Times New Roman"/>
                <w:color w:val="000000"/>
                <w:sz w:val="24"/>
                <w:szCs w:val="24"/>
                <w:highlight w:val="none"/>
              </w:rPr>
              <w:object>
                <v:shape id="_x0000_i1052" o:spt="75" type="#_x0000_t75" style="height:20.1pt;width:15.9pt;" o:ole="t" filled="f" o:preferrelative="t" stroked="f" coordsize="21600,21600">
                  <v:path/>
                  <v:fill on="f" focussize="0,0"/>
                  <v:stroke on="f" joinstyle="miter"/>
                  <v:imagedata r:id="rId82" o:title=""/>
                  <o:lock v:ext="edit" aspectratio="t"/>
                  <w10:wrap type="none"/>
                  <w10:anchorlock/>
                </v:shape>
                <o:OLEObject Type="Embed" ProgID="Equation.DSMT4" ShapeID="_x0000_i1052" DrawAspect="Content" ObjectID="_1468075753" r:id="rId81">
                  <o:LockedField>false</o:LockedField>
                </o:OLEObject>
              </w:object>
            </w:r>
            <w:r>
              <w:rPr>
                <w:rFonts w:hint="default" w:ascii="Times New Roman" w:hAnsi="Times New Roman" w:eastAsia="宋体" w:cs="Times New Roman"/>
                <w:color w:val="000000"/>
                <w:sz w:val="24"/>
                <w:szCs w:val="24"/>
                <w:highlight w:val="none"/>
              </w:rPr>
              <w:t>为空气密度；</w:t>
            </w:r>
            <w:r>
              <w:rPr>
                <w:rFonts w:hint="default" w:ascii="Times New Roman" w:hAnsi="Times New Roman" w:eastAsia="宋体" w:cs="Times New Roman"/>
                <w:color w:val="000000"/>
                <w:sz w:val="24"/>
                <w:szCs w:val="24"/>
                <w:highlight w:val="none"/>
              </w:rPr>
              <w:object>
                <v:shape id="_x0000_i1053" o:spt="75" type="#_x0000_t75" style="height:20.1pt;width:57.45pt;" o:ole="t" filled="f" o:preferrelative="t" stroked="f" coordsize="21600,21600">
                  <v:path/>
                  <v:fill on="f" focussize="0,0"/>
                  <v:stroke on="f" joinstyle="miter"/>
                  <v:imagedata r:id="rId84" o:title=""/>
                  <o:lock v:ext="edit" aspectratio="t"/>
                  <w10:wrap type="none"/>
                  <w10:anchorlock/>
                </v:shape>
                <o:OLEObject Type="Embed" ProgID="Equation.DSMT4" ShapeID="_x0000_i1053" DrawAspect="Content" ObjectID="_1468075754" r:id="rId83">
                  <o:LockedField>false</o:LockedField>
                </o:OLEObject>
              </w:object>
            </w:r>
            <w:r>
              <w:rPr>
                <w:rFonts w:hint="default" w:ascii="Times New Roman" w:hAnsi="Times New Roman" w:eastAsia="宋体" w:cs="Times New Roman"/>
                <w:color w:val="000000"/>
                <w:sz w:val="24"/>
                <w:szCs w:val="24"/>
                <w:highlight w:val="none"/>
              </w:rPr>
              <w:t>为海面以上10m风速。由表面风应力所导致的摩阻速度由下式给出：</w:t>
            </w:r>
          </w:p>
          <w:p w14:paraId="05DBA28C">
            <w:pPr>
              <w:tabs>
                <w:tab w:val="left" w:pos="7170"/>
              </w:tabs>
              <w:adjustRightInd w:val="0"/>
              <w:snapToGrid w:val="0"/>
              <w:spacing w:line="360" w:lineRule="auto"/>
              <w:ind w:firstLine="1296" w:firstLineChars="540"/>
              <w:jc w:val="right"/>
              <w:rPr>
                <w:rFonts w:hint="default" w:ascii="Times New Roman" w:hAnsi="Times New Roman" w:eastAsia="宋体" w:cs="Times New Roman"/>
                <w:color w:val="000000"/>
                <w:szCs w:val="28"/>
                <w:highlight w:val="none"/>
              </w:rPr>
            </w:pPr>
            <w:r>
              <w:rPr>
                <w:rFonts w:hint="default" w:ascii="Times New Roman" w:hAnsi="Times New Roman" w:eastAsia="宋体" w:cs="Times New Roman"/>
                <w:color w:val="000000"/>
                <w:position w:val="-32"/>
                <w:szCs w:val="28"/>
                <w:highlight w:val="none"/>
              </w:rPr>
              <w:object>
                <v:shape id="_x0000_i1054" o:spt="75" type="#_x0000_t75" style="height:47.1pt;width:87.9pt;" o:ole="t" filled="f" o:preferrelative="t" stroked="f" coordsize="21600,21600">
                  <v:path/>
                  <v:fill on="f" focussize="0,0"/>
                  <v:stroke on="f" joinstyle="miter"/>
                  <v:imagedata r:id="rId86" o:title=""/>
                  <o:lock v:ext="edit" aspectratio="t"/>
                  <w10:wrap type="none"/>
                  <w10:anchorlock/>
                </v:shape>
                <o:OLEObject Type="Embed" ProgID="Equation.DSMT4" ShapeID="_x0000_i1054" DrawAspect="Content" ObjectID="_1468075755" r:id="rId85">
                  <o:LockedField>false</o:LockedField>
                </o:OLEObject>
              </w:object>
            </w:r>
            <w:r>
              <w:rPr>
                <w:rFonts w:hint="default" w:ascii="Times New Roman" w:hAnsi="Times New Roman" w:cs="Times New Roman"/>
                <w:color w:val="000000"/>
                <w:highlight w:val="none"/>
                <w:lang w:val="en-US" w:eastAsia="zh-CN"/>
              </w:rPr>
              <w:t xml:space="preserve">                     </w:t>
            </w:r>
            <w:r>
              <w:rPr>
                <w:rFonts w:hint="default" w:ascii="Times New Roman" w:hAnsi="Times New Roman" w:eastAsia="宋体" w:cs="Times New Roman"/>
                <w:color w:val="000000"/>
                <w:szCs w:val="28"/>
                <w:highlight w:val="none"/>
              </w:rPr>
              <w:t>（</w:t>
            </w:r>
            <w:r>
              <w:rPr>
                <w:rFonts w:hint="eastAsia" w:cs="Times New Roman"/>
                <w:color w:val="000000"/>
                <w:szCs w:val="28"/>
                <w:highlight w:val="none"/>
                <w:lang w:val="en-US" w:eastAsia="zh-CN"/>
              </w:rPr>
              <w:t>4</w:t>
            </w:r>
            <w:r>
              <w:rPr>
                <w:rFonts w:hint="default" w:ascii="Times New Roman" w:hAnsi="Times New Roman" w:eastAsia="宋体" w:cs="Times New Roman"/>
                <w:color w:val="000000"/>
                <w:szCs w:val="28"/>
                <w:highlight w:val="none"/>
                <w:lang w:val="en-US" w:eastAsia="zh-CN"/>
              </w:rPr>
              <w:t>.</w:t>
            </w:r>
            <w:r>
              <w:rPr>
                <w:rFonts w:hint="eastAsia" w:cs="Times New Roman"/>
                <w:color w:val="000000"/>
                <w:szCs w:val="28"/>
                <w:highlight w:val="none"/>
                <w:lang w:val="en-US" w:eastAsia="zh-CN"/>
              </w:rPr>
              <w:t>3</w:t>
            </w:r>
            <w:r>
              <w:rPr>
                <w:rFonts w:hint="default" w:ascii="Times New Roman" w:hAnsi="Times New Roman" w:eastAsia="宋体" w:cs="Times New Roman"/>
                <w:color w:val="000000"/>
                <w:szCs w:val="28"/>
                <w:highlight w:val="none"/>
                <w:lang w:val="en-US" w:eastAsia="zh-CN"/>
              </w:rPr>
              <w:t>.1</w:t>
            </w:r>
            <w:r>
              <w:rPr>
                <w:rFonts w:hint="default" w:ascii="Times New Roman" w:hAnsi="Times New Roman" w:eastAsia="宋体" w:cs="Times New Roman"/>
                <w:color w:val="000000"/>
                <w:szCs w:val="28"/>
                <w:highlight w:val="none"/>
              </w:rPr>
              <w:t>-10）</w:t>
            </w:r>
          </w:p>
          <w:p w14:paraId="17457046">
            <w:pPr>
              <w:tabs>
                <w:tab w:val="left" w:pos="7660"/>
              </w:tabs>
              <w:adjustRightInd w:val="0"/>
              <w:snapToGrid w:val="0"/>
              <w:spacing w:before="156" w:beforeLines="50" w:after="156" w:afterLines="50" w:line="360" w:lineRule="auto"/>
              <w:ind w:firstLine="480" w:firstLineChars="200"/>
              <w:rPr>
                <w:rFonts w:hint="default" w:ascii="Times New Roman" w:hAnsi="Times New Roman" w:eastAsia="宋体" w:cs="Times New Roman"/>
                <w:color w:val="000000"/>
                <w:sz w:val="24"/>
                <w:szCs w:val="24"/>
                <w:highlight w:val="none"/>
              </w:rPr>
            </w:pPr>
            <w:r>
              <w:rPr>
                <w:rFonts w:hint="default" w:ascii="Times New Roman" w:hAnsi="Times New Roman" w:eastAsia="宋体" w:cs="Times New Roman"/>
                <w:color w:val="000000"/>
                <w:sz w:val="24"/>
                <w:szCs w:val="24"/>
                <w:highlight w:val="none"/>
              </w:rPr>
              <w:t>拖曳力系数可取定值，或基于风速相关的经验公式。Wu(1980,1994)给出以下拖曳力系数的经验公式：</w:t>
            </w:r>
          </w:p>
          <w:p w14:paraId="578EC4A2">
            <w:pPr>
              <w:tabs>
                <w:tab w:val="left" w:pos="7170"/>
              </w:tabs>
              <w:adjustRightInd w:val="0"/>
              <w:snapToGrid w:val="0"/>
              <w:spacing w:line="360" w:lineRule="auto"/>
              <w:ind w:firstLine="1296" w:firstLineChars="540"/>
              <w:jc w:val="left"/>
              <w:rPr>
                <w:rFonts w:hint="default" w:ascii="Times New Roman" w:hAnsi="Times New Roman" w:eastAsia="宋体" w:cs="Times New Roman"/>
                <w:color w:val="000000"/>
                <w:szCs w:val="28"/>
                <w:highlight w:val="none"/>
              </w:rPr>
            </w:pPr>
            <w:r>
              <w:rPr>
                <w:rFonts w:hint="default" w:ascii="Times New Roman" w:hAnsi="Times New Roman" w:eastAsia="宋体" w:cs="Times New Roman"/>
                <w:color w:val="000000"/>
                <w:position w:val="-68"/>
                <w:szCs w:val="28"/>
                <w:highlight w:val="none"/>
              </w:rPr>
              <w:object>
                <v:shape id="_x0000_i1055" o:spt="75" type="#_x0000_t75" style="height:72pt;width:283.85pt;" o:ole="t" filled="f" o:preferrelative="t" stroked="f" coordsize="21600,21600">
                  <v:path/>
                  <v:fill on="f" focussize="0,0"/>
                  <v:stroke on="f" joinstyle="miter"/>
                  <v:imagedata r:id="rId88" o:title=""/>
                  <o:lock v:ext="edit" aspectratio="t"/>
                  <w10:wrap type="none"/>
                  <w10:anchorlock/>
                </v:shape>
                <o:OLEObject Type="Embed" ProgID="Equation.DSMT4" ShapeID="_x0000_i1055" DrawAspect="Content" ObjectID="_1468075756" r:id="rId87">
                  <o:LockedField>false</o:LockedField>
                </o:OLEObject>
              </w:object>
            </w:r>
            <w:r>
              <w:rPr>
                <w:rFonts w:hint="default" w:ascii="Times New Roman" w:hAnsi="Times New Roman" w:eastAsia="宋体" w:cs="Times New Roman"/>
                <w:color w:val="000000"/>
                <w:szCs w:val="28"/>
                <w:highlight w:val="none"/>
              </w:rPr>
              <w:t>（</w:t>
            </w:r>
            <w:r>
              <w:rPr>
                <w:rFonts w:hint="eastAsia" w:cs="Times New Roman"/>
                <w:color w:val="000000"/>
                <w:szCs w:val="28"/>
                <w:highlight w:val="none"/>
                <w:lang w:val="en-US" w:eastAsia="zh-CN"/>
              </w:rPr>
              <w:t>4</w:t>
            </w:r>
            <w:r>
              <w:rPr>
                <w:rFonts w:hint="default" w:ascii="Times New Roman" w:hAnsi="Times New Roman" w:eastAsia="宋体" w:cs="Times New Roman"/>
                <w:color w:val="000000"/>
                <w:szCs w:val="28"/>
                <w:highlight w:val="none"/>
                <w:lang w:val="en-US" w:eastAsia="zh-CN"/>
              </w:rPr>
              <w:t>.</w:t>
            </w:r>
            <w:r>
              <w:rPr>
                <w:rFonts w:hint="eastAsia" w:cs="Times New Roman"/>
                <w:color w:val="000000"/>
                <w:szCs w:val="28"/>
                <w:highlight w:val="none"/>
                <w:lang w:val="en-US" w:eastAsia="zh-CN"/>
              </w:rPr>
              <w:t>3</w:t>
            </w:r>
            <w:r>
              <w:rPr>
                <w:rFonts w:hint="default" w:ascii="Times New Roman" w:hAnsi="Times New Roman" w:eastAsia="宋体" w:cs="Times New Roman"/>
                <w:color w:val="000000"/>
                <w:szCs w:val="28"/>
                <w:highlight w:val="none"/>
                <w:lang w:val="en-US" w:eastAsia="zh-CN"/>
              </w:rPr>
              <w:t>.1</w:t>
            </w:r>
            <w:r>
              <w:rPr>
                <w:rFonts w:hint="default" w:ascii="Times New Roman" w:hAnsi="Times New Roman" w:eastAsia="宋体" w:cs="Times New Roman"/>
                <w:color w:val="000000"/>
                <w:szCs w:val="28"/>
                <w:highlight w:val="none"/>
              </w:rPr>
              <w:t>-11）</w:t>
            </w:r>
          </w:p>
          <w:p w14:paraId="1FEA97D2">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kern w:val="0"/>
                <w:sz w:val="24"/>
                <w:szCs w:val="24"/>
                <w:highlight w:val="none"/>
                <w:lang w:val="en-US" w:eastAsia="zh-CN" w:bidi="ar-SA"/>
              </w:rPr>
              <w:t>上式中，</w:t>
            </w:r>
            <w:r>
              <w:rPr>
                <w:rFonts w:hint="default" w:ascii="Times New Roman" w:hAnsi="Times New Roman" w:eastAsia="宋体" w:cs="Times New Roman"/>
                <w:i/>
                <w:color w:val="000000"/>
                <w:kern w:val="0"/>
                <w:sz w:val="24"/>
                <w:szCs w:val="24"/>
                <w:highlight w:val="none"/>
                <w:lang w:val="en-US" w:eastAsia="zh-CN" w:bidi="ar-SA"/>
              </w:rPr>
              <w:t>c</w:t>
            </w:r>
            <w:r>
              <w:rPr>
                <w:rFonts w:hint="default" w:ascii="Times New Roman" w:hAnsi="Times New Roman" w:eastAsia="宋体" w:cs="Times New Roman"/>
                <w:i/>
                <w:color w:val="000000"/>
                <w:kern w:val="0"/>
                <w:sz w:val="24"/>
                <w:szCs w:val="24"/>
                <w:highlight w:val="none"/>
                <w:vertAlign w:val="subscript"/>
                <w:lang w:val="en-US" w:eastAsia="zh-CN" w:bidi="ar-SA"/>
              </w:rPr>
              <w:t>a</w:t>
            </w:r>
            <w:r>
              <w:rPr>
                <w:rFonts w:hint="default" w:ascii="Times New Roman" w:hAnsi="Times New Roman" w:eastAsia="宋体" w:cs="Times New Roman"/>
                <w:i/>
                <w:color w:val="000000"/>
                <w:kern w:val="0"/>
                <w:sz w:val="24"/>
                <w:szCs w:val="24"/>
                <w:highlight w:val="none"/>
                <w:lang w:val="en-US" w:eastAsia="zh-CN" w:bidi="ar-SA"/>
              </w:rPr>
              <w:t>、c</w:t>
            </w:r>
            <w:r>
              <w:rPr>
                <w:rFonts w:hint="default" w:ascii="Times New Roman" w:hAnsi="Times New Roman" w:eastAsia="宋体" w:cs="Times New Roman"/>
                <w:i/>
                <w:color w:val="000000"/>
                <w:kern w:val="0"/>
                <w:sz w:val="24"/>
                <w:szCs w:val="24"/>
                <w:highlight w:val="none"/>
                <w:vertAlign w:val="subscript"/>
                <w:lang w:val="en-US" w:eastAsia="zh-CN" w:bidi="ar-SA"/>
              </w:rPr>
              <w:t>b</w:t>
            </w:r>
            <w:r>
              <w:rPr>
                <w:rFonts w:hint="default" w:ascii="Times New Roman" w:hAnsi="Times New Roman" w:eastAsia="宋体" w:cs="Times New Roman"/>
                <w:i/>
                <w:color w:val="000000"/>
                <w:kern w:val="0"/>
                <w:sz w:val="24"/>
                <w:szCs w:val="24"/>
                <w:highlight w:val="none"/>
                <w:lang w:val="en-US" w:eastAsia="zh-CN" w:bidi="ar-SA"/>
              </w:rPr>
              <w:t>、w</w:t>
            </w:r>
            <w:r>
              <w:rPr>
                <w:rFonts w:hint="default" w:ascii="Times New Roman" w:hAnsi="Times New Roman" w:eastAsia="宋体" w:cs="Times New Roman"/>
                <w:i/>
                <w:color w:val="000000"/>
                <w:kern w:val="0"/>
                <w:sz w:val="24"/>
                <w:szCs w:val="24"/>
                <w:highlight w:val="none"/>
                <w:vertAlign w:val="subscript"/>
                <w:lang w:val="en-US" w:eastAsia="zh-CN" w:bidi="ar-SA"/>
              </w:rPr>
              <w:t>a</w:t>
            </w:r>
            <w:r>
              <w:rPr>
                <w:rFonts w:hint="default" w:ascii="Times New Roman" w:hAnsi="Times New Roman" w:eastAsia="宋体" w:cs="Times New Roman"/>
                <w:i/>
                <w:color w:val="000000"/>
                <w:kern w:val="0"/>
                <w:sz w:val="24"/>
                <w:szCs w:val="24"/>
                <w:highlight w:val="none"/>
                <w:lang w:val="en-US" w:eastAsia="zh-CN" w:bidi="ar-SA"/>
              </w:rPr>
              <w:t>、w</w:t>
            </w:r>
            <w:r>
              <w:rPr>
                <w:rFonts w:hint="default" w:ascii="Times New Roman" w:hAnsi="Times New Roman" w:eastAsia="宋体" w:cs="Times New Roman"/>
                <w:i/>
                <w:color w:val="000000"/>
                <w:kern w:val="0"/>
                <w:sz w:val="24"/>
                <w:szCs w:val="24"/>
                <w:highlight w:val="none"/>
                <w:vertAlign w:val="subscript"/>
                <w:lang w:val="en-US" w:eastAsia="zh-CN" w:bidi="ar-SA"/>
              </w:rPr>
              <w:t>b</w:t>
            </w:r>
            <w:r>
              <w:rPr>
                <w:rFonts w:hint="default" w:ascii="Times New Roman" w:hAnsi="Times New Roman" w:eastAsia="宋体" w:cs="Times New Roman"/>
                <w:color w:val="000000"/>
                <w:kern w:val="0"/>
                <w:sz w:val="24"/>
                <w:szCs w:val="24"/>
                <w:highlight w:val="none"/>
                <w:lang w:val="en-US" w:eastAsia="zh-CN" w:bidi="ar-SA"/>
              </w:rPr>
              <w:t>为经验参数，</w:t>
            </w:r>
            <w:r>
              <w:rPr>
                <w:rFonts w:hint="default" w:ascii="Times New Roman" w:hAnsi="Times New Roman" w:eastAsia="宋体" w:cs="Times New Roman"/>
                <w:i/>
                <w:color w:val="000000"/>
                <w:kern w:val="0"/>
                <w:sz w:val="24"/>
                <w:szCs w:val="24"/>
                <w:highlight w:val="none"/>
                <w:lang w:val="en-US" w:eastAsia="zh-CN" w:bidi="ar-SA"/>
              </w:rPr>
              <w:t>w</w:t>
            </w:r>
            <w:r>
              <w:rPr>
                <w:rFonts w:hint="default" w:ascii="Times New Roman" w:hAnsi="Times New Roman" w:eastAsia="宋体" w:cs="Times New Roman"/>
                <w:i/>
                <w:color w:val="000000"/>
                <w:kern w:val="0"/>
                <w:sz w:val="24"/>
                <w:szCs w:val="24"/>
                <w:highlight w:val="none"/>
                <w:vertAlign w:val="subscript"/>
                <w:lang w:val="en-US" w:eastAsia="zh-CN" w:bidi="ar-SA"/>
              </w:rPr>
              <w:t>10</w:t>
            </w:r>
            <w:r>
              <w:rPr>
                <w:rFonts w:hint="default" w:ascii="Times New Roman" w:hAnsi="Times New Roman" w:eastAsia="宋体" w:cs="Times New Roman"/>
                <w:color w:val="000000"/>
                <w:kern w:val="0"/>
                <w:sz w:val="24"/>
                <w:szCs w:val="24"/>
                <w:highlight w:val="none"/>
                <w:lang w:val="en-US" w:eastAsia="zh-CN" w:bidi="ar-SA"/>
              </w:rPr>
              <w:t>为海面10m风速。对于开敞海域</w:t>
            </w:r>
            <w:r>
              <w:rPr>
                <w:rFonts w:hint="default" w:ascii="Times New Roman" w:hAnsi="Times New Roman" w:eastAsia="宋体" w:cs="Times New Roman"/>
                <w:i w:val="0"/>
                <w:iCs w:val="0"/>
                <w:color w:val="000000"/>
                <w:kern w:val="0"/>
                <w:sz w:val="24"/>
                <w:szCs w:val="24"/>
                <w:highlight w:val="none"/>
                <w:lang w:val="en-US" w:eastAsia="zh-CN" w:bidi="ar-SA"/>
              </w:rPr>
              <w:t>而言，c</w:t>
            </w:r>
            <w:r>
              <w:rPr>
                <w:rFonts w:hint="default" w:ascii="Times New Roman" w:hAnsi="Times New Roman" w:eastAsia="宋体" w:cs="Times New Roman"/>
                <w:i w:val="0"/>
                <w:iCs w:val="0"/>
                <w:color w:val="000000"/>
                <w:kern w:val="0"/>
                <w:sz w:val="24"/>
                <w:szCs w:val="24"/>
                <w:highlight w:val="none"/>
                <w:vertAlign w:val="subscript"/>
                <w:lang w:val="en-US" w:eastAsia="zh-CN" w:bidi="ar-SA"/>
              </w:rPr>
              <w:t>a</w:t>
            </w:r>
            <w:r>
              <w:rPr>
                <w:rFonts w:hint="default" w:ascii="Times New Roman" w:hAnsi="Times New Roman" w:eastAsia="宋体" w:cs="Times New Roman"/>
                <w:i w:val="0"/>
                <w:iCs w:val="0"/>
                <w:color w:val="000000"/>
                <w:kern w:val="0"/>
                <w:sz w:val="24"/>
                <w:szCs w:val="24"/>
                <w:highlight w:val="none"/>
                <w:lang w:val="en-US" w:eastAsia="zh-CN" w:bidi="ar-SA"/>
              </w:rPr>
              <w:t>=1.225×10</w:t>
            </w:r>
            <w:r>
              <w:rPr>
                <w:rFonts w:hint="default" w:ascii="Times New Roman" w:hAnsi="Times New Roman" w:eastAsia="宋体" w:cs="Times New Roman"/>
                <w:i w:val="0"/>
                <w:iCs w:val="0"/>
                <w:color w:val="000000"/>
                <w:kern w:val="0"/>
                <w:sz w:val="24"/>
                <w:szCs w:val="24"/>
                <w:highlight w:val="none"/>
                <w:vertAlign w:val="superscript"/>
                <w:lang w:val="en-US" w:eastAsia="zh-CN" w:bidi="ar-SA"/>
              </w:rPr>
              <w:t>-3</w:t>
            </w:r>
            <w:r>
              <w:rPr>
                <w:rFonts w:hint="default" w:ascii="Times New Roman" w:hAnsi="Times New Roman" w:eastAsia="宋体" w:cs="Times New Roman"/>
                <w:i w:val="0"/>
                <w:iCs w:val="0"/>
                <w:color w:val="000000"/>
                <w:kern w:val="0"/>
                <w:sz w:val="24"/>
                <w:szCs w:val="24"/>
                <w:highlight w:val="none"/>
                <w:lang w:val="en-US" w:eastAsia="zh-CN" w:bidi="ar-SA"/>
              </w:rPr>
              <w:t>、c</w:t>
            </w:r>
            <w:r>
              <w:rPr>
                <w:rFonts w:hint="default" w:ascii="Times New Roman" w:hAnsi="Times New Roman" w:eastAsia="宋体" w:cs="Times New Roman"/>
                <w:i w:val="0"/>
                <w:iCs w:val="0"/>
                <w:color w:val="000000"/>
                <w:kern w:val="0"/>
                <w:sz w:val="24"/>
                <w:szCs w:val="24"/>
                <w:highlight w:val="none"/>
                <w:vertAlign w:val="subscript"/>
                <w:lang w:val="en-US" w:eastAsia="zh-CN" w:bidi="ar-SA"/>
              </w:rPr>
              <w:t>b</w:t>
            </w:r>
            <w:r>
              <w:rPr>
                <w:rFonts w:hint="default" w:ascii="Times New Roman" w:hAnsi="Times New Roman" w:eastAsia="宋体" w:cs="Times New Roman"/>
                <w:i w:val="0"/>
                <w:iCs w:val="0"/>
                <w:color w:val="000000"/>
                <w:kern w:val="0"/>
                <w:sz w:val="24"/>
                <w:szCs w:val="24"/>
                <w:highlight w:val="none"/>
                <w:lang w:val="en-US" w:eastAsia="zh-CN" w:bidi="ar-SA"/>
              </w:rPr>
              <w:t>=2.425×10</w:t>
            </w:r>
            <w:r>
              <w:rPr>
                <w:rFonts w:hint="default" w:ascii="Times New Roman" w:hAnsi="Times New Roman" w:eastAsia="宋体" w:cs="Times New Roman"/>
                <w:i w:val="0"/>
                <w:iCs w:val="0"/>
                <w:color w:val="000000"/>
                <w:kern w:val="0"/>
                <w:sz w:val="24"/>
                <w:szCs w:val="24"/>
                <w:highlight w:val="none"/>
                <w:vertAlign w:val="superscript"/>
                <w:lang w:val="en-US" w:eastAsia="zh-CN" w:bidi="ar-SA"/>
              </w:rPr>
              <w:t>-3</w:t>
            </w:r>
            <w:r>
              <w:rPr>
                <w:rFonts w:hint="default" w:ascii="Times New Roman" w:hAnsi="Times New Roman" w:eastAsia="宋体" w:cs="Times New Roman"/>
                <w:i w:val="0"/>
                <w:iCs w:val="0"/>
                <w:color w:val="000000"/>
                <w:kern w:val="0"/>
                <w:sz w:val="24"/>
                <w:szCs w:val="24"/>
                <w:highlight w:val="none"/>
                <w:lang w:val="en-US" w:eastAsia="zh-CN" w:bidi="ar-SA"/>
              </w:rPr>
              <w:t>、w</w:t>
            </w:r>
            <w:r>
              <w:rPr>
                <w:rFonts w:hint="default" w:ascii="Times New Roman" w:hAnsi="Times New Roman" w:eastAsia="宋体" w:cs="Times New Roman"/>
                <w:i w:val="0"/>
                <w:iCs w:val="0"/>
                <w:color w:val="000000"/>
                <w:kern w:val="0"/>
                <w:sz w:val="24"/>
                <w:szCs w:val="24"/>
                <w:highlight w:val="none"/>
                <w:vertAlign w:val="subscript"/>
                <w:lang w:val="en-US" w:eastAsia="zh-CN" w:bidi="ar-SA"/>
              </w:rPr>
              <w:t>a</w:t>
            </w:r>
            <w:r>
              <w:rPr>
                <w:rFonts w:hint="default" w:ascii="Times New Roman" w:hAnsi="Times New Roman" w:eastAsia="宋体" w:cs="Times New Roman"/>
                <w:i w:val="0"/>
                <w:iCs w:val="0"/>
                <w:color w:val="000000"/>
                <w:kern w:val="0"/>
                <w:sz w:val="24"/>
                <w:szCs w:val="24"/>
                <w:highlight w:val="none"/>
                <w:lang w:val="en-US" w:eastAsia="zh-CN" w:bidi="ar-SA"/>
              </w:rPr>
              <w:t>=7m/s、w</w:t>
            </w:r>
            <w:r>
              <w:rPr>
                <w:rFonts w:hint="default" w:ascii="Times New Roman" w:hAnsi="Times New Roman" w:eastAsia="宋体" w:cs="Times New Roman"/>
                <w:i w:val="0"/>
                <w:iCs w:val="0"/>
                <w:color w:val="000000"/>
                <w:kern w:val="0"/>
                <w:sz w:val="24"/>
                <w:szCs w:val="24"/>
                <w:highlight w:val="none"/>
                <w:vertAlign w:val="subscript"/>
                <w:lang w:val="en-US" w:eastAsia="zh-CN" w:bidi="ar-SA"/>
              </w:rPr>
              <w:t>b</w:t>
            </w:r>
            <w:r>
              <w:rPr>
                <w:rFonts w:hint="default" w:ascii="Times New Roman" w:hAnsi="Times New Roman" w:eastAsia="宋体" w:cs="Times New Roman"/>
                <w:i w:val="0"/>
                <w:iCs w:val="0"/>
                <w:color w:val="000000"/>
                <w:kern w:val="0"/>
                <w:sz w:val="24"/>
                <w:szCs w:val="24"/>
                <w:highlight w:val="none"/>
                <w:lang w:val="en-US" w:eastAsia="zh-CN" w:bidi="ar-SA"/>
              </w:rPr>
              <w:t>=25m/s。</w:t>
            </w:r>
          </w:p>
          <w:p w14:paraId="62AB225D">
            <w:pPr>
              <w:pStyle w:val="5"/>
              <w:bidi w:val="0"/>
              <w:rPr>
                <w:rFonts w:hint="default"/>
              </w:rPr>
            </w:pPr>
            <w:bookmarkStart w:id="294" w:name="_Toc10446"/>
            <w:r>
              <w:rPr>
                <w:rFonts w:hint="default"/>
              </w:rPr>
              <w:t>用海工程数值模拟资料选取与控制条件</w:t>
            </w:r>
            <w:bookmarkEnd w:id="294"/>
          </w:p>
          <w:p w14:paraId="650F31E1">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rPr>
              <w:t>（1）计算域设置</w:t>
            </w:r>
          </w:p>
          <w:p w14:paraId="42C5C768">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为了提高计算效率，同时又保证工程海域有足够的分辨率，采用局部加密的非结构三角形网格对计算域进行划分，在距工程较远的区域采用较大的网格，最大网格分辨率为1500m，最小网格分辨率为10m。整个计算模拟</w:t>
            </w:r>
            <w:r>
              <w:rPr>
                <w:rFonts w:hint="default" w:ascii="Times New Roman" w:hAnsi="Times New Roman" w:cs="Times New Roman"/>
                <w:color w:val="000000"/>
                <w:highlight w:val="none"/>
                <w:lang w:eastAsia="zh-CN"/>
              </w:rPr>
              <w:t>区域</w:t>
            </w:r>
            <w:r>
              <w:rPr>
                <w:rFonts w:hint="default" w:ascii="Times New Roman" w:hAnsi="Times New Roman" w:cs="Times New Roman"/>
                <w:color w:val="000000"/>
                <w:highlight w:val="none"/>
              </w:rPr>
              <w:t>由80160个节点和154766个三角单元组成。</w:t>
            </w:r>
            <w:r>
              <w:rPr>
                <w:rFonts w:hint="default" w:ascii="Times New Roman" w:hAnsi="Times New Roman" w:cs="Times New Roman"/>
                <w:color w:val="000000"/>
                <w:highlight w:val="none"/>
                <w:lang w:eastAsia="zh-CN"/>
              </w:rPr>
              <w:fldChar w:fldCharType="begin"/>
            </w:r>
            <w:r>
              <w:rPr>
                <w:rFonts w:hint="default" w:ascii="Times New Roman" w:hAnsi="Times New Roman" w:cs="Times New Roman"/>
                <w:color w:val="000000"/>
                <w:highlight w:val="none"/>
                <w:lang w:eastAsia="zh-CN"/>
              </w:rPr>
              <w:instrText xml:space="preserve"> REF _Ref1676 \h </w:instrText>
            </w:r>
            <w:r>
              <w:rPr>
                <w:rFonts w:hint="default" w:ascii="Times New Roman" w:hAnsi="Times New Roman" w:cs="Times New Roman"/>
                <w:color w:val="000000"/>
                <w:highlight w:val="none"/>
                <w:lang w:eastAsia="zh-CN"/>
              </w:rPr>
              <w:fldChar w:fldCharType="separate"/>
            </w:r>
            <w:r>
              <w:rPr>
                <w:rFonts w:hint="default" w:ascii="Times New Roman" w:hAnsi="Times New Roman" w:cs="Times New Roman"/>
                <w:color w:val="000000"/>
                <w:highlight w:val="none"/>
              </w:rPr>
              <w:t>图</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4.3</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1</w:t>
            </w:r>
            <w:r>
              <w:rPr>
                <w:rFonts w:hint="default" w:ascii="Times New Roman" w:hAnsi="Times New Roman" w:cs="Times New Roman"/>
                <w:color w:val="000000"/>
                <w:highlight w:val="none"/>
                <w:lang w:eastAsia="zh-CN"/>
              </w:rPr>
              <w:fldChar w:fldCharType="end"/>
            </w:r>
            <w:r>
              <w:rPr>
                <w:rFonts w:hint="default" w:ascii="Times New Roman" w:hAnsi="Times New Roman" w:cs="Times New Roman"/>
                <w:color w:val="000000"/>
                <w:highlight w:val="none"/>
              </w:rPr>
              <w:t>为大范围计算域网格水深图，</w:t>
            </w:r>
            <w:r>
              <w:rPr>
                <w:rFonts w:hint="default" w:ascii="Times New Roman" w:hAnsi="Times New Roman" w:cs="Times New Roman"/>
                <w:color w:val="000000"/>
                <w:highlight w:val="none"/>
                <w:lang w:val="en-US"/>
              </w:rPr>
              <w:fldChar w:fldCharType="begin"/>
            </w:r>
            <w:r>
              <w:rPr>
                <w:rFonts w:hint="default" w:ascii="Times New Roman" w:hAnsi="Times New Roman" w:cs="Times New Roman"/>
                <w:color w:val="000000"/>
                <w:highlight w:val="none"/>
                <w:lang w:val="en-US"/>
              </w:rPr>
              <w:instrText xml:space="preserve"> REF _Ref8558 \h </w:instrText>
            </w:r>
            <w:r>
              <w:rPr>
                <w:rFonts w:hint="default" w:ascii="Times New Roman" w:hAnsi="Times New Roman" w:cs="Times New Roman"/>
                <w:color w:val="000000"/>
                <w:highlight w:val="none"/>
                <w:lang w:val="en-US"/>
              </w:rPr>
              <w:fldChar w:fldCharType="separate"/>
            </w:r>
            <w:r>
              <w:rPr>
                <w:rFonts w:hint="default" w:ascii="Times New Roman" w:hAnsi="Times New Roman" w:cs="Times New Roman"/>
                <w:color w:val="000000"/>
                <w:highlight w:val="none"/>
              </w:rPr>
              <w:t>图</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4.3</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2</w:t>
            </w:r>
            <w:r>
              <w:rPr>
                <w:rFonts w:hint="default" w:ascii="Times New Roman" w:hAnsi="Times New Roman" w:cs="Times New Roman"/>
                <w:color w:val="000000"/>
                <w:highlight w:val="none"/>
                <w:lang w:val="en-US"/>
              </w:rPr>
              <w:fldChar w:fldCharType="end"/>
            </w:r>
            <w:r>
              <w:rPr>
                <w:rFonts w:hint="default" w:ascii="Times New Roman" w:hAnsi="Times New Roman" w:cs="Times New Roman"/>
                <w:color w:val="000000"/>
                <w:highlight w:val="none"/>
              </w:rPr>
              <w:t>为项目区域计算域网格水深图。</w:t>
            </w:r>
          </w:p>
          <w:p w14:paraId="542E88D0">
            <w:pPr>
              <w:pStyle w:val="31"/>
              <w:bidi w:val="0"/>
              <w:rPr>
                <w:rFonts w:hint="default" w:ascii="Times New Roman" w:hAnsi="Times New Roman" w:cs="Times New Roman"/>
                <w:color w:val="000000"/>
                <w:highlight w:val="none"/>
                <w:lang w:eastAsia="zh-CN"/>
              </w:rPr>
            </w:pPr>
            <w:r>
              <w:rPr>
                <w:rFonts w:hint="eastAsia" w:cs="Times New Roman"/>
                <w:color w:val="000000"/>
                <w:highlight w:val="none"/>
                <w:lang w:eastAsia="zh-CN"/>
              </w:rPr>
              <w:t>（</w:t>
            </w:r>
            <w:r>
              <w:rPr>
                <w:rFonts w:hint="eastAsia" w:cs="Times New Roman"/>
                <w:color w:val="000000"/>
                <w:highlight w:val="none"/>
                <w:lang w:val="en-US" w:eastAsia="zh-CN"/>
              </w:rPr>
              <w:t>涉密删除</w:t>
            </w:r>
            <w:r>
              <w:rPr>
                <w:rFonts w:hint="eastAsia" w:cs="Times New Roman"/>
                <w:color w:val="000000"/>
                <w:highlight w:val="none"/>
                <w:lang w:eastAsia="zh-CN"/>
              </w:rPr>
              <w:t>）</w:t>
            </w:r>
          </w:p>
          <w:p w14:paraId="2281F6A8">
            <w:pPr>
              <w:pStyle w:val="30"/>
              <w:bidi w:val="0"/>
              <w:rPr>
                <w:rFonts w:hint="default" w:ascii="Times New Roman" w:hAnsi="Times New Roman" w:cs="Times New Roman"/>
                <w:color w:val="000000"/>
                <w:highlight w:val="none"/>
                <w:lang w:val="en-US" w:eastAsia="zh-CN"/>
              </w:rPr>
            </w:pPr>
            <w:bookmarkStart w:id="295" w:name="_Ref1676"/>
            <w:r>
              <w:rPr>
                <w:rFonts w:hint="default" w:ascii="Times New Roman" w:hAnsi="Times New Roman" w:cs="Times New Roman"/>
                <w:color w:val="000000"/>
                <w:highlight w:val="none"/>
              </w:rPr>
              <w:t>图</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4.3</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图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1</w:t>
            </w:r>
            <w:r>
              <w:rPr>
                <w:rFonts w:hint="default" w:ascii="Times New Roman" w:hAnsi="Times New Roman" w:cs="Times New Roman"/>
                <w:color w:val="000000"/>
                <w:highlight w:val="none"/>
              </w:rPr>
              <w:fldChar w:fldCharType="end"/>
            </w:r>
            <w:bookmarkEnd w:id="295"/>
            <w:r>
              <w:rPr>
                <w:rFonts w:hint="default" w:ascii="Times New Roman" w:hAnsi="Times New Roman" w:cs="Times New Roman"/>
                <w:color w:val="000000"/>
                <w:highlight w:val="none"/>
                <w:lang w:val="en-US" w:eastAsia="zh-CN"/>
              </w:rPr>
              <w:t xml:space="preserve"> 大范围计算域网格水深图</w:t>
            </w:r>
          </w:p>
          <w:p w14:paraId="50E2BA18">
            <w:pPr>
              <w:pStyle w:val="31"/>
              <w:bidi w:val="0"/>
              <w:rPr>
                <w:rFonts w:hint="eastAsia" w:ascii="Times New Roman" w:hAnsi="Times New Roman" w:eastAsia="宋体" w:cs="Times New Roman"/>
                <w:color w:val="000000"/>
                <w:highlight w:val="none"/>
                <w:lang w:eastAsia="zh-CN"/>
              </w:rPr>
            </w:pPr>
            <w:r>
              <w:rPr>
                <w:rFonts w:hint="eastAsia" w:cs="Times New Roman"/>
                <w:color w:val="000000"/>
                <w:highlight w:val="none"/>
                <w:lang w:eastAsia="zh-CN"/>
              </w:rPr>
              <w:t>（</w:t>
            </w:r>
            <w:r>
              <w:rPr>
                <w:rFonts w:hint="eastAsia" w:cs="Times New Roman"/>
                <w:color w:val="000000"/>
                <w:highlight w:val="none"/>
                <w:lang w:val="en-US" w:eastAsia="zh-CN"/>
              </w:rPr>
              <w:t>涉密删除</w:t>
            </w:r>
            <w:r>
              <w:rPr>
                <w:rFonts w:hint="eastAsia" w:cs="Times New Roman"/>
                <w:color w:val="000000"/>
                <w:highlight w:val="none"/>
                <w:lang w:eastAsia="zh-CN"/>
              </w:rPr>
              <w:t>）</w:t>
            </w:r>
          </w:p>
          <w:p w14:paraId="1D27836B">
            <w:pPr>
              <w:pStyle w:val="30"/>
              <w:bidi w:val="0"/>
              <w:rPr>
                <w:rFonts w:hint="default" w:ascii="Times New Roman" w:hAnsi="Times New Roman" w:cs="Times New Roman"/>
                <w:color w:val="000000"/>
                <w:highlight w:val="none"/>
                <w:lang w:val="en-US" w:eastAsia="zh-CN"/>
              </w:rPr>
            </w:pPr>
            <w:bookmarkStart w:id="296" w:name="_Ref8558"/>
            <w:r>
              <w:rPr>
                <w:rFonts w:hint="default" w:ascii="Times New Roman" w:hAnsi="Times New Roman" w:cs="Times New Roman"/>
                <w:color w:val="000000"/>
                <w:highlight w:val="none"/>
              </w:rPr>
              <w:t>图</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4.3</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图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2</w:t>
            </w:r>
            <w:r>
              <w:rPr>
                <w:rFonts w:hint="default" w:ascii="Times New Roman" w:hAnsi="Times New Roman" w:cs="Times New Roman"/>
                <w:color w:val="000000"/>
                <w:highlight w:val="none"/>
              </w:rPr>
              <w:fldChar w:fldCharType="end"/>
            </w:r>
            <w:bookmarkEnd w:id="296"/>
            <w:r>
              <w:rPr>
                <w:rFonts w:hint="default" w:ascii="Times New Roman" w:hAnsi="Times New Roman" w:cs="Times New Roman"/>
                <w:color w:val="000000"/>
                <w:highlight w:val="none"/>
                <w:lang w:val="en-US" w:eastAsia="zh-CN"/>
              </w:rPr>
              <w:t xml:space="preserve"> 项目区域计算域网格水深图</w:t>
            </w:r>
          </w:p>
          <w:p w14:paraId="64549A53">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lang w:eastAsia="zh-CN"/>
              </w:rPr>
            </w:pP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2</w:t>
            </w:r>
            <w:r>
              <w:rPr>
                <w:rFonts w:hint="default" w:ascii="Times New Roman" w:hAnsi="Times New Roman" w:cs="Times New Roman"/>
                <w:b/>
                <w:bCs/>
                <w:color w:val="000000"/>
                <w:highlight w:val="none"/>
                <w:lang w:eastAsia="zh-CN"/>
              </w:rPr>
              <w:t>）计算时间步长和底部糙率</w:t>
            </w:r>
          </w:p>
          <w:p w14:paraId="26ABF4CB">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数值模型计算时间步长根据CFL条件进行动态调整，确保模型计算稳定收敛，最小时间步长0.1s。底床糙率通过曼宁系数进行控制。</w:t>
            </w:r>
          </w:p>
          <w:p w14:paraId="7BA03112">
            <w:pPr>
              <w:adjustRightInd w:val="0"/>
              <w:snapToGrid w:val="0"/>
              <w:ind w:firstLine="480"/>
              <w:rPr>
                <w:rFonts w:hint="default" w:ascii="Times New Roman" w:hAnsi="Times New Roman" w:eastAsia="宋体" w:cs="Times New Roman"/>
                <w:b/>
                <w:bCs/>
                <w:color w:val="000000"/>
                <w:szCs w:val="28"/>
                <w:highlight w:val="none"/>
              </w:rPr>
            </w:pPr>
            <w:r>
              <w:rPr>
                <w:rFonts w:hint="default" w:ascii="Times New Roman" w:hAnsi="Times New Roman" w:eastAsia="宋体" w:cs="Times New Roman"/>
                <w:b/>
                <w:bCs/>
                <w:color w:val="000000"/>
                <w:szCs w:val="28"/>
                <w:highlight w:val="none"/>
                <w:lang w:eastAsia="zh-CN"/>
              </w:rPr>
              <w:t>（</w:t>
            </w:r>
            <w:r>
              <w:rPr>
                <w:rFonts w:hint="default" w:ascii="Times New Roman" w:hAnsi="Times New Roman" w:eastAsia="宋体" w:cs="Times New Roman"/>
                <w:b/>
                <w:bCs/>
                <w:color w:val="000000"/>
                <w:szCs w:val="28"/>
                <w:highlight w:val="none"/>
                <w:lang w:val="en-US" w:eastAsia="zh-CN"/>
              </w:rPr>
              <w:t>3</w:t>
            </w:r>
            <w:r>
              <w:rPr>
                <w:rFonts w:hint="default" w:ascii="Times New Roman" w:hAnsi="Times New Roman" w:eastAsia="宋体" w:cs="Times New Roman"/>
                <w:b/>
                <w:bCs/>
                <w:color w:val="000000"/>
                <w:szCs w:val="28"/>
                <w:highlight w:val="none"/>
                <w:lang w:eastAsia="zh-CN"/>
              </w:rPr>
              <w:t>）</w:t>
            </w:r>
            <w:r>
              <w:rPr>
                <w:rFonts w:hint="default" w:ascii="Times New Roman" w:hAnsi="Times New Roman" w:eastAsia="宋体" w:cs="Times New Roman"/>
                <w:b/>
                <w:bCs/>
                <w:color w:val="000000"/>
                <w:szCs w:val="28"/>
                <w:highlight w:val="none"/>
              </w:rPr>
              <w:t>水平涡动粘滞系数</w:t>
            </w:r>
          </w:p>
          <w:p w14:paraId="5A42B8B6">
            <w:pPr>
              <w:adjustRightInd w:val="0"/>
              <w:snapToGrid w:val="0"/>
              <w:ind w:firstLine="480"/>
              <w:rPr>
                <w:rFonts w:hint="default" w:ascii="Times New Roman" w:hAnsi="Times New Roman" w:eastAsia="宋体" w:cs="Times New Roman"/>
                <w:color w:val="000000"/>
                <w:szCs w:val="28"/>
                <w:highlight w:val="none"/>
              </w:rPr>
            </w:pPr>
            <w:r>
              <w:rPr>
                <w:rFonts w:hint="default" w:ascii="Times New Roman" w:hAnsi="Times New Roman" w:eastAsia="宋体" w:cs="Times New Roman"/>
                <w:color w:val="000000"/>
                <w:szCs w:val="28"/>
                <w:highlight w:val="none"/>
              </w:rPr>
              <w:t>采用考虑亚尺度网格效应的Smagorinsky（1963）公式计算水平涡粘系数，表达式如下：</w:t>
            </w:r>
          </w:p>
          <w:p w14:paraId="692FD4C6">
            <w:pPr>
              <w:bidi w:val="0"/>
              <w:ind w:left="0" w:leftChars="0" w:firstLine="2520" w:firstLineChars="1200"/>
              <w:jc w:val="right"/>
              <w:rPr>
                <w:rFonts w:hint="default" w:ascii="Times New Roman" w:hAnsi="Times New Roman" w:eastAsia="宋体" w:cs="Times New Roman"/>
                <w:color w:val="000000"/>
                <w:kern w:val="2"/>
                <w:sz w:val="21"/>
                <w:szCs w:val="28"/>
                <w:highlight w:val="none"/>
                <w:lang w:val="en-US" w:eastAsia="zh-CN" w:bidi="ar-SA"/>
              </w:rPr>
            </w:pPr>
            <w:r>
              <w:rPr>
                <w:rFonts w:hint="default" w:ascii="Times New Roman" w:hAnsi="Times New Roman" w:eastAsia="宋体" w:cs="Times New Roman"/>
                <w:color w:val="000000"/>
                <w:kern w:val="2"/>
                <w:sz w:val="21"/>
                <w:szCs w:val="28"/>
                <w:highlight w:val="none"/>
                <w:lang w:val="en-US" w:eastAsia="zh-CN" w:bidi="ar-SA"/>
              </w:rPr>
              <w:drawing>
                <wp:inline distT="0" distB="0" distL="114300" distR="114300">
                  <wp:extent cx="1141095" cy="285115"/>
                  <wp:effectExtent l="0" t="0" r="1905" b="635"/>
                  <wp:docPr id="301" name="图片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817"/>
                          <pic:cNvPicPr>
                            <a:picLocks noChangeAspect="1"/>
                          </pic:cNvPicPr>
                        </pic:nvPicPr>
                        <pic:blipFill>
                          <a:blip r:embed="rId89"/>
                          <a:stretch>
                            <a:fillRect/>
                          </a:stretch>
                        </pic:blipFill>
                        <pic:spPr>
                          <a:xfrm>
                            <a:off x="0" y="0"/>
                            <a:ext cx="1141095" cy="285115"/>
                          </a:xfrm>
                          <a:prstGeom prst="rect">
                            <a:avLst/>
                          </a:prstGeom>
                          <a:noFill/>
                          <a:ln>
                            <a:noFill/>
                          </a:ln>
                        </pic:spPr>
                      </pic:pic>
                    </a:graphicData>
                  </a:graphic>
                </wp:inline>
              </w:drawing>
            </w:r>
            <w:r>
              <w:rPr>
                <w:rFonts w:hint="default" w:ascii="Times New Roman" w:hAnsi="Times New Roman" w:eastAsia="宋体" w:cs="Times New Roman"/>
                <w:color w:val="000000"/>
                <w:kern w:val="2"/>
                <w:sz w:val="24"/>
                <w:szCs w:val="24"/>
                <w:highlight w:val="none"/>
                <w:lang w:val="en-US" w:eastAsia="zh-CN" w:bidi="ar-SA"/>
              </w:rPr>
              <w:t xml:space="preserve">                 （</w:t>
            </w:r>
            <w:r>
              <w:rPr>
                <w:rFonts w:hint="eastAsia" w:cs="Times New Roman"/>
                <w:color w:val="000000"/>
                <w:kern w:val="2"/>
                <w:sz w:val="24"/>
                <w:szCs w:val="24"/>
                <w:highlight w:val="none"/>
                <w:lang w:val="en-US" w:eastAsia="zh-CN" w:bidi="ar-SA"/>
              </w:rPr>
              <w:t>4</w:t>
            </w:r>
            <w:r>
              <w:rPr>
                <w:rFonts w:hint="default" w:ascii="Times New Roman" w:hAnsi="Times New Roman" w:eastAsia="宋体" w:cs="Times New Roman"/>
                <w:color w:val="000000"/>
                <w:kern w:val="2"/>
                <w:sz w:val="24"/>
                <w:szCs w:val="24"/>
                <w:highlight w:val="none"/>
                <w:lang w:val="en-US" w:eastAsia="zh-CN" w:bidi="ar-SA"/>
              </w:rPr>
              <w:t>.</w:t>
            </w:r>
            <w:r>
              <w:rPr>
                <w:rFonts w:hint="eastAsia" w:cs="Times New Roman"/>
                <w:color w:val="000000"/>
                <w:kern w:val="2"/>
                <w:sz w:val="24"/>
                <w:szCs w:val="24"/>
                <w:highlight w:val="none"/>
                <w:lang w:val="en-US" w:eastAsia="zh-CN" w:bidi="ar-SA"/>
              </w:rPr>
              <w:t>3</w:t>
            </w:r>
            <w:r>
              <w:rPr>
                <w:rFonts w:hint="default" w:ascii="Times New Roman" w:hAnsi="Times New Roman" w:eastAsia="宋体" w:cs="Times New Roman"/>
                <w:color w:val="000000"/>
                <w:kern w:val="2"/>
                <w:sz w:val="24"/>
                <w:szCs w:val="24"/>
                <w:highlight w:val="none"/>
                <w:lang w:val="en-US" w:eastAsia="zh-CN" w:bidi="ar-SA"/>
              </w:rPr>
              <w:t>.1-12）</w:t>
            </w:r>
          </w:p>
          <w:p w14:paraId="7B23148A">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eastAsia="宋体" w:cs="Times New Roman"/>
                <w:color w:val="000000"/>
                <w:szCs w:val="28"/>
                <w:highlight w:val="none"/>
              </w:rPr>
              <w:t>式中</w:t>
            </w:r>
            <w:r>
              <w:rPr>
                <w:rFonts w:hint="default" w:ascii="Times New Roman" w:hAnsi="Times New Roman" w:eastAsia="宋体" w:cs="Times New Roman"/>
                <w:i/>
                <w:iCs/>
                <w:color w:val="000000"/>
                <w:szCs w:val="28"/>
                <w:highlight w:val="none"/>
              </w:rPr>
              <w:t>c</w:t>
            </w:r>
            <w:r>
              <w:rPr>
                <w:rFonts w:hint="default" w:ascii="Times New Roman" w:hAnsi="Times New Roman" w:eastAsia="宋体" w:cs="Times New Roman"/>
                <w:i/>
                <w:iCs/>
                <w:color w:val="000000"/>
                <w:szCs w:val="28"/>
                <w:highlight w:val="none"/>
                <w:vertAlign w:val="subscript"/>
              </w:rPr>
              <w:t>s</w:t>
            </w:r>
            <w:r>
              <w:rPr>
                <w:rFonts w:hint="default" w:ascii="Times New Roman" w:hAnsi="Times New Roman" w:eastAsia="宋体" w:cs="Times New Roman"/>
                <w:color w:val="000000"/>
                <w:szCs w:val="28"/>
                <w:highlight w:val="none"/>
              </w:rPr>
              <w:t>为常数，</w:t>
            </w:r>
            <w:r>
              <w:rPr>
                <w:rFonts w:hint="default" w:ascii="Times New Roman" w:hAnsi="Times New Roman" w:eastAsia="宋体" w:cs="Times New Roman"/>
                <w:i/>
                <w:iCs/>
                <w:color w:val="000000"/>
                <w:szCs w:val="28"/>
                <w:highlight w:val="none"/>
              </w:rPr>
              <w:t>l</w:t>
            </w:r>
            <w:r>
              <w:rPr>
                <w:rFonts w:hint="default" w:ascii="Times New Roman" w:hAnsi="Times New Roman" w:eastAsia="宋体" w:cs="Times New Roman"/>
                <w:color w:val="000000"/>
                <w:szCs w:val="28"/>
                <w:highlight w:val="none"/>
              </w:rPr>
              <w:t>为特征混合长度，由</w:t>
            </w:r>
            <w:r>
              <w:rPr>
                <w:rFonts w:hint="default" w:ascii="Times New Roman" w:hAnsi="Times New Roman" w:eastAsia="宋体" w:cs="Times New Roman"/>
                <w:color w:val="000000"/>
                <w:position w:val="-36"/>
                <w:szCs w:val="28"/>
                <w:highlight w:val="none"/>
              </w:rPr>
              <w:drawing>
                <wp:inline distT="0" distB="0" distL="114300" distR="114300">
                  <wp:extent cx="1031240" cy="438785"/>
                  <wp:effectExtent l="0" t="0" r="16510" b="18415"/>
                  <wp:docPr id="302" name="图片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818"/>
                          <pic:cNvPicPr>
                            <a:picLocks noChangeAspect="1"/>
                          </pic:cNvPicPr>
                        </pic:nvPicPr>
                        <pic:blipFill>
                          <a:blip r:embed="rId90"/>
                          <a:stretch>
                            <a:fillRect/>
                          </a:stretch>
                        </pic:blipFill>
                        <pic:spPr>
                          <a:xfrm>
                            <a:off x="0" y="0"/>
                            <a:ext cx="1031240" cy="438785"/>
                          </a:xfrm>
                          <a:prstGeom prst="rect">
                            <a:avLst/>
                          </a:prstGeom>
                          <a:noFill/>
                          <a:ln>
                            <a:noFill/>
                          </a:ln>
                        </pic:spPr>
                      </pic:pic>
                    </a:graphicData>
                  </a:graphic>
                </wp:inline>
              </w:drawing>
            </w:r>
            <w:r>
              <w:rPr>
                <w:rFonts w:hint="default" w:ascii="Times New Roman" w:hAnsi="Times New Roman" w:eastAsia="宋体" w:cs="Times New Roman"/>
                <w:color w:val="000000"/>
                <w:szCs w:val="28"/>
                <w:highlight w:val="none"/>
              </w:rPr>
              <w:t>，（</w:t>
            </w:r>
            <w:r>
              <w:rPr>
                <w:rFonts w:hint="default" w:ascii="Times New Roman" w:hAnsi="Times New Roman" w:eastAsia="宋体" w:cs="Times New Roman"/>
                <w:i/>
                <w:iCs/>
                <w:color w:val="000000"/>
                <w:szCs w:val="28"/>
                <w:highlight w:val="none"/>
              </w:rPr>
              <w:t>i</w:t>
            </w:r>
            <w:r>
              <w:rPr>
                <w:rFonts w:hint="default" w:ascii="Times New Roman" w:hAnsi="Times New Roman" w:eastAsia="宋体" w:cs="Times New Roman"/>
                <w:color w:val="000000"/>
                <w:szCs w:val="28"/>
                <w:highlight w:val="none"/>
              </w:rPr>
              <w:t>，</w:t>
            </w:r>
            <w:r>
              <w:rPr>
                <w:rFonts w:hint="default" w:ascii="Times New Roman" w:hAnsi="Times New Roman" w:eastAsia="宋体" w:cs="Times New Roman"/>
                <w:i/>
                <w:iCs/>
                <w:color w:val="000000"/>
                <w:szCs w:val="28"/>
                <w:highlight w:val="none"/>
              </w:rPr>
              <w:t>j</w:t>
            </w:r>
            <w:r>
              <w:rPr>
                <w:rFonts w:hint="default" w:ascii="Times New Roman" w:hAnsi="Times New Roman" w:eastAsia="宋体" w:cs="Times New Roman"/>
                <w:color w:val="000000"/>
                <w:szCs w:val="28"/>
                <w:highlight w:val="none"/>
              </w:rPr>
              <w:t>=1，2）计算得到。</w:t>
            </w:r>
          </w:p>
          <w:p w14:paraId="1D7DD246">
            <w:pPr>
              <w:pStyle w:val="5"/>
              <w:bidi w:val="0"/>
              <w:rPr>
                <w:rFonts w:hint="default"/>
                <w:lang w:eastAsia="zh-CN"/>
              </w:rPr>
            </w:pPr>
            <w:bookmarkStart w:id="297" w:name="_Toc18502"/>
            <w:r>
              <w:rPr>
                <w:rFonts w:hint="default"/>
                <w:lang w:val="en-US" w:eastAsia="zh-CN"/>
              </w:rPr>
              <w:t>模型验证</w:t>
            </w:r>
            <w:bookmarkEnd w:id="297"/>
          </w:p>
          <w:p w14:paraId="46D7A38E">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b w:val="0"/>
                <w:bCs w:val="0"/>
                <w:color w:val="000000"/>
                <w:highlight w:val="none"/>
              </w:rPr>
            </w:pPr>
            <w:r>
              <w:rPr>
                <w:rFonts w:hint="default" w:ascii="Times New Roman" w:hAnsi="Times New Roman" w:cs="Times New Roman"/>
                <w:color w:val="000000"/>
                <w:highlight w:val="none"/>
              </w:rPr>
              <w:t>潮位、潮流数据采用2024年11月2日10:00至2024年11月3日11:00期间在工程附近海域6个站位的实测海流资料和2个同步观测的潮位资料对模型计算结果进行验证。</w:t>
            </w:r>
            <w:r>
              <w:rPr>
                <w:rFonts w:hint="default" w:ascii="Times New Roman" w:hAnsi="Times New Roman" w:eastAsia="宋体" w:cs="Times New Roman"/>
                <w:b w:val="0"/>
                <w:bCs w:val="0"/>
                <w:color w:val="000000"/>
                <w:highlight w:val="none"/>
              </w:rPr>
              <w:t>潮位、潮流具体测流点位置分布如</w:t>
            </w:r>
            <w:r>
              <w:rPr>
                <w:rFonts w:hint="default" w:ascii="Times New Roman" w:hAnsi="Times New Roman" w:eastAsia="宋体" w:cs="Times New Roman"/>
                <w:b w:val="0"/>
                <w:bCs w:val="0"/>
                <w:color w:val="000000"/>
                <w:highlight w:val="none"/>
              </w:rPr>
              <w:fldChar w:fldCharType="begin"/>
            </w:r>
            <w:r>
              <w:rPr>
                <w:rFonts w:hint="default" w:ascii="Times New Roman" w:hAnsi="Times New Roman" w:eastAsia="宋体" w:cs="Times New Roman"/>
                <w:b w:val="0"/>
                <w:bCs w:val="0"/>
                <w:color w:val="000000"/>
                <w:highlight w:val="none"/>
              </w:rPr>
              <w:instrText xml:space="preserve"> REF _Ref12609 \h </w:instrText>
            </w:r>
            <w:r>
              <w:rPr>
                <w:rFonts w:hint="default" w:ascii="Times New Roman" w:hAnsi="Times New Roman" w:eastAsia="宋体" w:cs="Times New Roman"/>
                <w:b w:val="0"/>
                <w:bCs w:val="0"/>
                <w:color w:val="000000"/>
                <w:highlight w:val="none"/>
              </w:rPr>
              <w:fldChar w:fldCharType="separate"/>
            </w:r>
            <w:r>
              <w:rPr>
                <w:rFonts w:hint="default" w:ascii="Times New Roman" w:hAnsi="Times New Roman" w:eastAsia="宋体" w:cs="Times New Roman"/>
                <w:b w:val="0"/>
                <w:bCs w:val="0"/>
                <w:color w:val="000000"/>
                <w:kern w:val="2"/>
                <w:sz w:val="24"/>
                <w:szCs w:val="28"/>
                <w:highlight w:val="none"/>
                <w:lang w:val="en-US" w:eastAsia="zh-CN" w:bidi="ar-SA"/>
              </w:rPr>
              <w:t>图</w:t>
            </w:r>
            <w:r>
              <w:rPr>
                <w:rFonts w:hint="default" w:ascii="Times New Roman" w:hAnsi="Times New Roman" w:eastAsia="宋体" w:cs="Times New Roman"/>
                <w:b w:val="0"/>
                <w:bCs w:val="0"/>
                <w:color w:val="000000"/>
                <w:kern w:val="2"/>
                <w:sz w:val="24"/>
                <w:szCs w:val="28"/>
                <w:highlight w:val="none"/>
                <w:lang w:val="en-US" w:eastAsia="zh-CN" w:bidi="ar-SA"/>
              </w:rPr>
              <w:fldChar w:fldCharType="begin"/>
            </w:r>
            <w:r>
              <w:rPr>
                <w:rFonts w:hint="default" w:ascii="Times New Roman" w:hAnsi="Times New Roman" w:eastAsia="宋体" w:cs="Times New Roman"/>
                <w:b w:val="0"/>
                <w:bCs w:val="0"/>
                <w:color w:val="000000"/>
                <w:kern w:val="2"/>
                <w:sz w:val="24"/>
                <w:szCs w:val="28"/>
                <w:highlight w:val="none"/>
                <w:lang w:val="en-US" w:eastAsia="zh-CN" w:bidi="ar-SA"/>
              </w:rPr>
              <w:instrText xml:space="preserve"> STYLEREF 2 \s </w:instrText>
            </w:r>
            <w:r>
              <w:rPr>
                <w:rFonts w:hint="default" w:ascii="Times New Roman" w:hAnsi="Times New Roman" w:eastAsia="宋体" w:cs="Times New Roman"/>
                <w:b w:val="0"/>
                <w:bCs w:val="0"/>
                <w:color w:val="000000"/>
                <w:kern w:val="2"/>
                <w:sz w:val="24"/>
                <w:szCs w:val="28"/>
                <w:highlight w:val="none"/>
                <w:lang w:val="en-US" w:eastAsia="zh-CN" w:bidi="ar-SA"/>
              </w:rPr>
              <w:fldChar w:fldCharType="separate"/>
            </w:r>
            <w:r>
              <w:rPr>
                <w:rFonts w:hint="default" w:ascii="Times New Roman" w:hAnsi="Times New Roman" w:eastAsia="宋体" w:cs="Times New Roman"/>
                <w:b w:val="0"/>
                <w:bCs w:val="0"/>
                <w:color w:val="000000"/>
                <w:kern w:val="2"/>
                <w:sz w:val="24"/>
                <w:szCs w:val="28"/>
                <w:highlight w:val="none"/>
                <w:lang w:val="en-US" w:eastAsia="zh-CN" w:bidi="ar-SA"/>
              </w:rPr>
              <w:t>4.3</w:t>
            </w:r>
            <w:r>
              <w:rPr>
                <w:rFonts w:hint="default" w:ascii="Times New Roman" w:hAnsi="Times New Roman" w:eastAsia="宋体" w:cs="Times New Roman"/>
                <w:b w:val="0"/>
                <w:bCs w:val="0"/>
                <w:color w:val="000000"/>
                <w:kern w:val="2"/>
                <w:sz w:val="24"/>
                <w:szCs w:val="28"/>
                <w:highlight w:val="none"/>
                <w:lang w:val="en-US" w:eastAsia="zh-CN" w:bidi="ar-SA"/>
              </w:rPr>
              <w:fldChar w:fldCharType="end"/>
            </w:r>
            <w:r>
              <w:rPr>
                <w:rFonts w:hint="default" w:ascii="Times New Roman" w:hAnsi="Times New Roman" w:eastAsia="宋体" w:cs="Times New Roman"/>
                <w:b w:val="0"/>
                <w:bCs w:val="0"/>
                <w:color w:val="000000"/>
                <w:kern w:val="2"/>
                <w:sz w:val="24"/>
                <w:szCs w:val="28"/>
                <w:highlight w:val="none"/>
                <w:lang w:val="en-US" w:eastAsia="zh-CN" w:bidi="ar-SA"/>
              </w:rPr>
              <w:t>-3</w:t>
            </w:r>
            <w:r>
              <w:rPr>
                <w:rFonts w:hint="default" w:ascii="Times New Roman" w:hAnsi="Times New Roman" w:eastAsia="宋体" w:cs="Times New Roman"/>
                <w:b w:val="0"/>
                <w:bCs w:val="0"/>
                <w:color w:val="000000"/>
                <w:highlight w:val="none"/>
              </w:rPr>
              <w:fldChar w:fldCharType="end"/>
            </w:r>
            <w:r>
              <w:rPr>
                <w:rFonts w:hint="default" w:ascii="Times New Roman" w:hAnsi="Times New Roman" w:eastAsia="宋体" w:cs="Times New Roman"/>
                <w:b w:val="0"/>
                <w:bCs w:val="0"/>
                <w:color w:val="000000"/>
                <w:highlight w:val="none"/>
              </w:rPr>
              <w:t>所示。测点的地理位置及坐标见</w:t>
            </w:r>
            <w:r>
              <w:rPr>
                <w:rFonts w:hint="default" w:ascii="Times New Roman" w:hAnsi="Times New Roman" w:eastAsia="宋体" w:cs="Times New Roman"/>
                <w:b w:val="0"/>
                <w:bCs w:val="0"/>
                <w:color w:val="000000"/>
                <w:highlight w:val="none"/>
                <w:lang w:eastAsia="zh-CN"/>
              </w:rPr>
              <w:fldChar w:fldCharType="begin"/>
            </w:r>
            <w:r>
              <w:rPr>
                <w:rFonts w:hint="default" w:ascii="Times New Roman" w:hAnsi="Times New Roman" w:eastAsia="宋体" w:cs="Times New Roman"/>
                <w:b w:val="0"/>
                <w:bCs w:val="0"/>
                <w:color w:val="000000"/>
                <w:highlight w:val="none"/>
                <w:lang w:eastAsia="zh-CN"/>
              </w:rPr>
              <w:instrText xml:space="preserve"> REF _Ref30533 \h </w:instrText>
            </w:r>
            <w:r>
              <w:rPr>
                <w:rFonts w:hint="default" w:ascii="Times New Roman" w:hAnsi="Times New Roman" w:eastAsia="宋体" w:cs="Times New Roman"/>
                <w:b w:val="0"/>
                <w:bCs w:val="0"/>
                <w:color w:val="000000"/>
                <w:highlight w:val="none"/>
                <w:lang w:eastAsia="zh-CN"/>
              </w:rPr>
              <w:fldChar w:fldCharType="separate"/>
            </w:r>
            <w:r>
              <w:rPr>
                <w:rFonts w:hint="default" w:ascii="Times New Roman" w:hAnsi="Times New Roman" w:eastAsia="宋体" w:cs="Times New Roman"/>
                <w:b w:val="0"/>
                <w:bCs w:val="0"/>
                <w:color w:val="000000"/>
                <w:kern w:val="2"/>
                <w:sz w:val="24"/>
                <w:szCs w:val="28"/>
                <w:highlight w:val="none"/>
                <w:lang w:val="en-US" w:eastAsia="zh-CN" w:bidi="ar-SA"/>
              </w:rPr>
              <w:t>表</w:t>
            </w:r>
            <w:r>
              <w:rPr>
                <w:rFonts w:hint="default" w:ascii="Times New Roman" w:hAnsi="Times New Roman" w:eastAsia="宋体" w:cs="Times New Roman"/>
                <w:b w:val="0"/>
                <w:bCs w:val="0"/>
                <w:color w:val="000000"/>
                <w:kern w:val="2"/>
                <w:sz w:val="24"/>
                <w:szCs w:val="28"/>
                <w:highlight w:val="none"/>
                <w:lang w:val="en-US" w:eastAsia="zh-CN" w:bidi="ar-SA"/>
              </w:rPr>
              <w:fldChar w:fldCharType="begin"/>
            </w:r>
            <w:r>
              <w:rPr>
                <w:rFonts w:hint="default" w:ascii="Times New Roman" w:hAnsi="Times New Roman" w:eastAsia="宋体" w:cs="Times New Roman"/>
                <w:b w:val="0"/>
                <w:bCs w:val="0"/>
                <w:color w:val="000000"/>
                <w:kern w:val="2"/>
                <w:sz w:val="24"/>
                <w:szCs w:val="28"/>
                <w:highlight w:val="none"/>
                <w:lang w:val="en-US" w:eastAsia="zh-CN" w:bidi="ar-SA"/>
              </w:rPr>
              <w:instrText xml:space="preserve"> STYLEREF 2 \s </w:instrText>
            </w:r>
            <w:r>
              <w:rPr>
                <w:rFonts w:hint="default" w:ascii="Times New Roman" w:hAnsi="Times New Roman" w:eastAsia="宋体" w:cs="Times New Roman"/>
                <w:b w:val="0"/>
                <w:bCs w:val="0"/>
                <w:color w:val="000000"/>
                <w:kern w:val="2"/>
                <w:sz w:val="24"/>
                <w:szCs w:val="28"/>
                <w:highlight w:val="none"/>
                <w:lang w:val="en-US" w:eastAsia="zh-CN" w:bidi="ar-SA"/>
              </w:rPr>
              <w:fldChar w:fldCharType="separate"/>
            </w:r>
            <w:r>
              <w:rPr>
                <w:rFonts w:hint="default" w:ascii="Times New Roman" w:hAnsi="Times New Roman" w:eastAsia="宋体" w:cs="Times New Roman"/>
                <w:b w:val="0"/>
                <w:bCs w:val="0"/>
                <w:color w:val="000000"/>
                <w:kern w:val="2"/>
                <w:sz w:val="24"/>
                <w:szCs w:val="28"/>
                <w:highlight w:val="none"/>
                <w:lang w:val="en-US" w:eastAsia="zh-CN" w:bidi="ar-SA"/>
              </w:rPr>
              <w:t>4.3</w:t>
            </w:r>
            <w:r>
              <w:rPr>
                <w:rFonts w:hint="default" w:ascii="Times New Roman" w:hAnsi="Times New Roman" w:eastAsia="宋体" w:cs="Times New Roman"/>
                <w:b w:val="0"/>
                <w:bCs w:val="0"/>
                <w:color w:val="000000"/>
                <w:kern w:val="2"/>
                <w:sz w:val="24"/>
                <w:szCs w:val="28"/>
                <w:highlight w:val="none"/>
                <w:lang w:val="en-US" w:eastAsia="zh-CN" w:bidi="ar-SA"/>
              </w:rPr>
              <w:fldChar w:fldCharType="end"/>
            </w:r>
            <w:r>
              <w:rPr>
                <w:rFonts w:hint="default" w:ascii="Times New Roman" w:hAnsi="Times New Roman" w:eastAsia="宋体" w:cs="Times New Roman"/>
                <w:b w:val="0"/>
                <w:bCs w:val="0"/>
                <w:color w:val="000000"/>
                <w:kern w:val="2"/>
                <w:sz w:val="24"/>
                <w:szCs w:val="28"/>
                <w:highlight w:val="none"/>
                <w:lang w:val="en-US" w:eastAsia="zh-CN" w:bidi="ar-SA"/>
              </w:rPr>
              <w:t>-1</w:t>
            </w:r>
            <w:r>
              <w:rPr>
                <w:rFonts w:hint="default" w:ascii="Times New Roman" w:hAnsi="Times New Roman" w:eastAsia="宋体" w:cs="Times New Roman"/>
                <w:b w:val="0"/>
                <w:bCs w:val="0"/>
                <w:color w:val="000000"/>
                <w:highlight w:val="none"/>
                <w:lang w:eastAsia="zh-CN"/>
              </w:rPr>
              <w:fldChar w:fldCharType="end"/>
            </w:r>
            <w:r>
              <w:rPr>
                <w:rFonts w:hint="default" w:ascii="Times New Roman" w:hAnsi="Times New Roman" w:eastAsia="宋体" w:cs="Times New Roman"/>
                <w:b w:val="0"/>
                <w:bCs w:val="0"/>
                <w:color w:val="000000"/>
                <w:highlight w:val="none"/>
              </w:rPr>
              <w:t>。</w:t>
            </w:r>
          </w:p>
          <w:p w14:paraId="405AC96F">
            <w:pPr>
              <w:widowControl w:val="0"/>
              <w:bidi w:val="0"/>
              <w:adjustRightInd w:val="0"/>
              <w:snapToGrid w:val="0"/>
              <w:spacing w:line="240" w:lineRule="auto"/>
              <w:ind w:firstLine="0" w:firstLineChars="0"/>
              <w:jc w:val="center"/>
              <w:rPr>
                <w:rFonts w:hint="default" w:ascii="Times New Roman" w:hAnsi="Times New Roman" w:eastAsia="宋体" w:cs="Times New Roman"/>
                <w:b/>
                <w:color w:val="000000"/>
                <w:kern w:val="2"/>
                <w:sz w:val="24"/>
                <w:szCs w:val="28"/>
                <w:highlight w:val="none"/>
                <w:lang w:val="en-US" w:eastAsia="zh-CN" w:bidi="ar-SA"/>
              </w:rPr>
            </w:pPr>
            <w:bookmarkStart w:id="298" w:name="_Ref30533"/>
            <w:r>
              <w:rPr>
                <w:rFonts w:hint="default" w:ascii="Times New Roman" w:hAnsi="Times New Roman" w:eastAsia="宋体" w:cs="Times New Roman"/>
                <w:b/>
                <w:color w:val="000000"/>
                <w:kern w:val="2"/>
                <w:sz w:val="24"/>
                <w:szCs w:val="28"/>
                <w:highlight w:val="none"/>
                <w:lang w:val="en-US" w:eastAsia="zh-CN" w:bidi="ar-SA"/>
              </w:rPr>
              <w:t>表</w:t>
            </w:r>
            <w:r>
              <w:rPr>
                <w:rFonts w:hint="default" w:ascii="Times New Roman" w:hAnsi="Times New Roman" w:eastAsia="宋体" w:cs="Times New Roman"/>
                <w:b/>
                <w:color w:val="000000"/>
                <w:kern w:val="2"/>
                <w:sz w:val="24"/>
                <w:szCs w:val="28"/>
                <w:highlight w:val="none"/>
                <w:lang w:val="en-US" w:eastAsia="zh-CN" w:bidi="ar-SA"/>
              </w:rPr>
              <w:fldChar w:fldCharType="begin"/>
            </w:r>
            <w:r>
              <w:rPr>
                <w:rFonts w:hint="default" w:ascii="Times New Roman" w:hAnsi="Times New Roman" w:eastAsia="宋体" w:cs="Times New Roman"/>
                <w:b/>
                <w:color w:val="000000"/>
                <w:kern w:val="2"/>
                <w:sz w:val="24"/>
                <w:szCs w:val="28"/>
                <w:highlight w:val="none"/>
                <w:lang w:val="en-US" w:eastAsia="zh-CN" w:bidi="ar-SA"/>
              </w:rPr>
              <w:instrText xml:space="preserve"> STYLEREF 2 \s </w:instrText>
            </w:r>
            <w:r>
              <w:rPr>
                <w:rFonts w:hint="default" w:ascii="Times New Roman" w:hAnsi="Times New Roman" w:eastAsia="宋体" w:cs="Times New Roman"/>
                <w:b/>
                <w:color w:val="000000"/>
                <w:kern w:val="2"/>
                <w:sz w:val="24"/>
                <w:szCs w:val="28"/>
                <w:highlight w:val="none"/>
                <w:lang w:val="en-US" w:eastAsia="zh-CN" w:bidi="ar-SA"/>
              </w:rPr>
              <w:fldChar w:fldCharType="separate"/>
            </w:r>
            <w:r>
              <w:rPr>
                <w:rFonts w:hint="default" w:ascii="Times New Roman" w:hAnsi="Times New Roman" w:eastAsia="宋体" w:cs="Times New Roman"/>
                <w:b/>
                <w:color w:val="000000"/>
                <w:kern w:val="2"/>
                <w:sz w:val="24"/>
                <w:szCs w:val="28"/>
                <w:highlight w:val="none"/>
                <w:lang w:val="en-US" w:eastAsia="zh-CN" w:bidi="ar-SA"/>
              </w:rPr>
              <w:t>4.3</w:t>
            </w:r>
            <w:r>
              <w:rPr>
                <w:rFonts w:hint="default" w:ascii="Times New Roman" w:hAnsi="Times New Roman" w:eastAsia="宋体" w:cs="Times New Roman"/>
                <w:b/>
                <w:color w:val="000000"/>
                <w:kern w:val="2"/>
                <w:sz w:val="24"/>
                <w:szCs w:val="28"/>
                <w:highlight w:val="none"/>
                <w:lang w:val="en-US" w:eastAsia="zh-CN" w:bidi="ar-SA"/>
              </w:rPr>
              <w:fldChar w:fldCharType="end"/>
            </w:r>
            <w:r>
              <w:rPr>
                <w:rFonts w:hint="default" w:ascii="Times New Roman" w:hAnsi="Times New Roman" w:eastAsia="宋体" w:cs="Times New Roman"/>
                <w:b/>
                <w:color w:val="000000"/>
                <w:kern w:val="2"/>
                <w:sz w:val="24"/>
                <w:szCs w:val="28"/>
                <w:highlight w:val="none"/>
                <w:lang w:val="en-US" w:eastAsia="zh-CN" w:bidi="ar-SA"/>
              </w:rPr>
              <w:t>-</w:t>
            </w:r>
            <w:r>
              <w:rPr>
                <w:rFonts w:hint="default" w:ascii="Times New Roman" w:hAnsi="Times New Roman" w:eastAsia="宋体" w:cs="Times New Roman"/>
                <w:b/>
                <w:color w:val="000000"/>
                <w:kern w:val="2"/>
                <w:sz w:val="24"/>
                <w:szCs w:val="28"/>
                <w:highlight w:val="none"/>
                <w:lang w:val="en-US" w:eastAsia="zh-CN" w:bidi="ar-SA"/>
              </w:rPr>
              <w:fldChar w:fldCharType="begin"/>
            </w:r>
            <w:r>
              <w:rPr>
                <w:rFonts w:hint="default" w:ascii="Times New Roman" w:hAnsi="Times New Roman" w:eastAsia="宋体" w:cs="Times New Roman"/>
                <w:b/>
                <w:color w:val="000000"/>
                <w:kern w:val="2"/>
                <w:sz w:val="24"/>
                <w:szCs w:val="28"/>
                <w:highlight w:val="none"/>
                <w:lang w:val="en-US" w:eastAsia="zh-CN" w:bidi="ar-SA"/>
              </w:rPr>
              <w:instrText xml:space="preserve"> SEQ 表 \* ARABIC \s 2 </w:instrText>
            </w:r>
            <w:r>
              <w:rPr>
                <w:rFonts w:hint="default" w:ascii="Times New Roman" w:hAnsi="Times New Roman" w:eastAsia="宋体" w:cs="Times New Roman"/>
                <w:b/>
                <w:color w:val="000000"/>
                <w:kern w:val="2"/>
                <w:sz w:val="24"/>
                <w:szCs w:val="28"/>
                <w:highlight w:val="none"/>
                <w:lang w:val="en-US" w:eastAsia="zh-CN" w:bidi="ar-SA"/>
              </w:rPr>
              <w:fldChar w:fldCharType="separate"/>
            </w:r>
            <w:r>
              <w:rPr>
                <w:rFonts w:hint="default" w:ascii="Times New Roman" w:hAnsi="Times New Roman" w:eastAsia="宋体" w:cs="Times New Roman"/>
                <w:b/>
                <w:color w:val="000000"/>
                <w:kern w:val="2"/>
                <w:sz w:val="24"/>
                <w:szCs w:val="28"/>
                <w:highlight w:val="none"/>
                <w:lang w:val="en-US" w:eastAsia="zh-CN" w:bidi="ar-SA"/>
              </w:rPr>
              <w:t>1</w:t>
            </w:r>
            <w:r>
              <w:rPr>
                <w:rFonts w:hint="default" w:ascii="Times New Roman" w:hAnsi="Times New Roman" w:eastAsia="宋体" w:cs="Times New Roman"/>
                <w:b/>
                <w:color w:val="000000"/>
                <w:kern w:val="2"/>
                <w:sz w:val="24"/>
                <w:szCs w:val="28"/>
                <w:highlight w:val="none"/>
                <w:lang w:val="en-US" w:eastAsia="zh-CN" w:bidi="ar-SA"/>
              </w:rPr>
              <w:fldChar w:fldCharType="end"/>
            </w:r>
            <w:bookmarkEnd w:id="298"/>
            <w:r>
              <w:rPr>
                <w:rFonts w:hint="default" w:ascii="Times New Roman" w:hAnsi="Times New Roman" w:eastAsia="宋体" w:cs="Times New Roman"/>
                <w:b/>
                <w:color w:val="000000"/>
                <w:kern w:val="2"/>
                <w:sz w:val="24"/>
                <w:szCs w:val="28"/>
                <w:highlight w:val="none"/>
                <w:lang w:val="en-US" w:eastAsia="zh-CN" w:bidi="ar-SA"/>
              </w:rPr>
              <w:t xml:space="preserve"> 水文观测站位坐标</w:t>
            </w:r>
          </w:p>
          <w:tbl>
            <w:tblPr>
              <w:tblStyle w:val="2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1"/>
              <w:gridCol w:w="2444"/>
              <w:gridCol w:w="2267"/>
              <w:gridCol w:w="2601"/>
            </w:tblGrid>
            <w:tr w14:paraId="460F07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559" w:type="pct"/>
                  <w:noWrap w:val="0"/>
                  <w:vAlign w:val="center"/>
                </w:tcPr>
                <w:p w14:paraId="1FCE6895">
                  <w:pPr>
                    <w:keepNext w:val="0"/>
                    <w:keepLines w:val="0"/>
                    <w:widowControl w:val="0"/>
                    <w:suppressLineNumbers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kern w:val="2"/>
                      <w:sz w:val="21"/>
                      <w:szCs w:val="28"/>
                      <w:highlight w:val="none"/>
                      <w:lang w:val="en-US" w:eastAsia="zh-CN" w:bidi="ar-SA"/>
                    </w:rPr>
                  </w:pPr>
                  <w:r>
                    <w:rPr>
                      <w:rFonts w:hint="default" w:ascii="Times New Roman" w:hAnsi="Times New Roman" w:eastAsia="宋体" w:cs="Times New Roman"/>
                      <w:b/>
                      <w:bCs/>
                      <w:color w:val="000000"/>
                      <w:kern w:val="2"/>
                      <w:sz w:val="21"/>
                      <w:szCs w:val="28"/>
                      <w:highlight w:val="none"/>
                      <w:lang w:val="en-US" w:eastAsia="zh-CN" w:bidi="ar-SA"/>
                    </w:rPr>
                    <w:t>站位</w:t>
                  </w:r>
                </w:p>
              </w:tc>
              <w:tc>
                <w:tcPr>
                  <w:tcW w:w="1484" w:type="pct"/>
                  <w:noWrap w:val="0"/>
                  <w:vAlign w:val="center"/>
                </w:tcPr>
                <w:p w14:paraId="4B269B61">
                  <w:pPr>
                    <w:keepNext w:val="0"/>
                    <w:keepLines w:val="0"/>
                    <w:widowControl w:val="0"/>
                    <w:suppressLineNumbers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kern w:val="2"/>
                      <w:sz w:val="21"/>
                      <w:szCs w:val="28"/>
                      <w:highlight w:val="none"/>
                      <w:lang w:val="en-US" w:eastAsia="zh-CN" w:bidi="ar-SA"/>
                    </w:rPr>
                  </w:pPr>
                  <w:r>
                    <w:rPr>
                      <w:rFonts w:hint="default" w:ascii="Times New Roman" w:hAnsi="Times New Roman" w:eastAsia="宋体" w:cs="Times New Roman"/>
                      <w:b/>
                      <w:bCs/>
                      <w:color w:val="000000"/>
                      <w:kern w:val="2"/>
                      <w:sz w:val="21"/>
                      <w:szCs w:val="28"/>
                      <w:highlight w:val="none"/>
                      <w:lang w:val="en-US" w:eastAsia="zh-CN" w:bidi="ar-SA"/>
                    </w:rPr>
                    <w:t>东经E</w:t>
                  </w:r>
                </w:p>
              </w:tc>
              <w:tc>
                <w:tcPr>
                  <w:tcW w:w="1376" w:type="pct"/>
                  <w:noWrap w:val="0"/>
                  <w:vAlign w:val="center"/>
                </w:tcPr>
                <w:p w14:paraId="1BE62CB3">
                  <w:pPr>
                    <w:keepNext w:val="0"/>
                    <w:keepLines w:val="0"/>
                    <w:widowControl w:val="0"/>
                    <w:suppressLineNumbers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kern w:val="2"/>
                      <w:sz w:val="21"/>
                      <w:szCs w:val="28"/>
                      <w:highlight w:val="none"/>
                      <w:lang w:val="en-US" w:eastAsia="zh-CN" w:bidi="ar-SA"/>
                    </w:rPr>
                  </w:pPr>
                  <w:r>
                    <w:rPr>
                      <w:rFonts w:hint="default" w:ascii="Times New Roman" w:hAnsi="Times New Roman" w:eastAsia="宋体" w:cs="Times New Roman"/>
                      <w:b/>
                      <w:bCs/>
                      <w:color w:val="000000"/>
                      <w:kern w:val="2"/>
                      <w:sz w:val="21"/>
                      <w:szCs w:val="28"/>
                      <w:highlight w:val="none"/>
                      <w:lang w:val="en-US" w:eastAsia="zh-CN" w:bidi="ar-SA"/>
                    </w:rPr>
                    <w:t>北纬N</w:t>
                  </w:r>
                </w:p>
              </w:tc>
              <w:tc>
                <w:tcPr>
                  <w:tcW w:w="1579" w:type="pct"/>
                  <w:noWrap w:val="0"/>
                  <w:vAlign w:val="center"/>
                </w:tcPr>
                <w:p w14:paraId="28A7F489">
                  <w:pPr>
                    <w:keepNext w:val="0"/>
                    <w:keepLines w:val="0"/>
                    <w:widowControl w:val="0"/>
                    <w:suppressLineNumbers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kern w:val="2"/>
                      <w:sz w:val="21"/>
                      <w:szCs w:val="28"/>
                      <w:highlight w:val="none"/>
                      <w:lang w:val="en-US" w:eastAsia="zh-CN" w:bidi="ar-SA"/>
                    </w:rPr>
                  </w:pPr>
                  <w:r>
                    <w:rPr>
                      <w:rFonts w:hint="default" w:ascii="Times New Roman" w:hAnsi="Times New Roman" w:eastAsia="宋体" w:cs="Times New Roman"/>
                      <w:b/>
                      <w:bCs/>
                      <w:color w:val="000000"/>
                      <w:kern w:val="2"/>
                      <w:sz w:val="21"/>
                      <w:szCs w:val="28"/>
                      <w:highlight w:val="none"/>
                      <w:lang w:val="en-US" w:eastAsia="zh-CN" w:bidi="ar-SA"/>
                    </w:rPr>
                    <w:t>调查内容</w:t>
                  </w:r>
                </w:p>
              </w:tc>
            </w:tr>
            <w:tr w14:paraId="482B90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9" w:type="pct"/>
                  <w:noWrap w:val="0"/>
                  <w:vAlign w:val="center"/>
                </w:tcPr>
                <w:p w14:paraId="2F2807D2">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C1</w:t>
                  </w:r>
                </w:p>
              </w:tc>
              <w:tc>
                <w:tcPr>
                  <w:tcW w:w="1484" w:type="pct"/>
                  <w:noWrap w:val="0"/>
                  <w:vAlign w:val="center"/>
                </w:tcPr>
                <w:p w14:paraId="1661F491">
                  <w:pPr>
                    <w:pStyle w:val="31"/>
                    <w:bidi w:val="0"/>
                    <w:rPr>
                      <w:rFonts w:hint="default" w:ascii="Times New Roman" w:hAnsi="Times New Roman" w:cs="Times New Roman"/>
                      <w:color w:val="000000"/>
                      <w:highlight w:val="none"/>
                      <w:lang w:val="en-US" w:eastAsia="zh-CN"/>
                    </w:rPr>
                  </w:pPr>
                </w:p>
              </w:tc>
              <w:tc>
                <w:tcPr>
                  <w:tcW w:w="1376" w:type="pct"/>
                  <w:noWrap w:val="0"/>
                  <w:vAlign w:val="center"/>
                </w:tcPr>
                <w:p w14:paraId="74BF8867">
                  <w:pPr>
                    <w:pStyle w:val="31"/>
                    <w:bidi w:val="0"/>
                    <w:rPr>
                      <w:rFonts w:hint="default" w:ascii="Times New Roman" w:hAnsi="Times New Roman" w:cs="Times New Roman"/>
                      <w:color w:val="000000"/>
                      <w:highlight w:val="none"/>
                      <w:lang w:val="en-US" w:eastAsia="zh-CN"/>
                    </w:rPr>
                  </w:pPr>
                </w:p>
              </w:tc>
              <w:tc>
                <w:tcPr>
                  <w:tcW w:w="1579" w:type="pct"/>
                  <w:noWrap w:val="0"/>
                  <w:vAlign w:val="center"/>
                </w:tcPr>
                <w:p w14:paraId="026C80C2">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潮流</w:t>
                  </w:r>
                </w:p>
              </w:tc>
            </w:tr>
            <w:tr w14:paraId="193754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9" w:type="pct"/>
                  <w:noWrap w:val="0"/>
                  <w:vAlign w:val="center"/>
                </w:tcPr>
                <w:p w14:paraId="27338514">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C2</w:t>
                  </w:r>
                </w:p>
              </w:tc>
              <w:tc>
                <w:tcPr>
                  <w:tcW w:w="2444" w:type="dxa"/>
                  <w:noWrap w:val="0"/>
                  <w:vAlign w:val="center"/>
                </w:tcPr>
                <w:p w14:paraId="615B9F2D">
                  <w:pPr>
                    <w:pStyle w:val="31"/>
                    <w:bidi w:val="0"/>
                    <w:rPr>
                      <w:rFonts w:hint="default" w:ascii="Times New Roman" w:hAnsi="Times New Roman" w:cs="Times New Roman"/>
                      <w:color w:val="000000"/>
                      <w:highlight w:val="none"/>
                      <w:lang w:val="en-US" w:eastAsia="zh-CN"/>
                    </w:rPr>
                  </w:pPr>
                </w:p>
              </w:tc>
              <w:tc>
                <w:tcPr>
                  <w:tcW w:w="2267" w:type="dxa"/>
                  <w:noWrap w:val="0"/>
                  <w:vAlign w:val="center"/>
                </w:tcPr>
                <w:p w14:paraId="04B8EA00">
                  <w:pPr>
                    <w:pStyle w:val="31"/>
                    <w:bidi w:val="0"/>
                    <w:rPr>
                      <w:rFonts w:hint="default" w:ascii="Times New Roman" w:hAnsi="Times New Roman" w:cs="Times New Roman"/>
                      <w:color w:val="000000"/>
                      <w:highlight w:val="none"/>
                      <w:lang w:val="en-US" w:eastAsia="zh-CN"/>
                    </w:rPr>
                  </w:pPr>
                </w:p>
              </w:tc>
              <w:tc>
                <w:tcPr>
                  <w:tcW w:w="1579" w:type="pct"/>
                  <w:noWrap w:val="0"/>
                  <w:vAlign w:val="center"/>
                </w:tcPr>
                <w:p w14:paraId="149FF249">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潮流</w:t>
                  </w:r>
                </w:p>
              </w:tc>
            </w:tr>
            <w:tr w14:paraId="1EAA21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9" w:type="pct"/>
                  <w:noWrap w:val="0"/>
                  <w:vAlign w:val="center"/>
                </w:tcPr>
                <w:p w14:paraId="7E6E9404">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C3</w:t>
                  </w:r>
                </w:p>
              </w:tc>
              <w:tc>
                <w:tcPr>
                  <w:tcW w:w="2444" w:type="dxa"/>
                  <w:noWrap w:val="0"/>
                  <w:vAlign w:val="center"/>
                </w:tcPr>
                <w:p w14:paraId="17D268A3">
                  <w:pPr>
                    <w:pStyle w:val="31"/>
                    <w:bidi w:val="0"/>
                    <w:rPr>
                      <w:rFonts w:hint="default" w:ascii="Times New Roman" w:hAnsi="Times New Roman" w:cs="Times New Roman"/>
                      <w:color w:val="000000"/>
                      <w:highlight w:val="none"/>
                      <w:lang w:val="en-US" w:eastAsia="zh-CN"/>
                    </w:rPr>
                  </w:pPr>
                </w:p>
              </w:tc>
              <w:tc>
                <w:tcPr>
                  <w:tcW w:w="2267" w:type="dxa"/>
                  <w:noWrap w:val="0"/>
                  <w:vAlign w:val="center"/>
                </w:tcPr>
                <w:p w14:paraId="52CCA508">
                  <w:pPr>
                    <w:pStyle w:val="31"/>
                    <w:bidi w:val="0"/>
                    <w:rPr>
                      <w:rFonts w:hint="default" w:ascii="Times New Roman" w:hAnsi="Times New Roman" w:cs="Times New Roman"/>
                      <w:color w:val="000000"/>
                      <w:highlight w:val="none"/>
                      <w:lang w:val="en-US" w:eastAsia="zh-CN"/>
                    </w:rPr>
                  </w:pPr>
                </w:p>
              </w:tc>
              <w:tc>
                <w:tcPr>
                  <w:tcW w:w="1579" w:type="pct"/>
                  <w:noWrap w:val="0"/>
                  <w:vAlign w:val="center"/>
                </w:tcPr>
                <w:p w14:paraId="40FB90DB">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潮流</w:t>
                  </w:r>
                </w:p>
              </w:tc>
            </w:tr>
            <w:tr w14:paraId="7E11C6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9" w:type="pct"/>
                  <w:noWrap w:val="0"/>
                  <w:vAlign w:val="center"/>
                </w:tcPr>
                <w:p w14:paraId="219954AE">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C4</w:t>
                  </w:r>
                </w:p>
              </w:tc>
              <w:tc>
                <w:tcPr>
                  <w:tcW w:w="2444" w:type="dxa"/>
                  <w:noWrap w:val="0"/>
                  <w:vAlign w:val="center"/>
                </w:tcPr>
                <w:p w14:paraId="6F63B145">
                  <w:pPr>
                    <w:pStyle w:val="31"/>
                    <w:bidi w:val="0"/>
                    <w:rPr>
                      <w:rFonts w:hint="default" w:ascii="Times New Roman" w:hAnsi="Times New Roman" w:cs="Times New Roman"/>
                      <w:color w:val="000000"/>
                      <w:highlight w:val="none"/>
                      <w:lang w:val="en-US" w:eastAsia="zh-CN"/>
                    </w:rPr>
                  </w:pPr>
                </w:p>
              </w:tc>
              <w:tc>
                <w:tcPr>
                  <w:tcW w:w="2267" w:type="dxa"/>
                  <w:noWrap w:val="0"/>
                  <w:vAlign w:val="center"/>
                </w:tcPr>
                <w:p w14:paraId="582CAAD3">
                  <w:pPr>
                    <w:pStyle w:val="31"/>
                    <w:bidi w:val="0"/>
                    <w:rPr>
                      <w:rFonts w:hint="default" w:ascii="Times New Roman" w:hAnsi="Times New Roman" w:cs="Times New Roman"/>
                      <w:color w:val="000000"/>
                      <w:highlight w:val="none"/>
                      <w:lang w:val="en-US" w:eastAsia="zh-CN"/>
                    </w:rPr>
                  </w:pPr>
                </w:p>
              </w:tc>
              <w:tc>
                <w:tcPr>
                  <w:tcW w:w="1579" w:type="pct"/>
                  <w:noWrap w:val="0"/>
                  <w:vAlign w:val="center"/>
                </w:tcPr>
                <w:p w14:paraId="4DE90047">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潮流</w:t>
                  </w:r>
                </w:p>
              </w:tc>
            </w:tr>
            <w:tr w14:paraId="22703A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9" w:type="pct"/>
                  <w:noWrap w:val="0"/>
                  <w:vAlign w:val="center"/>
                </w:tcPr>
                <w:p w14:paraId="5CA47502">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C5</w:t>
                  </w:r>
                </w:p>
              </w:tc>
              <w:tc>
                <w:tcPr>
                  <w:tcW w:w="2444" w:type="dxa"/>
                  <w:noWrap w:val="0"/>
                  <w:vAlign w:val="center"/>
                </w:tcPr>
                <w:p w14:paraId="04AF9540">
                  <w:pPr>
                    <w:pStyle w:val="31"/>
                    <w:bidi w:val="0"/>
                    <w:rPr>
                      <w:rFonts w:hint="default" w:ascii="Times New Roman" w:hAnsi="Times New Roman" w:cs="Times New Roman"/>
                      <w:color w:val="000000"/>
                      <w:highlight w:val="none"/>
                      <w:lang w:val="en-US" w:eastAsia="zh-CN"/>
                    </w:rPr>
                  </w:pPr>
                </w:p>
              </w:tc>
              <w:tc>
                <w:tcPr>
                  <w:tcW w:w="2267" w:type="dxa"/>
                  <w:noWrap w:val="0"/>
                  <w:vAlign w:val="center"/>
                </w:tcPr>
                <w:p w14:paraId="0422B00F">
                  <w:pPr>
                    <w:pStyle w:val="31"/>
                    <w:bidi w:val="0"/>
                    <w:rPr>
                      <w:rFonts w:hint="default" w:ascii="Times New Roman" w:hAnsi="Times New Roman" w:cs="Times New Roman"/>
                      <w:color w:val="000000"/>
                      <w:highlight w:val="none"/>
                      <w:lang w:val="en-US" w:eastAsia="zh-CN"/>
                    </w:rPr>
                  </w:pPr>
                </w:p>
              </w:tc>
              <w:tc>
                <w:tcPr>
                  <w:tcW w:w="1579" w:type="pct"/>
                  <w:noWrap w:val="0"/>
                  <w:vAlign w:val="center"/>
                </w:tcPr>
                <w:p w14:paraId="318848B5">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潮流</w:t>
                  </w:r>
                </w:p>
              </w:tc>
            </w:tr>
            <w:tr w14:paraId="2CF3CE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9" w:type="pct"/>
                  <w:noWrap w:val="0"/>
                  <w:vAlign w:val="center"/>
                </w:tcPr>
                <w:p w14:paraId="4D2CF333">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C6</w:t>
                  </w:r>
                </w:p>
              </w:tc>
              <w:tc>
                <w:tcPr>
                  <w:tcW w:w="2444" w:type="dxa"/>
                  <w:noWrap w:val="0"/>
                  <w:vAlign w:val="center"/>
                </w:tcPr>
                <w:p w14:paraId="1285541D">
                  <w:pPr>
                    <w:pStyle w:val="31"/>
                    <w:bidi w:val="0"/>
                    <w:rPr>
                      <w:rFonts w:hint="default" w:ascii="Times New Roman" w:hAnsi="Times New Roman" w:cs="Times New Roman"/>
                      <w:color w:val="000000"/>
                      <w:highlight w:val="none"/>
                      <w:lang w:val="en-US" w:eastAsia="zh-CN"/>
                    </w:rPr>
                  </w:pPr>
                </w:p>
              </w:tc>
              <w:tc>
                <w:tcPr>
                  <w:tcW w:w="2267" w:type="dxa"/>
                  <w:noWrap w:val="0"/>
                  <w:vAlign w:val="center"/>
                </w:tcPr>
                <w:p w14:paraId="5C32BEA3">
                  <w:pPr>
                    <w:pStyle w:val="31"/>
                    <w:bidi w:val="0"/>
                    <w:rPr>
                      <w:rFonts w:hint="default" w:ascii="Times New Roman" w:hAnsi="Times New Roman" w:cs="Times New Roman"/>
                      <w:color w:val="000000"/>
                      <w:highlight w:val="none"/>
                      <w:lang w:val="en-US" w:eastAsia="zh-CN"/>
                    </w:rPr>
                  </w:pPr>
                </w:p>
              </w:tc>
              <w:tc>
                <w:tcPr>
                  <w:tcW w:w="1579" w:type="pct"/>
                  <w:noWrap w:val="0"/>
                  <w:vAlign w:val="center"/>
                </w:tcPr>
                <w:p w14:paraId="790935A1">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潮流</w:t>
                  </w:r>
                </w:p>
              </w:tc>
            </w:tr>
            <w:tr w14:paraId="6B9302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9" w:type="pct"/>
                  <w:noWrap w:val="0"/>
                  <w:vAlign w:val="center"/>
                </w:tcPr>
                <w:p w14:paraId="2E3EF658">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T1</w:t>
                  </w:r>
                </w:p>
              </w:tc>
              <w:tc>
                <w:tcPr>
                  <w:tcW w:w="2444" w:type="dxa"/>
                  <w:noWrap w:val="0"/>
                  <w:vAlign w:val="center"/>
                </w:tcPr>
                <w:p w14:paraId="64EBE18E">
                  <w:pPr>
                    <w:pStyle w:val="31"/>
                    <w:bidi w:val="0"/>
                    <w:rPr>
                      <w:rFonts w:hint="default" w:ascii="Times New Roman" w:hAnsi="Times New Roman" w:cs="Times New Roman"/>
                      <w:color w:val="000000"/>
                      <w:highlight w:val="none"/>
                      <w:lang w:val="en-US" w:eastAsia="zh-CN"/>
                    </w:rPr>
                  </w:pPr>
                </w:p>
              </w:tc>
              <w:tc>
                <w:tcPr>
                  <w:tcW w:w="2267" w:type="dxa"/>
                  <w:noWrap w:val="0"/>
                  <w:vAlign w:val="center"/>
                </w:tcPr>
                <w:p w14:paraId="01A353A2">
                  <w:pPr>
                    <w:pStyle w:val="31"/>
                    <w:bidi w:val="0"/>
                    <w:rPr>
                      <w:rFonts w:hint="default" w:ascii="Times New Roman" w:hAnsi="Times New Roman" w:cs="Times New Roman"/>
                      <w:color w:val="000000"/>
                      <w:highlight w:val="none"/>
                      <w:lang w:val="en-US" w:eastAsia="zh-CN"/>
                    </w:rPr>
                  </w:pPr>
                </w:p>
              </w:tc>
              <w:tc>
                <w:tcPr>
                  <w:tcW w:w="1579" w:type="pct"/>
                  <w:noWrap w:val="0"/>
                  <w:vAlign w:val="center"/>
                </w:tcPr>
                <w:p w14:paraId="7D9F1BE5">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潮位</w:t>
                  </w:r>
                </w:p>
              </w:tc>
            </w:tr>
            <w:tr w14:paraId="7D5606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9" w:type="pct"/>
                  <w:noWrap w:val="0"/>
                  <w:vAlign w:val="center"/>
                </w:tcPr>
                <w:p w14:paraId="487DA96F">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T2</w:t>
                  </w:r>
                </w:p>
              </w:tc>
              <w:tc>
                <w:tcPr>
                  <w:tcW w:w="2444" w:type="dxa"/>
                  <w:noWrap w:val="0"/>
                  <w:vAlign w:val="center"/>
                </w:tcPr>
                <w:p w14:paraId="67F30BA5">
                  <w:pPr>
                    <w:pStyle w:val="31"/>
                    <w:bidi w:val="0"/>
                    <w:rPr>
                      <w:rFonts w:hint="default" w:ascii="Times New Roman" w:hAnsi="Times New Roman" w:cs="Times New Roman"/>
                      <w:color w:val="000000"/>
                      <w:highlight w:val="none"/>
                      <w:lang w:val="en-US" w:eastAsia="zh-CN"/>
                    </w:rPr>
                  </w:pPr>
                </w:p>
              </w:tc>
              <w:tc>
                <w:tcPr>
                  <w:tcW w:w="2267" w:type="dxa"/>
                  <w:noWrap w:val="0"/>
                  <w:vAlign w:val="center"/>
                </w:tcPr>
                <w:p w14:paraId="0690FBD5">
                  <w:pPr>
                    <w:pStyle w:val="31"/>
                    <w:bidi w:val="0"/>
                    <w:rPr>
                      <w:rFonts w:hint="default" w:ascii="Times New Roman" w:hAnsi="Times New Roman" w:cs="Times New Roman"/>
                      <w:color w:val="000000"/>
                      <w:highlight w:val="none"/>
                      <w:lang w:val="en-US" w:eastAsia="zh-CN"/>
                    </w:rPr>
                  </w:pPr>
                </w:p>
              </w:tc>
              <w:tc>
                <w:tcPr>
                  <w:tcW w:w="1579" w:type="pct"/>
                  <w:noWrap w:val="0"/>
                  <w:vAlign w:val="center"/>
                </w:tcPr>
                <w:p w14:paraId="04FFE0AB">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潮位</w:t>
                  </w:r>
                </w:p>
              </w:tc>
            </w:tr>
          </w:tbl>
          <w:p w14:paraId="7C2FEE28">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b w:val="0"/>
                <w:bCs w:val="0"/>
                <w:color w:val="000000"/>
                <w:highlight w:val="none"/>
              </w:rPr>
            </w:pPr>
            <w:r>
              <w:rPr>
                <w:rFonts w:hint="default" w:ascii="Times New Roman" w:hAnsi="Times New Roman" w:eastAsia="宋体" w:cs="Times New Roman"/>
                <w:b w:val="0"/>
                <w:bCs w:val="0"/>
                <w:color w:val="000000"/>
                <w:highlight w:val="none"/>
              </w:rPr>
              <w:fldChar w:fldCharType="begin"/>
            </w:r>
            <w:r>
              <w:rPr>
                <w:rFonts w:hint="default" w:ascii="Times New Roman" w:hAnsi="Times New Roman" w:eastAsia="宋体" w:cs="Times New Roman"/>
                <w:b w:val="0"/>
                <w:bCs w:val="0"/>
                <w:color w:val="000000"/>
                <w:highlight w:val="none"/>
              </w:rPr>
              <w:instrText xml:space="preserve"> REF _Ref12665 \h </w:instrText>
            </w:r>
            <w:r>
              <w:rPr>
                <w:rFonts w:hint="default" w:ascii="Times New Roman" w:hAnsi="Times New Roman" w:eastAsia="宋体" w:cs="Times New Roman"/>
                <w:b w:val="0"/>
                <w:bCs w:val="0"/>
                <w:color w:val="000000"/>
                <w:highlight w:val="none"/>
              </w:rPr>
              <w:fldChar w:fldCharType="separate"/>
            </w:r>
            <w:r>
              <w:rPr>
                <w:rFonts w:hint="default" w:ascii="Times New Roman" w:hAnsi="Times New Roman" w:eastAsia="宋体" w:cs="Times New Roman"/>
                <w:b w:val="0"/>
                <w:bCs w:val="0"/>
                <w:color w:val="000000"/>
                <w:kern w:val="2"/>
                <w:sz w:val="24"/>
                <w:szCs w:val="28"/>
                <w:highlight w:val="none"/>
                <w:lang w:val="en-US" w:eastAsia="zh-CN" w:bidi="ar-SA"/>
              </w:rPr>
              <w:t>图</w:t>
            </w:r>
            <w:r>
              <w:rPr>
                <w:rFonts w:hint="default" w:ascii="Times New Roman" w:hAnsi="Times New Roman" w:eastAsia="宋体" w:cs="Times New Roman"/>
                <w:b w:val="0"/>
                <w:bCs w:val="0"/>
                <w:color w:val="000000"/>
                <w:kern w:val="2"/>
                <w:sz w:val="24"/>
                <w:szCs w:val="28"/>
                <w:highlight w:val="none"/>
                <w:lang w:val="en-US" w:eastAsia="zh-CN" w:bidi="ar-SA"/>
              </w:rPr>
              <w:fldChar w:fldCharType="begin"/>
            </w:r>
            <w:r>
              <w:rPr>
                <w:rFonts w:hint="default" w:ascii="Times New Roman" w:hAnsi="Times New Roman" w:eastAsia="宋体" w:cs="Times New Roman"/>
                <w:b w:val="0"/>
                <w:bCs w:val="0"/>
                <w:color w:val="000000"/>
                <w:kern w:val="2"/>
                <w:sz w:val="24"/>
                <w:szCs w:val="28"/>
                <w:highlight w:val="none"/>
                <w:lang w:val="en-US" w:eastAsia="zh-CN" w:bidi="ar-SA"/>
              </w:rPr>
              <w:instrText xml:space="preserve"> STYLEREF 2 \s </w:instrText>
            </w:r>
            <w:r>
              <w:rPr>
                <w:rFonts w:hint="default" w:ascii="Times New Roman" w:hAnsi="Times New Roman" w:eastAsia="宋体" w:cs="Times New Roman"/>
                <w:b w:val="0"/>
                <w:bCs w:val="0"/>
                <w:color w:val="000000"/>
                <w:kern w:val="2"/>
                <w:sz w:val="24"/>
                <w:szCs w:val="28"/>
                <w:highlight w:val="none"/>
                <w:lang w:val="en-US" w:eastAsia="zh-CN" w:bidi="ar-SA"/>
              </w:rPr>
              <w:fldChar w:fldCharType="separate"/>
            </w:r>
            <w:r>
              <w:rPr>
                <w:rFonts w:hint="default" w:ascii="Times New Roman" w:hAnsi="Times New Roman" w:eastAsia="宋体" w:cs="Times New Roman"/>
                <w:b w:val="0"/>
                <w:bCs w:val="0"/>
                <w:color w:val="000000"/>
                <w:kern w:val="2"/>
                <w:sz w:val="24"/>
                <w:szCs w:val="28"/>
                <w:highlight w:val="none"/>
                <w:lang w:val="en-US" w:eastAsia="zh-CN" w:bidi="ar-SA"/>
              </w:rPr>
              <w:t>4.3</w:t>
            </w:r>
            <w:r>
              <w:rPr>
                <w:rFonts w:hint="default" w:ascii="Times New Roman" w:hAnsi="Times New Roman" w:eastAsia="宋体" w:cs="Times New Roman"/>
                <w:b w:val="0"/>
                <w:bCs w:val="0"/>
                <w:color w:val="000000"/>
                <w:kern w:val="2"/>
                <w:sz w:val="24"/>
                <w:szCs w:val="28"/>
                <w:highlight w:val="none"/>
                <w:lang w:val="en-US" w:eastAsia="zh-CN" w:bidi="ar-SA"/>
              </w:rPr>
              <w:fldChar w:fldCharType="end"/>
            </w:r>
            <w:r>
              <w:rPr>
                <w:rFonts w:hint="default" w:ascii="Times New Roman" w:hAnsi="Times New Roman" w:eastAsia="宋体" w:cs="Times New Roman"/>
                <w:b w:val="0"/>
                <w:bCs w:val="0"/>
                <w:color w:val="000000"/>
                <w:kern w:val="2"/>
                <w:sz w:val="24"/>
                <w:szCs w:val="28"/>
                <w:highlight w:val="none"/>
                <w:lang w:val="en-US" w:eastAsia="zh-CN" w:bidi="ar-SA"/>
              </w:rPr>
              <w:t>-4</w:t>
            </w:r>
            <w:r>
              <w:rPr>
                <w:rFonts w:hint="default" w:ascii="Times New Roman" w:hAnsi="Times New Roman" w:eastAsia="宋体" w:cs="Times New Roman"/>
                <w:b w:val="0"/>
                <w:bCs w:val="0"/>
                <w:color w:val="000000"/>
                <w:highlight w:val="none"/>
              </w:rPr>
              <w:fldChar w:fldCharType="end"/>
            </w:r>
            <w:r>
              <w:rPr>
                <w:rFonts w:hint="default" w:ascii="Times New Roman" w:hAnsi="Times New Roman" w:eastAsia="宋体" w:cs="Times New Roman"/>
                <w:b w:val="0"/>
                <w:bCs w:val="0"/>
                <w:color w:val="000000"/>
                <w:highlight w:val="none"/>
                <w:lang w:eastAsia="zh-CN"/>
              </w:rPr>
              <w:t>、</w:t>
            </w:r>
            <w:r>
              <w:rPr>
                <w:rFonts w:hint="default" w:ascii="Times New Roman" w:hAnsi="Times New Roman" w:eastAsia="宋体" w:cs="Times New Roman"/>
                <w:b w:val="0"/>
                <w:bCs w:val="0"/>
                <w:color w:val="000000"/>
                <w:highlight w:val="none"/>
                <w:lang w:eastAsia="zh-CN"/>
              </w:rPr>
              <w:fldChar w:fldCharType="begin"/>
            </w:r>
            <w:r>
              <w:rPr>
                <w:rFonts w:hint="default" w:ascii="Times New Roman" w:hAnsi="Times New Roman" w:eastAsia="宋体" w:cs="Times New Roman"/>
                <w:b w:val="0"/>
                <w:bCs w:val="0"/>
                <w:color w:val="000000"/>
                <w:highlight w:val="none"/>
                <w:lang w:eastAsia="zh-CN"/>
              </w:rPr>
              <w:instrText xml:space="preserve"> REF _Ref12668 \h </w:instrText>
            </w:r>
            <w:r>
              <w:rPr>
                <w:rFonts w:hint="default" w:ascii="Times New Roman" w:hAnsi="Times New Roman" w:eastAsia="宋体" w:cs="Times New Roman"/>
                <w:b w:val="0"/>
                <w:bCs w:val="0"/>
                <w:color w:val="000000"/>
                <w:highlight w:val="none"/>
                <w:lang w:eastAsia="zh-CN"/>
              </w:rPr>
              <w:fldChar w:fldCharType="separate"/>
            </w:r>
            <w:r>
              <w:rPr>
                <w:rFonts w:hint="default" w:ascii="Times New Roman" w:hAnsi="Times New Roman" w:eastAsia="宋体" w:cs="Times New Roman"/>
                <w:b w:val="0"/>
                <w:bCs w:val="0"/>
                <w:color w:val="000000"/>
                <w:kern w:val="2"/>
                <w:sz w:val="24"/>
                <w:szCs w:val="28"/>
                <w:highlight w:val="none"/>
                <w:lang w:val="en-US" w:eastAsia="zh-CN" w:bidi="ar-SA"/>
              </w:rPr>
              <w:t>图</w:t>
            </w:r>
            <w:r>
              <w:rPr>
                <w:rFonts w:hint="default" w:ascii="Times New Roman" w:hAnsi="Times New Roman" w:eastAsia="宋体" w:cs="Times New Roman"/>
                <w:b w:val="0"/>
                <w:bCs w:val="0"/>
                <w:color w:val="000000"/>
                <w:kern w:val="2"/>
                <w:sz w:val="24"/>
                <w:szCs w:val="28"/>
                <w:highlight w:val="none"/>
                <w:lang w:val="en-US" w:eastAsia="zh-CN" w:bidi="ar-SA"/>
              </w:rPr>
              <w:fldChar w:fldCharType="begin"/>
            </w:r>
            <w:r>
              <w:rPr>
                <w:rFonts w:hint="default" w:ascii="Times New Roman" w:hAnsi="Times New Roman" w:eastAsia="宋体" w:cs="Times New Roman"/>
                <w:b w:val="0"/>
                <w:bCs w:val="0"/>
                <w:color w:val="000000"/>
                <w:kern w:val="2"/>
                <w:sz w:val="24"/>
                <w:szCs w:val="28"/>
                <w:highlight w:val="none"/>
                <w:lang w:val="en-US" w:eastAsia="zh-CN" w:bidi="ar-SA"/>
              </w:rPr>
              <w:instrText xml:space="preserve"> STYLEREF 2 \s </w:instrText>
            </w:r>
            <w:r>
              <w:rPr>
                <w:rFonts w:hint="default" w:ascii="Times New Roman" w:hAnsi="Times New Roman" w:eastAsia="宋体" w:cs="Times New Roman"/>
                <w:b w:val="0"/>
                <w:bCs w:val="0"/>
                <w:color w:val="000000"/>
                <w:kern w:val="2"/>
                <w:sz w:val="24"/>
                <w:szCs w:val="28"/>
                <w:highlight w:val="none"/>
                <w:lang w:val="en-US" w:eastAsia="zh-CN" w:bidi="ar-SA"/>
              </w:rPr>
              <w:fldChar w:fldCharType="separate"/>
            </w:r>
            <w:r>
              <w:rPr>
                <w:rFonts w:hint="default" w:ascii="Times New Roman" w:hAnsi="Times New Roman" w:eastAsia="宋体" w:cs="Times New Roman"/>
                <w:b w:val="0"/>
                <w:bCs w:val="0"/>
                <w:color w:val="000000"/>
                <w:kern w:val="2"/>
                <w:sz w:val="24"/>
                <w:szCs w:val="28"/>
                <w:highlight w:val="none"/>
                <w:lang w:val="en-US" w:eastAsia="zh-CN" w:bidi="ar-SA"/>
              </w:rPr>
              <w:t>4.3</w:t>
            </w:r>
            <w:r>
              <w:rPr>
                <w:rFonts w:hint="default" w:ascii="Times New Roman" w:hAnsi="Times New Roman" w:eastAsia="宋体" w:cs="Times New Roman"/>
                <w:b w:val="0"/>
                <w:bCs w:val="0"/>
                <w:color w:val="000000"/>
                <w:kern w:val="2"/>
                <w:sz w:val="24"/>
                <w:szCs w:val="28"/>
                <w:highlight w:val="none"/>
                <w:lang w:val="en-US" w:eastAsia="zh-CN" w:bidi="ar-SA"/>
              </w:rPr>
              <w:fldChar w:fldCharType="end"/>
            </w:r>
            <w:r>
              <w:rPr>
                <w:rFonts w:hint="default" w:ascii="Times New Roman" w:hAnsi="Times New Roman" w:eastAsia="宋体" w:cs="Times New Roman"/>
                <w:b w:val="0"/>
                <w:bCs w:val="0"/>
                <w:color w:val="000000"/>
                <w:kern w:val="2"/>
                <w:sz w:val="24"/>
                <w:szCs w:val="28"/>
                <w:highlight w:val="none"/>
                <w:lang w:val="en-US" w:eastAsia="zh-CN" w:bidi="ar-SA"/>
              </w:rPr>
              <w:t>-5</w:t>
            </w:r>
            <w:r>
              <w:rPr>
                <w:rFonts w:hint="default" w:ascii="Times New Roman" w:hAnsi="Times New Roman" w:eastAsia="宋体" w:cs="Times New Roman"/>
                <w:b w:val="0"/>
                <w:bCs w:val="0"/>
                <w:color w:val="000000"/>
                <w:highlight w:val="none"/>
                <w:lang w:eastAsia="zh-CN"/>
              </w:rPr>
              <w:fldChar w:fldCharType="end"/>
            </w:r>
            <w:r>
              <w:rPr>
                <w:rFonts w:hint="default" w:ascii="Times New Roman" w:hAnsi="Times New Roman" w:eastAsia="宋体" w:cs="Times New Roman"/>
                <w:b w:val="0"/>
                <w:bCs w:val="0"/>
                <w:color w:val="000000"/>
                <w:highlight w:val="none"/>
              </w:rPr>
              <w:t>为潮位的模拟值和实测值的对比，</w:t>
            </w:r>
            <w:r>
              <w:rPr>
                <w:rFonts w:hint="default" w:ascii="Times New Roman" w:hAnsi="Times New Roman" w:eastAsia="宋体" w:cs="Times New Roman"/>
                <w:b w:val="0"/>
                <w:bCs w:val="0"/>
                <w:color w:val="000000"/>
                <w:highlight w:val="none"/>
                <w:lang w:eastAsia="zh-CN"/>
              </w:rPr>
              <w:fldChar w:fldCharType="begin"/>
            </w:r>
            <w:r>
              <w:rPr>
                <w:rFonts w:hint="default" w:ascii="Times New Roman" w:hAnsi="Times New Roman" w:eastAsia="宋体" w:cs="Times New Roman"/>
                <w:b w:val="0"/>
                <w:bCs w:val="0"/>
                <w:color w:val="000000"/>
                <w:highlight w:val="none"/>
                <w:lang w:eastAsia="zh-CN"/>
              </w:rPr>
              <w:instrText xml:space="preserve"> REF _Ref12674 \h </w:instrText>
            </w:r>
            <w:r>
              <w:rPr>
                <w:rFonts w:hint="default" w:ascii="Times New Roman" w:hAnsi="Times New Roman" w:eastAsia="宋体" w:cs="Times New Roman"/>
                <w:b w:val="0"/>
                <w:bCs w:val="0"/>
                <w:color w:val="000000"/>
                <w:highlight w:val="none"/>
                <w:lang w:eastAsia="zh-CN"/>
              </w:rPr>
              <w:fldChar w:fldCharType="separate"/>
            </w:r>
            <w:r>
              <w:rPr>
                <w:rFonts w:hint="default" w:ascii="Times New Roman" w:hAnsi="Times New Roman" w:eastAsia="宋体" w:cs="Times New Roman"/>
                <w:b w:val="0"/>
                <w:bCs w:val="0"/>
                <w:color w:val="000000"/>
                <w:kern w:val="2"/>
                <w:sz w:val="24"/>
                <w:szCs w:val="28"/>
                <w:highlight w:val="none"/>
                <w:lang w:val="en-US" w:eastAsia="zh-CN" w:bidi="ar-SA"/>
              </w:rPr>
              <w:t>图</w:t>
            </w:r>
            <w:r>
              <w:rPr>
                <w:rFonts w:hint="default" w:ascii="Times New Roman" w:hAnsi="Times New Roman" w:eastAsia="宋体" w:cs="Times New Roman"/>
                <w:b w:val="0"/>
                <w:bCs w:val="0"/>
                <w:color w:val="000000"/>
                <w:kern w:val="2"/>
                <w:sz w:val="24"/>
                <w:szCs w:val="28"/>
                <w:highlight w:val="none"/>
                <w:lang w:val="en-US" w:eastAsia="zh-CN" w:bidi="ar-SA"/>
              </w:rPr>
              <w:fldChar w:fldCharType="begin"/>
            </w:r>
            <w:r>
              <w:rPr>
                <w:rFonts w:hint="default" w:ascii="Times New Roman" w:hAnsi="Times New Roman" w:eastAsia="宋体" w:cs="Times New Roman"/>
                <w:b w:val="0"/>
                <w:bCs w:val="0"/>
                <w:color w:val="000000"/>
                <w:kern w:val="2"/>
                <w:sz w:val="24"/>
                <w:szCs w:val="28"/>
                <w:highlight w:val="none"/>
                <w:lang w:val="en-US" w:eastAsia="zh-CN" w:bidi="ar-SA"/>
              </w:rPr>
              <w:instrText xml:space="preserve"> STYLEREF 2 \s </w:instrText>
            </w:r>
            <w:r>
              <w:rPr>
                <w:rFonts w:hint="default" w:ascii="Times New Roman" w:hAnsi="Times New Roman" w:eastAsia="宋体" w:cs="Times New Roman"/>
                <w:b w:val="0"/>
                <w:bCs w:val="0"/>
                <w:color w:val="000000"/>
                <w:kern w:val="2"/>
                <w:sz w:val="24"/>
                <w:szCs w:val="28"/>
                <w:highlight w:val="none"/>
                <w:lang w:val="en-US" w:eastAsia="zh-CN" w:bidi="ar-SA"/>
              </w:rPr>
              <w:fldChar w:fldCharType="separate"/>
            </w:r>
            <w:r>
              <w:rPr>
                <w:rFonts w:hint="default" w:ascii="Times New Roman" w:hAnsi="Times New Roman" w:eastAsia="宋体" w:cs="Times New Roman"/>
                <w:b w:val="0"/>
                <w:bCs w:val="0"/>
                <w:color w:val="000000"/>
                <w:kern w:val="2"/>
                <w:sz w:val="24"/>
                <w:szCs w:val="28"/>
                <w:highlight w:val="none"/>
                <w:lang w:val="en-US" w:eastAsia="zh-CN" w:bidi="ar-SA"/>
              </w:rPr>
              <w:t>4.3</w:t>
            </w:r>
            <w:r>
              <w:rPr>
                <w:rFonts w:hint="default" w:ascii="Times New Roman" w:hAnsi="Times New Roman" w:eastAsia="宋体" w:cs="Times New Roman"/>
                <w:b w:val="0"/>
                <w:bCs w:val="0"/>
                <w:color w:val="000000"/>
                <w:kern w:val="2"/>
                <w:sz w:val="24"/>
                <w:szCs w:val="28"/>
                <w:highlight w:val="none"/>
                <w:lang w:val="en-US" w:eastAsia="zh-CN" w:bidi="ar-SA"/>
              </w:rPr>
              <w:fldChar w:fldCharType="end"/>
            </w:r>
            <w:r>
              <w:rPr>
                <w:rFonts w:hint="default" w:ascii="Times New Roman" w:hAnsi="Times New Roman" w:eastAsia="宋体" w:cs="Times New Roman"/>
                <w:b w:val="0"/>
                <w:bCs w:val="0"/>
                <w:color w:val="000000"/>
                <w:kern w:val="2"/>
                <w:sz w:val="24"/>
                <w:szCs w:val="28"/>
                <w:highlight w:val="none"/>
                <w:lang w:val="en-US" w:eastAsia="zh-CN" w:bidi="ar-SA"/>
              </w:rPr>
              <w:t>-6</w:t>
            </w:r>
            <w:r>
              <w:rPr>
                <w:rFonts w:hint="default" w:ascii="Times New Roman" w:hAnsi="Times New Roman" w:eastAsia="宋体" w:cs="Times New Roman"/>
                <w:b w:val="0"/>
                <w:bCs w:val="0"/>
                <w:color w:val="000000"/>
                <w:highlight w:val="none"/>
                <w:lang w:eastAsia="zh-CN"/>
              </w:rPr>
              <w:fldChar w:fldCharType="end"/>
            </w:r>
            <w:r>
              <w:rPr>
                <w:rFonts w:hint="default" w:ascii="Times New Roman" w:hAnsi="Times New Roman" w:eastAsia="宋体" w:cs="Times New Roman"/>
                <w:b w:val="0"/>
                <w:bCs w:val="0"/>
                <w:color w:val="000000"/>
                <w:highlight w:val="none"/>
              </w:rPr>
              <w:t>为流速和流向的模拟值和实测值的对比。从图中可以发现各测站潮位、流速和流向的模拟过程线与实测值吻合较好，涨、落潮的峰值亦基本吻合，能够有效反映工程海域的水动力状况</w:t>
            </w:r>
            <w:r>
              <w:rPr>
                <w:rFonts w:hint="eastAsia" w:cs="Times New Roman"/>
                <w:b w:val="0"/>
                <w:bCs w:val="0"/>
                <w:color w:val="000000"/>
                <w:highlight w:val="none"/>
                <w:lang w:eastAsia="zh-CN"/>
              </w:rPr>
              <w:t>且</w:t>
            </w:r>
            <w:r>
              <w:rPr>
                <w:rFonts w:hint="default" w:ascii="Times New Roman" w:hAnsi="Times New Roman" w:eastAsia="宋体" w:cs="Times New Roman"/>
                <w:b w:val="0"/>
                <w:bCs w:val="0"/>
                <w:color w:val="000000"/>
                <w:highlight w:val="none"/>
              </w:rPr>
              <w:t>满足《水运工程模拟试验技术规范》（JTS/T 231-2021）有关规定的要求和工程需要，可以作为进一步分析研究该海域相关工程问题的基础性资料。</w:t>
            </w:r>
          </w:p>
          <w:p w14:paraId="29035665">
            <w:pPr>
              <w:widowControl w:val="0"/>
              <w:bidi w:val="0"/>
              <w:adjustRightInd w:val="0"/>
              <w:snapToGrid w:val="0"/>
              <w:spacing w:line="240" w:lineRule="auto"/>
              <w:ind w:firstLine="0" w:firstLineChars="0"/>
              <w:jc w:val="center"/>
              <w:rPr>
                <w:rFonts w:hint="default" w:ascii="Times New Roman" w:hAnsi="Times New Roman" w:eastAsia="宋体" w:cs="Times New Roman"/>
                <w:color w:val="000000"/>
                <w:kern w:val="2"/>
                <w:sz w:val="21"/>
                <w:szCs w:val="28"/>
                <w:highlight w:val="none"/>
                <w:lang w:val="en-US" w:eastAsia="zh-CN" w:bidi="ar-SA"/>
              </w:rPr>
            </w:pPr>
            <w:r>
              <w:rPr>
                <w:rFonts w:hint="eastAsia" w:cs="Times New Roman"/>
                <w:color w:val="000000"/>
                <w:kern w:val="2"/>
                <w:sz w:val="21"/>
                <w:szCs w:val="28"/>
                <w:highlight w:val="none"/>
                <w:lang w:val="en-US" w:eastAsia="zh-CN" w:bidi="ar-SA"/>
              </w:rPr>
              <w:t>（涉密删除）</w:t>
            </w:r>
          </w:p>
          <w:p w14:paraId="7E3514E3">
            <w:pPr>
              <w:widowControl w:val="0"/>
              <w:bidi w:val="0"/>
              <w:adjustRightInd w:val="0"/>
              <w:snapToGrid w:val="0"/>
              <w:spacing w:line="240" w:lineRule="auto"/>
              <w:ind w:firstLine="0" w:firstLineChars="0"/>
              <w:jc w:val="center"/>
              <w:rPr>
                <w:rFonts w:hint="default" w:ascii="Times New Roman" w:hAnsi="Times New Roman" w:eastAsia="宋体" w:cs="Times New Roman"/>
                <w:b/>
                <w:color w:val="000000"/>
                <w:kern w:val="2"/>
                <w:sz w:val="24"/>
                <w:szCs w:val="28"/>
                <w:highlight w:val="none"/>
                <w:lang w:val="en-US" w:eastAsia="zh-CN" w:bidi="ar-SA"/>
              </w:rPr>
            </w:pPr>
            <w:bookmarkStart w:id="299" w:name="_Ref12609"/>
            <w:r>
              <w:rPr>
                <w:rFonts w:hint="default" w:ascii="Times New Roman" w:hAnsi="Times New Roman" w:eastAsia="宋体" w:cs="Times New Roman"/>
                <w:b/>
                <w:color w:val="000000"/>
                <w:kern w:val="2"/>
                <w:sz w:val="24"/>
                <w:szCs w:val="28"/>
                <w:highlight w:val="none"/>
                <w:lang w:val="en-US" w:eastAsia="zh-CN" w:bidi="ar-SA"/>
              </w:rPr>
              <w:t>图</w:t>
            </w:r>
            <w:r>
              <w:rPr>
                <w:rFonts w:hint="default" w:ascii="Times New Roman" w:hAnsi="Times New Roman" w:eastAsia="宋体" w:cs="Times New Roman"/>
                <w:b/>
                <w:color w:val="000000"/>
                <w:kern w:val="2"/>
                <w:sz w:val="24"/>
                <w:szCs w:val="28"/>
                <w:highlight w:val="none"/>
                <w:lang w:val="en-US" w:eastAsia="zh-CN" w:bidi="ar-SA"/>
              </w:rPr>
              <w:fldChar w:fldCharType="begin"/>
            </w:r>
            <w:r>
              <w:rPr>
                <w:rFonts w:hint="default" w:ascii="Times New Roman" w:hAnsi="Times New Roman" w:eastAsia="宋体" w:cs="Times New Roman"/>
                <w:b/>
                <w:color w:val="000000"/>
                <w:kern w:val="2"/>
                <w:sz w:val="24"/>
                <w:szCs w:val="28"/>
                <w:highlight w:val="none"/>
                <w:lang w:val="en-US" w:eastAsia="zh-CN" w:bidi="ar-SA"/>
              </w:rPr>
              <w:instrText xml:space="preserve"> STYLEREF 2 \s </w:instrText>
            </w:r>
            <w:r>
              <w:rPr>
                <w:rFonts w:hint="default" w:ascii="Times New Roman" w:hAnsi="Times New Roman" w:eastAsia="宋体" w:cs="Times New Roman"/>
                <w:b/>
                <w:color w:val="000000"/>
                <w:kern w:val="2"/>
                <w:sz w:val="24"/>
                <w:szCs w:val="28"/>
                <w:highlight w:val="none"/>
                <w:lang w:val="en-US" w:eastAsia="zh-CN" w:bidi="ar-SA"/>
              </w:rPr>
              <w:fldChar w:fldCharType="separate"/>
            </w:r>
            <w:r>
              <w:rPr>
                <w:rFonts w:hint="default" w:ascii="Times New Roman" w:hAnsi="Times New Roman" w:eastAsia="宋体" w:cs="Times New Roman"/>
                <w:b/>
                <w:color w:val="000000"/>
                <w:kern w:val="2"/>
                <w:sz w:val="24"/>
                <w:szCs w:val="28"/>
                <w:highlight w:val="none"/>
                <w:lang w:val="en-US" w:eastAsia="zh-CN" w:bidi="ar-SA"/>
              </w:rPr>
              <w:t>4.3</w:t>
            </w:r>
            <w:r>
              <w:rPr>
                <w:rFonts w:hint="default" w:ascii="Times New Roman" w:hAnsi="Times New Roman" w:eastAsia="宋体" w:cs="Times New Roman"/>
                <w:b/>
                <w:color w:val="000000"/>
                <w:kern w:val="2"/>
                <w:sz w:val="24"/>
                <w:szCs w:val="28"/>
                <w:highlight w:val="none"/>
                <w:lang w:val="en-US" w:eastAsia="zh-CN" w:bidi="ar-SA"/>
              </w:rPr>
              <w:fldChar w:fldCharType="end"/>
            </w:r>
            <w:r>
              <w:rPr>
                <w:rFonts w:hint="default" w:ascii="Times New Roman" w:hAnsi="Times New Roman" w:eastAsia="宋体" w:cs="Times New Roman"/>
                <w:b/>
                <w:color w:val="000000"/>
                <w:kern w:val="2"/>
                <w:sz w:val="24"/>
                <w:szCs w:val="28"/>
                <w:highlight w:val="none"/>
                <w:lang w:val="en-US" w:eastAsia="zh-CN" w:bidi="ar-SA"/>
              </w:rPr>
              <w:t>-</w:t>
            </w:r>
            <w:r>
              <w:rPr>
                <w:rFonts w:hint="default" w:ascii="Times New Roman" w:hAnsi="Times New Roman" w:eastAsia="宋体" w:cs="Times New Roman"/>
                <w:b/>
                <w:color w:val="000000"/>
                <w:kern w:val="2"/>
                <w:sz w:val="24"/>
                <w:szCs w:val="28"/>
                <w:highlight w:val="none"/>
                <w:lang w:val="en-US" w:eastAsia="zh-CN" w:bidi="ar-SA"/>
              </w:rPr>
              <w:fldChar w:fldCharType="begin"/>
            </w:r>
            <w:r>
              <w:rPr>
                <w:rFonts w:hint="default" w:ascii="Times New Roman" w:hAnsi="Times New Roman" w:eastAsia="宋体" w:cs="Times New Roman"/>
                <w:b/>
                <w:color w:val="000000"/>
                <w:kern w:val="2"/>
                <w:sz w:val="24"/>
                <w:szCs w:val="28"/>
                <w:highlight w:val="none"/>
                <w:lang w:val="en-US" w:eastAsia="zh-CN" w:bidi="ar-SA"/>
              </w:rPr>
              <w:instrText xml:space="preserve"> SEQ 图 \* ARABIC \s 2 </w:instrText>
            </w:r>
            <w:r>
              <w:rPr>
                <w:rFonts w:hint="default" w:ascii="Times New Roman" w:hAnsi="Times New Roman" w:eastAsia="宋体" w:cs="Times New Roman"/>
                <w:b/>
                <w:color w:val="000000"/>
                <w:kern w:val="2"/>
                <w:sz w:val="24"/>
                <w:szCs w:val="28"/>
                <w:highlight w:val="none"/>
                <w:lang w:val="en-US" w:eastAsia="zh-CN" w:bidi="ar-SA"/>
              </w:rPr>
              <w:fldChar w:fldCharType="separate"/>
            </w:r>
            <w:r>
              <w:rPr>
                <w:rFonts w:hint="default" w:ascii="Times New Roman" w:hAnsi="Times New Roman" w:eastAsia="宋体" w:cs="Times New Roman"/>
                <w:b/>
                <w:color w:val="000000"/>
                <w:kern w:val="2"/>
                <w:sz w:val="24"/>
                <w:szCs w:val="28"/>
                <w:highlight w:val="none"/>
                <w:lang w:val="en-US" w:eastAsia="zh-CN" w:bidi="ar-SA"/>
              </w:rPr>
              <w:t>3</w:t>
            </w:r>
            <w:r>
              <w:rPr>
                <w:rFonts w:hint="default" w:ascii="Times New Roman" w:hAnsi="Times New Roman" w:eastAsia="宋体" w:cs="Times New Roman"/>
                <w:b/>
                <w:color w:val="000000"/>
                <w:kern w:val="2"/>
                <w:sz w:val="24"/>
                <w:szCs w:val="28"/>
                <w:highlight w:val="none"/>
                <w:lang w:val="en-US" w:eastAsia="zh-CN" w:bidi="ar-SA"/>
              </w:rPr>
              <w:fldChar w:fldCharType="end"/>
            </w:r>
            <w:bookmarkEnd w:id="299"/>
            <w:r>
              <w:rPr>
                <w:rFonts w:hint="default" w:ascii="Times New Roman" w:hAnsi="Times New Roman" w:eastAsia="宋体" w:cs="Times New Roman"/>
                <w:b/>
                <w:color w:val="000000"/>
                <w:kern w:val="2"/>
                <w:sz w:val="24"/>
                <w:szCs w:val="28"/>
                <w:highlight w:val="none"/>
                <w:lang w:val="en-US" w:eastAsia="zh-CN" w:bidi="ar-SA"/>
              </w:rPr>
              <w:t xml:space="preserve"> 测流点位置分布如图</w:t>
            </w:r>
          </w:p>
          <w:p w14:paraId="5A7F9205">
            <w:pPr>
              <w:widowControl w:val="0"/>
              <w:bidi w:val="0"/>
              <w:adjustRightInd w:val="0"/>
              <w:snapToGrid w:val="0"/>
              <w:spacing w:line="240" w:lineRule="auto"/>
              <w:ind w:firstLine="0" w:firstLineChars="0"/>
              <w:jc w:val="center"/>
              <w:rPr>
                <w:rFonts w:hint="default" w:ascii="Times New Roman" w:hAnsi="Times New Roman" w:eastAsia="宋体" w:cs="Times New Roman"/>
                <w:color w:val="000000"/>
                <w:kern w:val="2"/>
                <w:sz w:val="21"/>
                <w:szCs w:val="28"/>
                <w:highlight w:val="none"/>
                <w:lang w:val="en-US" w:eastAsia="zh-CN" w:bidi="ar-SA"/>
              </w:rPr>
            </w:pPr>
            <w:r>
              <w:rPr>
                <w:rFonts w:hint="eastAsia" w:cs="Times New Roman"/>
                <w:color w:val="000000"/>
                <w:kern w:val="2"/>
                <w:sz w:val="21"/>
                <w:szCs w:val="28"/>
                <w:highlight w:val="none"/>
                <w:lang w:val="en-US" w:eastAsia="zh-CN" w:bidi="ar-SA"/>
              </w:rPr>
              <w:t>（涉密删除）</w:t>
            </w:r>
          </w:p>
          <w:p w14:paraId="68B608F7">
            <w:pPr>
              <w:widowControl w:val="0"/>
              <w:bidi w:val="0"/>
              <w:adjustRightInd w:val="0"/>
              <w:snapToGrid w:val="0"/>
              <w:spacing w:line="240" w:lineRule="auto"/>
              <w:ind w:firstLine="0" w:firstLineChars="0"/>
              <w:jc w:val="center"/>
              <w:rPr>
                <w:rFonts w:hint="default" w:ascii="Times New Roman" w:hAnsi="Times New Roman" w:eastAsia="宋体" w:cs="Times New Roman"/>
                <w:b/>
                <w:color w:val="000000"/>
                <w:kern w:val="2"/>
                <w:sz w:val="24"/>
                <w:szCs w:val="28"/>
                <w:highlight w:val="none"/>
                <w:lang w:val="en-US" w:eastAsia="zh-CN" w:bidi="ar-SA"/>
              </w:rPr>
            </w:pPr>
            <w:bookmarkStart w:id="300" w:name="_Ref12665"/>
            <w:r>
              <w:rPr>
                <w:rFonts w:hint="default" w:ascii="Times New Roman" w:hAnsi="Times New Roman" w:eastAsia="宋体" w:cs="Times New Roman"/>
                <w:b/>
                <w:color w:val="000000"/>
                <w:kern w:val="2"/>
                <w:sz w:val="24"/>
                <w:szCs w:val="28"/>
                <w:highlight w:val="none"/>
                <w:lang w:val="en-US" w:eastAsia="zh-CN" w:bidi="ar-SA"/>
              </w:rPr>
              <w:t>图</w:t>
            </w:r>
            <w:r>
              <w:rPr>
                <w:rFonts w:hint="default" w:ascii="Times New Roman" w:hAnsi="Times New Roman" w:eastAsia="宋体" w:cs="Times New Roman"/>
                <w:b/>
                <w:color w:val="000000"/>
                <w:kern w:val="2"/>
                <w:sz w:val="24"/>
                <w:szCs w:val="28"/>
                <w:highlight w:val="none"/>
                <w:lang w:val="en-US" w:eastAsia="zh-CN" w:bidi="ar-SA"/>
              </w:rPr>
              <w:fldChar w:fldCharType="begin"/>
            </w:r>
            <w:r>
              <w:rPr>
                <w:rFonts w:hint="default" w:ascii="Times New Roman" w:hAnsi="Times New Roman" w:eastAsia="宋体" w:cs="Times New Roman"/>
                <w:b/>
                <w:color w:val="000000"/>
                <w:kern w:val="2"/>
                <w:sz w:val="24"/>
                <w:szCs w:val="28"/>
                <w:highlight w:val="none"/>
                <w:lang w:val="en-US" w:eastAsia="zh-CN" w:bidi="ar-SA"/>
              </w:rPr>
              <w:instrText xml:space="preserve"> STYLEREF 2 \s </w:instrText>
            </w:r>
            <w:r>
              <w:rPr>
                <w:rFonts w:hint="default" w:ascii="Times New Roman" w:hAnsi="Times New Roman" w:eastAsia="宋体" w:cs="Times New Roman"/>
                <w:b/>
                <w:color w:val="000000"/>
                <w:kern w:val="2"/>
                <w:sz w:val="24"/>
                <w:szCs w:val="28"/>
                <w:highlight w:val="none"/>
                <w:lang w:val="en-US" w:eastAsia="zh-CN" w:bidi="ar-SA"/>
              </w:rPr>
              <w:fldChar w:fldCharType="separate"/>
            </w:r>
            <w:r>
              <w:rPr>
                <w:rFonts w:hint="default" w:ascii="Times New Roman" w:hAnsi="Times New Roman" w:eastAsia="宋体" w:cs="Times New Roman"/>
                <w:b/>
                <w:color w:val="000000"/>
                <w:kern w:val="2"/>
                <w:sz w:val="24"/>
                <w:szCs w:val="28"/>
                <w:highlight w:val="none"/>
                <w:lang w:val="en-US" w:eastAsia="zh-CN" w:bidi="ar-SA"/>
              </w:rPr>
              <w:t>4.3</w:t>
            </w:r>
            <w:r>
              <w:rPr>
                <w:rFonts w:hint="default" w:ascii="Times New Roman" w:hAnsi="Times New Roman" w:eastAsia="宋体" w:cs="Times New Roman"/>
                <w:b/>
                <w:color w:val="000000"/>
                <w:kern w:val="2"/>
                <w:sz w:val="24"/>
                <w:szCs w:val="28"/>
                <w:highlight w:val="none"/>
                <w:lang w:val="en-US" w:eastAsia="zh-CN" w:bidi="ar-SA"/>
              </w:rPr>
              <w:fldChar w:fldCharType="end"/>
            </w:r>
            <w:r>
              <w:rPr>
                <w:rFonts w:hint="default" w:ascii="Times New Roman" w:hAnsi="Times New Roman" w:eastAsia="宋体" w:cs="Times New Roman"/>
                <w:b/>
                <w:color w:val="000000"/>
                <w:kern w:val="2"/>
                <w:sz w:val="24"/>
                <w:szCs w:val="28"/>
                <w:highlight w:val="none"/>
                <w:lang w:val="en-US" w:eastAsia="zh-CN" w:bidi="ar-SA"/>
              </w:rPr>
              <w:t>-</w:t>
            </w:r>
            <w:r>
              <w:rPr>
                <w:rFonts w:hint="default" w:ascii="Times New Roman" w:hAnsi="Times New Roman" w:eastAsia="宋体" w:cs="Times New Roman"/>
                <w:b/>
                <w:color w:val="000000"/>
                <w:kern w:val="2"/>
                <w:sz w:val="24"/>
                <w:szCs w:val="28"/>
                <w:highlight w:val="none"/>
                <w:lang w:val="en-US" w:eastAsia="zh-CN" w:bidi="ar-SA"/>
              </w:rPr>
              <w:fldChar w:fldCharType="begin"/>
            </w:r>
            <w:r>
              <w:rPr>
                <w:rFonts w:hint="default" w:ascii="Times New Roman" w:hAnsi="Times New Roman" w:eastAsia="宋体" w:cs="Times New Roman"/>
                <w:b/>
                <w:color w:val="000000"/>
                <w:kern w:val="2"/>
                <w:sz w:val="24"/>
                <w:szCs w:val="28"/>
                <w:highlight w:val="none"/>
                <w:lang w:val="en-US" w:eastAsia="zh-CN" w:bidi="ar-SA"/>
              </w:rPr>
              <w:instrText xml:space="preserve"> SEQ 图 \* ARABIC \s 2 </w:instrText>
            </w:r>
            <w:r>
              <w:rPr>
                <w:rFonts w:hint="default" w:ascii="Times New Roman" w:hAnsi="Times New Roman" w:eastAsia="宋体" w:cs="Times New Roman"/>
                <w:b/>
                <w:color w:val="000000"/>
                <w:kern w:val="2"/>
                <w:sz w:val="24"/>
                <w:szCs w:val="28"/>
                <w:highlight w:val="none"/>
                <w:lang w:val="en-US" w:eastAsia="zh-CN" w:bidi="ar-SA"/>
              </w:rPr>
              <w:fldChar w:fldCharType="separate"/>
            </w:r>
            <w:r>
              <w:rPr>
                <w:rFonts w:hint="default" w:ascii="Times New Roman" w:hAnsi="Times New Roman" w:eastAsia="宋体" w:cs="Times New Roman"/>
                <w:b/>
                <w:color w:val="000000"/>
                <w:kern w:val="2"/>
                <w:sz w:val="24"/>
                <w:szCs w:val="28"/>
                <w:highlight w:val="none"/>
                <w:lang w:val="en-US" w:eastAsia="zh-CN" w:bidi="ar-SA"/>
              </w:rPr>
              <w:t>4</w:t>
            </w:r>
            <w:r>
              <w:rPr>
                <w:rFonts w:hint="default" w:ascii="Times New Roman" w:hAnsi="Times New Roman" w:eastAsia="宋体" w:cs="Times New Roman"/>
                <w:b/>
                <w:color w:val="000000"/>
                <w:kern w:val="2"/>
                <w:sz w:val="24"/>
                <w:szCs w:val="28"/>
                <w:highlight w:val="none"/>
                <w:lang w:val="en-US" w:eastAsia="zh-CN" w:bidi="ar-SA"/>
              </w:rPr>
              <w:fldChar w:fldCharType="end"/>
            </w:r>
            <w:bookmarkEnd w:id="300"/>
            <w:r>
              <w:rPr>
                <w:rFonts w:hint="default" w:ascii="Times New Roman" w:hAnsi="Times New Roman" w:eastAsia="宋体" w:cs="Times New Roman"/>
                <w:b/>
                <w:color w:val="000000"/>
                <w:kern w:val="2"/>
                <w:sz w:val="24"/>
                <w:szCs w:val="28"/>
                <w:highlight w:val="none"/>
                <w:lang w:val="en-US" w:eastAsia="zh-CN" w:bidi="ar-SA"/>
              </w:rPr>
              <w:t xml:space="preserve">  T1潮位站潮位对比图</w:t>
            </w:r>
          </w:p>
          <w:p w14:paraId="0E6BBC8F">
            <w:pPr>
              <w:widowControl w:val="0"/>
              <w:bidi w:val="0"/>
              <w:adjustRightInd w:val="0"/>
              <w:snapToGrid w:val="0"/>
              <w:spacing w:line="240" w:lineRule="auto"/>
              <w:ind w:firstLine="0" w:firstLineChars="0"/>
              <w:jc w:val="center"/>
              <w:rPr>
                <w:rFonts w:hint="default" w:ascii="Times New Roman" w:hAnsi="Times New Roman" w:eastAsia="宋体" w:cs="Times New Roman"/>
                <w:color w:val="000000"/>
                <w:kern w:val="2"/>
                <w:sz w:val="21"/>
                <w:szCs w:val="28"/>
                <w:highlight w:val="none"/>
                <w:lang w:val="en-US" w:eastAsia="zh-CN" w:bidi="ar-SA"/>
              </w:rPr>
            </w:pPr>
            <w:r>
              <w:rPr>
                <w:rFonts w:hint="eastAsia" w:cs="Times New Roman"/>
                <w:color w:val="000000"/>
                <w:kern w:val="2"/>
                <w:sz w:val="21"/>
                <w:szCs w:val="28"/>
                <w:highlight w:val="none"/>
                <w:lang w:val="en-US" w:eastAsia="zh-CN" w:bidi="ar-SA"/>
              </w:rPr>
              <w:t>（涉密删除）</w:t>
            </w:r>
          </w:p>
          <w:p w14:paraId="6C183095">
            <w:pPr>
              <w:widowControl w:val="0"/>
              <w:bidi w:val="0"/>
              <w:adjustRightInd w:val="0"/>
              <w:snapToGrid w:val="0"/>
              <w:spacing w:line="240" w:lineRule="auto"/>
              <w:ind w:firstLine="0" w:firstLineChars="0"/>
              <w:jc w:val="center"/>
              <w:rPr>
                <w:rFonts w:hint="default" w:ascii="Times New Roman" w:hAnsi="Times New Roman" w:eastAsia="宋体" w:cs="Times New Roman"/>
                <w:b/>
                <w:color w:val="000000"/>
                <w:kern w:val="2"/>
                <w:sz w:val="24"/>
                <w:szCs w:val="28"/>
                <w:highlight w:val="none"/>
                <w:lang w:val="en-US" w:eastAsia="zh-CN" w:bidi="ar-SA"/>
              </w:rPr>
            </w:pPr>
            <w:bookmarkStart w:id="301" w:name="_Ref12668"/>
            <w:r>
              <w:rPr>
                <w:rFonts w:hint="default" w:ascii="Times New Roman" w:hAnsi="Times New Roman" w:eastAsia="宋体" w:cs="Times New Roman"/>
                <w:b/>
                <w:color w:val="000000"/>
                <w:kern w:val="2"/>
                <w:sz w:val="24"/>
                <w:szCs w:val="28"/>
                <w:highlight w:val="none"/>
                <w:lang w:val="en-US" w:eastAsia="zh-CN" w:bidi="ar-SA"/>
              </w:rPr>
              <w:t>图</w:t>
            </w:r>
            <w:r>
              <w:rPr>
                <w:rFonts w:hint="default" w:ascii="Times New Roman" w:hAnsi="Times New Roman" w:eastAsia="宋体" w:cs="Times New Roman"/>
                <w:b/>
                <w:color w:val="000000"/>
                <w:kern w:val="2"/>
                <w:sz w:val="24"/>
                <w:szCs w:val="28"/>
                <w:highlight w:val="none"/>
                <w:lang w:val="en-US" w:eastAsia="zh-CN" w:bidi="ar-SA"/>
              </w:rPr>
              <w:fldChar w:fldCharType="begin"/>
            </w:r>
            <w:r>
              <w:rPr>
                <w:rFonts w:hint="default" w:ascii="Times New Roman" w:hAnsi="Times New Roman" w:eastAsia="宋体" w:cs="Times New Roman"/>
                <w:b/>
                <w:color w:val="000000"/>
                <w:kern w:val="2"/>
                <w:sz w:val="24"/>
                <w:szCs w:val="28"/>
                <w:highlight w:val="none"/>
                <w:lang w:val="en-US" w:eastAsia="zh-CN" w:bidi="ar-SA"/>
              </w:rPr>
              <w:instrText xml:space="preserve"> STYLEREF 2 \s </w:instrText>
            </w:r>
            <w:r>
              <w:rPr>
                <w:rFonts w:hint="default" w:ascii="Times New Roman" w:hAnsi="Times New Roman" w:eastAsia="宋体" w:cs="Times New Roman"/>
                <w:b/>
                <w:color w:val="000000"/>
                <w:kern w:val="2"/>
                <w:sz w:val="24"/>
                <w:szCs w:val="28"/>
                <w:highlight w:val="none"/>
                <w:lang w:val="en-US" w:eastAsia="zh-CN" w:bidi="ar-SA"/>
              </w:rPr>
              <w:fldChar w:fldCharType="separate"/>
            </w:r>
            <w:r>
              <w:rPr>
                <w:rFonts w:hint="default" w:ascii="Times New Roman" w:hAnsi="Times New Roman" w:eastAsia="宋体" w:cs="Times New Roman"/>
                <w:b/>
                <w:color w:val="000000"/>
                <w:kern w:val="2"/>
                <w:sz w:val="24"/>
                <w:szCs w:val="28"/>
                <w:highlight w:val="none"/>
                <w:lang w:val="en-US" w:eastAsia="zh-CN" w:bidi="ar-SA"/>
              </w:rPr>
              <w:t>4.3</w:t>
            </w:r>
            <w:r>
              <w:rPr>
                <w:rFonts w:hint="default" w:ascii="Times New Roman" w:hAnsi="Times New Roman" w:eastAsia="宋体" w:cs="Times New Roman"/>
                <w:b/>
                <w:color w:val="000000"/>
                <w:kern w:val="2"/>
                <w:sz w:val="24"/>
                <w:szCs w:val="28"/>
                <w:highlight w:val="none"/>
                <w:lang w:val="en-US" w:eastAsia="zh-CN" w:bidi="ar-SA"/>
              </w:rPr>
              <w:fldChar w:fldCharType="end"/>
            </w:r>
            <w:r>
              <w:rPr>
                <w:rFonts w:hint="default" w:ascii="Times New Roman" w:hAnsi="Times New Roman" w:eastAsia="宋体" w:cs="Times New Roman"/>
                <w:b/>
                <w:color w:val="000000"/>
                <w:kern w:val="2"/>
                <w:sz w:val="24"/>
                <w:szCs w:val="28"/>
                <w:highlight w:val="none"/>
                <w:lang w:val="en-US" w:eastAsia="zh-CN" w:bidi="ar-SA"/>
              </w:rPr>
              <w:t>-</w:t>
            </w:r>
            <w:r>
              <w:rPr>
                <w:rFonts w:hint="default" w:ascii="Times New Roman" w:hAnsi="Times New Roman" w:eastAsia="宋体" w:cs="Times New Roman"/>
                <w:b/>
                <w:color w:val="000000"/>
                <w:kern w:val="2"/>
                <w:sz w:val="24"/>
                <w:szCs w:val="28"/>
                <w:highlight w:val="none"/>
                <w:lang w:val="en-US" w:eastAsia="zh-CN" w:bidi="ar-SA"/>
              </w:rPr>
              <w:fldChar w:fldCharType="begin"/>
            </w:r>
            <w:r>
              <w:rPr>
                <w:rFonts w:hint="default" w:ascii="Times New Roman" w:hAnsi="Times New Roman" w:eastAsia="宋体" w:cs="Times New Roman"/>
                <w:b/>
                <w:color w:val="000000"/>
                <w:kern w:val="2"/>
                <w:sz w:val="24"/>
                <w:szCs w:val="28"/>
                <w:highlight w:val="none"/>
                <w:lang w:val="en-US" w:eastAsia="zh-CN" w:bidi="ar-SA"/>
              </w:rPr>
              <w:instrText xml:space="preserve"> SEQ 图 \* ARABIC \s 2 </w:instrText>
            </w:r>
            <w:r>
              <w:rPr>
                <w:rFonts w:hint="default" w:ascii="Times New Roman" w:hAnsi="Times New Roman" w:eastAsia="宋体" w:cs="Times New Roman"/>
                <w:b/>
                <w:color w:val="000000"/>
                <w:kern w:val="2"/>
                <w:sz w:val="24"/>
                <w:szCs w:val="28"/>
                <w:highlight w:val="none"/>
                <w:lang w:val="en-US" w:eastAsia="zh-CN" w:bidi="ar-SA"/>
              </w:rPr>
              <w:fldChar w:fldCharType="separate"/>
            </w:r>
            <w:r>
              <w:rPr>
                <w:rFonts w:hint="default" w:ascii="Times New Roman" w:hAnsi="Times New Roman" w:eastAsia="宋体" w:cs="Times New Roman"/>
                <w:b/>
                <w:color w:val="000000"/>
                <w:kern w:val="2"/>
                <w:sz w:val="24"/>
                <w:szCs w:val="28"/>
                <w:highlight w:val="none"/>
                <w:lang w:val="en-US" w:eastAsia="zh-CN" w:bidi="ar-SA"/>
              </w:rPr>
              <w:t>5</w:t>
            </w:r>
            <w:r>
              <w:rPr>
                <w:rFonts w:hint="default" w:ascii="Times New Roman" w:hAnsi="Times New Roman" w:eastAsia="宋体" w:cs="Times New Roman"/>
                <w:b/>
                <w:color w:val="000000"/>
                <w:kern w:val="2"/>
                <w:sz w:val="24"/>
                <w:szCs w:val="28"/>
                <w:highlight w:val="none"/>
                <w:lang w:val="en-US" w:eastAsia="zh-CN" w:bidi="ar-SA"/>
              </w:rPr>
              <w:fldChar w:fldCharType="end"/>
            </w:r>
            <w:bookmarkEnd w:id="301"/>
            <w:r>
              <w:rPr>
                <w:rFonts w:hint="default" w:ascii="Times New Roman" w:hAnsi="Times New Roman" w:eastAsia="宋体" w:cs="Times New Roman"/>
                <w:b/>
                <w:color w:val="000000"/>
                <w:kern w:val="2"/>
                <w:sz w:val="24"/>
                <w:szCs w:val="28"/>
                <w:highlight w:val="none"/>
                <w:lang w:val="en-US" w:eastAsia="zh-CN" w:bidi="ar-SA"/>
              </w:rPr>
              <w:t xml:space="preserve">  T2潮位站潮位对比图</w:t>
            </w:r>
          </w:p>
          <w:p w14:paraId="4DE5FFF4">
            <w:pPr>
              <w:widowControl w:val="0"/>
              <w:bidi w:val="0"/>
              <w:adjustRightInd w:val="0"/>
              <w:snapToGrid w:val="0"/>
              <w:spacing w:line="240" w:lineRule="auto"/>
              <w:ind w:firstLine="0" w:firstLineChars="0"/>
              <w:jc w:val="center"/>
              <w:rPr>
                <w:rFonts w:hint="default" w:ascii="Times New Roman" w:hAnsi="Times New Roman" w:eastAsia="宋体" w:cs="Times New Roman"/>
                <w:b/>
                <w:color w:val="000000"/>
                <w:kern w:val="2"/>
                <w:sz w:val="24"/>
                <w:szCs w:val="28"/>
                <w:highlight w:val="none"/>
                <w:lang w:val="en-US" w:eastAsia="zh-CN" w:bidi="ar-SA"/>
              </w:rPr>
            </w:pPr>
            <w:bookmarkStart w:id="302" w:name="_Ref12674"/>
            <w:r>
              <w:rPr>
                <w:rFonts w:hint="eastAsia" w:cs="Times New Roman"/>
                <w:color w:val="000000"/>
                <w:kern w:val="2"/>
                <w:sz w:val="21"/>
                <w:szCs w:val="28"/>
                <w:highlight w:val="none"/>
                <w:lang w:val="en-US" w:eastAsia="zh-CN" w:bidi="ar-SA"/>
              </w:rPr>
              <w:t>（涉密删除）</w:t>
            </w:r>
          </w:p>
          <w:p w14:paraId="17514CA8">
            <w:pPr>
              <w:widowControl w:val="0"/>
              <w:bidi w:val="0"/>
              <w:adjustRightInd w:val="0"/>
              <w:snapToGrid w:val="0"/>
              <w:spacing w:line="240" w:lineRule="auto"/>
              <w:ind w:firstLine="0" w:firstLineChars="0"/>
              <w:jc w:val="center"/>
              <w:rPr>
                <w:rFonts w:hint="default" w:ascii="Times New Roman" w:hAnsi="Times New Roman" w:eastAsia="宋体" w:cs="Times New Roman"/>
                <w:b/>
                <w:color w:val="000000"/>
                <w:kern w:val="2"/>
                <w:sz w:val="24"/>
                <w:szCs w:val="28"/>
                <w:highlight w:val="none"/>
                <w:lang w:val="en-US" w:eastAsia="zh-CN" w:bidi="ar-SA"/>
              </w:rPr>
            </w:pPr>
            <w:r>
              <w:rPr>
                <w:rFonts w:hint="default" w:ascii="Times New Roman" w:hAnsi="Times New Roman" w:eastAsia="宋体" w:cs="Times New Roman"/>
                <w:b/>
                <w:color w:val="000000"/>
                <w:kern w:val="2"/>
                <w:sz w:val="24"/>
                <w:szCs w:val="28"/>
                <w:highlight w:val="none"/>
                <w:lang w:val="en-US" w:eastAsia="zh-CN" w:bidi="ar-SA"/>
              </w:rPr>
              <w:t>图</w:t>
            </w:r>
            <w:r>
              <w:rPr>
                <w:rFonts w:hint="default" w:ascii="Times New Roman" w:hAnsi="Times New Roman" w:eastAsia="宋体" w:cs="Times New Roman"/>
                <w:b/>
                <w:color w:val="000000"/>
                <w:kern w:val="2"/>
                <w:sz w:val="24"/>
                <w:szCs w:val="28"/>
                <w:highlight w:val="none"/>
                <w:lang w:val="en-US" w:eastAsia="zh-CN" w:bidi="ar-SA"/>
              </w:rPr>
              <w:fldChar w:fldCharType="begin"/>
            </w:r>
            <w:r>
              <w:rPr>
                <w:rFonts w:hint="default" w:ascii="Times New Roman" w:hAnsi="Times New Roman" w:eastAsia="宋体" w:cs="Times New Roman"/>
                <w:b/>
                <w:color w:val="000000"/>
                <w:kern w:val="2"/>
                <w:sz w:val="24"/>
                <w:szCs w:val="28"/>
                <w:highlight w:val="none"/>
                <w:lang w:val="en-US" w:eastAsia="zh-CN" w:bidi="ar-SA"/>
              </w:rPr>
              <w:instrText xml:space="preserve"> STYLEREF 2 \s </w:instrText>
            </w:r>
            <w:r>
              <w:rPr>
                <w:rFonts w:hint="default" w:ascii="Times New Roman" w:hAnsi="Times New Roman" w:eastAsia="宋体" w:cs="Times New Roman"/>
                <w:b/>
                <w:color w:val="000000"/>
                <w:kern w:val="2"/>
                <w:sz w:val="24"/>
                <w:szCs w:val="28"/>
                <w:highlight w:val="none"/>
                <w:lang w:val="en-US" w:eastAsia="zh-CN" w:bidi="ar-SA"/>
              </w:rPr>
              <w:fldChar w:fldCharType="separate"/>
            </w:r>
            <w:r>
              <w:rPr>
                <w:rFonts w:hint="default" w:ascii="Times New Roman" w:hAnsi="Times New Roman" w:eastAsia="宋体" w:cs="Times New Roman"/>
                <w:b/>
                <w:color w:val="000000"/>
                <w:kern w:val="2"/>
                <w:sz w:val="24"/>
                <w:szCs w:val="28"/>
                <w:highlight w:val="none"/>
                <w:lang w:val="en-US" w:eastAsia="zh-CN" w:bidi="ar-SA"/>
              </w:rPr>
              <w:t>4.3</w:t>
            </w:r>
            <w:r>
              <w:rPr>
                <w:rFonts w:hint="default" w:ascii="Times New Roman" w:hAnsi="Times New Roman" w:eastAsia="宋体" w:cs="Times New Roman"/>
                <w:b/>
                <w:color w:val="000000"/>
                <w:kern w:val="2"/>
                <w:sz w:val="24"/>
                <w:szCs w:val="28"/>
                <w:highlight w:val="none"/>
                <w:lang w:val="en-US" w:eastAsia="zh-CN" w:bidi="ar-SA"/>
              </w:rPr>
              <w:fldChar w:fldCharType="end"/>
            </w:r>
            <w:r>
              <w:rPr>
                <w:rFonts w:hint="default" w:ascii="Times New Roman" w:hAnsi="Times New Roman" w:eastAsia="宋体" w:cs="Times New Roman"/>
                <w:b/>
                <w:color w:val="000000"/>
                <w:kern w:val="2"/>
                <w:sz w:val="24"/>
                <w:szCs w:val="28"/>
                <w:highlight w:val="none"/>
                <w:lang w:val="en-US" w:eastAsia="zh-CN" w:bidi="ar-SA"/>
              </w:rPr>
              <w:t>-</w:t>
            </w:r>
            <w:r>
              <w:rPr>
                <w:rFonts w:hint="default" w:ascii="Times New Roman" w:hAnsi="Times New Roman" w:eastAsia="宋体" w:cs="Times New Roman"/>
                <w:b/>
                <w:color w:val="000000"/>
                <w:kern w:val="2"/>
                <w:sz w:val="24"/>
                <w:szCs w:val="28"/>
                <w:highlight w:val="none"/>
                <w:lang w:val="en-US" w:eastAsia="zh-CN" w:bidi="ar-SA"/>
              </w:rPr>
              <w:fldChar w:fldCharType="begin"/>
            </w:r>
            <w:r>
              <w:rPr>
                <w:rFonts w:hint="default" w:ascii="Times New Roman" w:hAnsi="Times New Roman" w:eastAsia="宋体" w:cs="Times New Roman"/>
                <w:b/>
                <w:color w:val="000000"/>
                <w:kern w:val="2"/>
                <w:sz w:val="24"/>
                <w:szCs w:val="28"/>
                <w:highlight w:val="none"/>
                <w:lang w:val="en-US" w:eastAsia="zh-CN" w:bidi="ar-SA"/>
              </w:rPr>
              <w:instrText xml:space="preserve"> SEQ 图 \* ARABIC \s 2 </w:instrText>
            </w:r>
            <w:r>
              <w:rPr>
                <w:rFonts w:hint="default" w:ascii="Times New Roman" w:hAnsi="Times New Roman" w:eastAsia="宋体" w:cs="Times New Roman"/>
                <w:b/>
                <w:color w:val="000000"/>
                <w:kern w:val="2"/>
                <w:sz w:val="24"/>
                <w:szCs w:val="28"/>
                <w:highlight w:val="none"/>
                <w:lang w:val="en-US" w:eastAsia="zh-CN" w:bidi="ar-SA"/>
              </w:rPr>
              <w:fldChar w:fldCharType="separate"/>
            </w:r>
            <w:r>
              <w:rPr>
                <w:rFonts w:hint="default" w:ascii="Times New Roman" w:hAnsi="Times New Roman" w:eastAsia="宋体" w:cs="Times New Roman"/>
                <w:b/>
                <w:color w:val="000000"/>
                <w:kern w:val="2"/>
                <w:sz w:val="24"/>
                <w:szCs w:val="28"/>
                <w:highlight w:val="none"/>
                <w:lang w:val="en-US" w:eastAsia="zh-CN" w:bidi="ar-SA"/>
              </w:rPr>
              <w:t>6</w:t>
            </w:r>
            <w:r>
              <w:rPr>
                <w:rFonts w:hint="default" w:ascii="Times New Roman" w:hAnsi="Times New Roman" w:eastAsia="宋体" w:cs="Times New Roman"/>
                <w:b/>
                <w:color w:val="000000"/>
                <w:kern w:val="2"/>
                <w:sz w:val="24"/>
                <w:szCs w:val="28"/>
                <w:highlight w:val="none"/>
                <w:lang w:val="en-US" w:eastAsia="zh-CN" w:bidi="ar-SA"/>
              </w:rPr>
              <w:fldChar w:fldCharType="end"/>
            </w:r>
            <w:bookmarkEnd w:id="302"/>
            <w:r>
              <w:rPr>
                <w:rFonts w:hint="default" w:ascii="Times New Roman" w:hAnsi="Times New Roman" w:eastAsia="宋体" w:cs="Times New Roman"/>
                <w:b/>
                <w:color w:val="000000"/>
                <w:kern w:val="2"/>
                <w:sz w:val="24"/>
                <w:szCs w:val="28"/>
                <w:highlight w:val="none"/>
                <w:lang w:val="en-US" w:eastAsia="zh-CN" w:bidi="ar-SA"/>
              </w:rPr>
              <w:t xml:space="preserve"> 流速流向对比图</w:t>
            </w:r>
          </w:p>
          <w:p w14:paraId="639F0ADC">
            <w:pPr>
              <w:pStyle w:val="5"/>
              <w:bidi w:val="0"/>
              <w:rPr>
                <w:rFonts w:hint="default"/>
                <w:lang w:eastAsia="zh-CN"/>
              </w:rPr>
            </w:pPr>
            <w:bookmarkStart w:id="303" w:name="_Toc11797"/>
            <w:bookmarkStart w:id="304" w:name="_Toc5803"/>
            <w:r>
              <w:rPr>
                <w:rFonts w:hint="default"/>
                <w:lang w:eastAsia="zh-CN"/>
              </w:rPr>
              <w:t>项目实施前后流态流速变化</w:t>
            </w:r>
            <w:bookmarkEnd w:id="303"/>
            <w:bookmarkEnd w:id="304"/>
          </w:p>
          <w:p w14:paraId="383A3C0B">
            <w:pPr>
              <w:keepNext w:val="0"/>
              <w:keepLines w:val="0"/>
              <w:pageBreakBefore w:val="0"/>
              <w:widowControl w:val="0"/>
              <w:kinsoku/>
              <w:wordWrap/>
              <w:overflowPunct/>
              <w:topLinePunct w:val="0"/>
              <w:autoSpaceDE/>
              <w:autoSpaceDN/>
              <w:bidi w:val="0"/>
              <w:adjustRightInd w:val="0"/>
              <w:snapToGrid w:val="0"/>
              <w:ind w:firstLine="482" w:firstLineChars="200"/>
              <w:textAlignment w:val="auto"/>
              <w:rPr>
                <w:rFonts w:hint="default" w:ascii="Times New Roman" w:hAnsi="Times New Roman" w:eastAsia="宋体" w:cs="Times New Roman"/>
                <w:b/>
                <w:bCs/>
                <w:color w:val="000000"/>
                <w:szCs w:val="28"/>
                <w:highlight w:val="none"/>
                <w:u w:val="none"/>
              </w:rPr>
            </w:pPr>
            <w:r>
              <w:rPr>
                <w:rFonts w:hint="default" w:ascii="Times New Roman" w:hAnsi="Times New Roman" w:eastAsia="宋体" w:cs="Times New Roman"/>
                <w:b/>
                <w:bCs/>
                <w:color w:val="000000"/>
                <w:szCs w:val="28"/>
                <w:highlight w:val="none"/>
                <w:u w:val="none"/>
                <w:lang w:eastAsia="zh-CN"/>
              </w:rPr>
              <w:t>（</w:t>
            </w:r>
            <w:r>
              <w:rPr>
                <w:rFonts w:hint="default" w:ascii="Times New Roman" w:hAnsi="Times New Roman" w:eastAsia="宋体" w:cs="Times New Roman"/>
                <w:b/>
                <w:bCs/>
                <w:color w:val="000000"/>
                <w:szCs w:val="28"/>
                <w:highlight w:val="none"/>
                <w:u w:val="none"/>
                <w:lang w:val="en-US" w:eastAsia="zh-CN"/>
              </w:rPr>
              <w:t>1</w:t>
            </w:r>
            <w:r>
              <w:rPr>
                <w:rFonts w:hint="default" w:ascii="Times New Roman" w:hAnsi="Times New Roman" w:eastAsia="宋体" w:cs="Times New Roman"/>
                <w:b/>
                <w:bCs/>
                <w:color w:val="000000"/>
                <w:szCs w:val="28"/>
                <w:highlight w:val="none"/>
                <w:u w:val="none"/>
                <w:lang w:eastAsia="zh-CN"/>
              </w:rPr>
              <w:t>）</w:t>
            </w:r>
            <w:r>
              <w:rPr>
                <w:rFonts w:hint="default" w:ascii="Times New Roman" w:hAnsi="Times New Roman" w:eastAsia="宋体" w:cs="Times New Roman"/>
                <w:b/>
                <w:bCs/>
                <w:color w:val="000000"/>
                <w:szCs w:val="28"/>
                <w:highlight w:val="none"/>
                <w:u w:val="none"/>
              </w:rPr>
              <w:t>大范围海域潮流场模拟结果分析</w:t>
            </w:r>
          </w:p>
          <w:p w14:paraId="78AA2FC4">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eastAsia="宋体" w:cs="Times New Roman"/>
                <w:b w:val="0"/>
                <w:bCs w:val="0"/>
                <w:color w:val="000000"/>
                <w:szCs w:val="28"/>
                <w:highlight w:val="none"/>
                <w:u w:val="none"/>
              </w:rPr>
            </w:pPr>
            <w:r>
              <w:rPr>
                <w:rFonts w:hint="default" w:ascii="Times New Roman" w:hAnsi="Times New Roman" w:eastAsia="宋体" w:cs="Times New Roman"/>
                <w:color w:val="000000"/>
                <w:szCs w:val="28"/>
                <w:highlight w:val="none"/>
                <w:u w:val="none"/>
              </w:rPr>
              <w:t>本项目用海位于福建省福清市海亮</w:t>
            </w:r>
            <w:r>
              <w:rPr>
                <w:rFonts w:hint="eastAsia" w:cs="Times New Roman"/>
                <w:color w:val="000000"/>
                <w:szCs w:val="28"/>
                <w:highlight w:val="none"/>
                <w:u w:val="none"/>
                <w:lang w:val="en-US" w:eastAsia="zh-CN"/>
              </w:rPr>
              <w:t>村</w:t>
            </w:r>
            <w:r>
              <w:rPr>
                <w:rFonts w:hint="default" w:ascii="Times New Roman" w:hAnsi="Times New Roman" w:eastAsia="宋体" w:cs="Times New Roman"/>
                <w:color w:val="000000"/>
                <w:szCs w:val="28"/>
                <w:highlight w:val="none"/>
                <w:u w:val="none"/>
              </w:rPr>
              <w:t>附近海域，大范围海域流场模拟结果</w:t>
            </w:r>
            <w:r>
              <w:rPr>
                <w:rFonts w:hint="default" w:ascii="Times New Roman" w:hAnsi="Times New Roman" w:eastAsia="宋体" w:cs="Times New Roman"/>
                <w:b w:val="0"/>
                <w:bCs w:val="0"/>
                <w:color w:val="000000"/>
                <w:szCs w:val="28"/>
                <w:highlight w:val="none"/>
                <w:u w:val="none"/>
              </w:rPr>
              <w:t>见</w:t>
            </w:r>
            <w:r>
              <w:rPr>
                <w:rFonts w:hint="default" w:ascii="Times New Roman" w:hAnsi="Times New Roman" w:eastAsia="宋体" w:cs="Times New Roman"/>
                <w:b w:val="0"/>
                <w:bCs w:val="0"/>
                <w:color w:val="000000"/>
                <w:szCs w:val="28"/>
                <w:highlight w:val="none"/>
                <w:u w:val="none"/>
              </w:rPr>
              <w:fldChar w:fldCharType="begin"/>
            </w:r>
            <w:r>
              <w:rPr>
                <w:rFonts w:hint="default" w:ascii="Times New Roman" w:hAnsi="Times New Roman" w:eastAsia="宋体" w:cs="Times New Roman"/>
                <w:b w:val="0"/>
                <w:bCs w:val="0"/>
                <w:color w:val="000000"/>
                <w:szCs w:val="28"/>
                <w:highlight w:val="none"/>
                <w:u w:val="none"/>
              </w:rPr>
              <w:instrText xml:space="preserve"> REF _Ref13148 \h </w:instrText>
            </w:r>
            <w:r>
              <w:rPr>
                <w:rFonts w:hint="default" w:ascii="Times New Roman" w:hAnsi="Times New Roman" w:eastAsia="宋体" w:cs="Times New Roman"/>
                <w:b w:val="0"/>
                <w:bCs w:val="0"/>
                <w:color w:val="000000"/>
                <w:szCs w:val="28"/>
                <w:highlight w:val="none"/>
                <w:u w:val="none"/>
              </w:rPr>
              <w:fldChar w:fldCharType="separate"/>
            </w:r>
            <w:r>
              <w:rPr>
                <w:rFonts w:hint="default" w:ascii="Times New Roman" w:hAnsi="Times New Roman" w:eastAsia="宋体" w:cs="Times New Roman"/>
                <w:b w:val="0"/>
                <w:bCs w:val="0"/>
                <w:color w:val="000000"/>
                <w:kern w:val="2"/>
                <w:sz w:val="24"/>
                <w:szCs w:val="28"/>
                <w:highlight w:val="none"/>
                <w:u w:val="none"/>
                <w:lang w:val="en-US" w:eastAsia="zh-CN" w:bidi="ar-SA"/>
              </w:rPr>
              <w:t>图</w:t>
            </w:r>
            <w:r>
              <w:rPr>
                <w:rFonts w:hint="default" w:ascii="Times New Roman" w:hAnsi="Times New Roman" w:eastAsia="宋体" w:cs="Times New Roman"/>
                <w:b w:val="0"/>
                <w:bCs w:val="0"/>
                <w:color w:val="000000"/>
                <w:kern w:val="2"/>
                <w:sz w:val="24"/>
                <w:szCs w:val="28"/>
                <w:highlight w:val="none"/>
                <w:u w:val="none"/>
                <w:lang w:val="en-US" w:eastAsia="zh-CN" w:bidi="ar-SA"/>
              </w:rPr>
              <w:fldChar w:fldCharType="begin"/>
            </w:r>
            <w:r>
              <w:rPr>
                <w:rFonts w:hint="default" w:ascii="Times New Roman" w:hAnsi="Times New Roman" w:eastAsia="宋体" w:cs="Times New Roman"/>
                <w:b w:val="0"/>
                <w:bCs w:val="0"/>
                <w:color w:val="000000"/>
                <w:kern w:val="2"/>
                <w:sz w:val="24"/>
                <w:szCs w:val="28"/>
                <w:highlight w:val="none"/>
                <w:u w:val="none"/>
                <w:lang w:val="en-US" w:eastAsia="zh-CN" w:bidi="ar-SA"/>
              </w:rPr>
              <w:instrText xml:space="preserve"> STYLEREF 2 \s </w:instrText>
            </w:r>
            <w:r>
              <w:rPr>
                <w:rFonts w:hint="default" w:ascii="Times New Roman" w:hAnsi="Times New Roman" w:eastAsia="宋体" w:cs="Times New Roman"/>
                <w:b w:val="0"/>
                <w:bCs w:val="0"/>
                <w:color w:val="000000"/>
                <w:kern w:val="2"/>
                <w:sz w:val="24"/>
                <w:szCs w:val="28"/>
                <w:highlight w:val="none"/>
                <w:u w:val="none"/>
                <w:lang w:val="en-US" w:eastAsia="zh-CN" w:bidi="ar-SA"/>
              </w:rPr>
              <w:fldChar w:fldCharType="separate"/>
            </w:r>
            <w:r>
              <w:rPr>
                <w:rFonts w:hint="default" w:ascii="Times New Roman" w:hAnsi="Times New Roman" w:eastAsia="宋体" w:cs="Times New Roman"/>
                <w:b w:val="0"/>
                <w:bCs w:val="0"/>
                <w:color w:val="000000"/>
                <w:kern w:val="2"/>
                <w:sz w:val="24"/>
                <w:szCs w:val="28"/>
                <w:highlight w:val="none"/>
                <w:u w:val="none"/>
                <w:lang w:val="en-US" w:eastAsia="zh-CN" w:bidi="ar-SA"/>
              </w:rPr>
              <w:t>4.3</w:t>
            </w:r>
            <w:r>
              <w:rPr>
                <w:rFonts w:hint="default" w:ascii="Times New Roman" w:hAnsi="Times New Roman" w:eastAsia="宋体" w:cs="Times New Roman"/>
                <w:b w:val="0"/>
                <w:bCs w:val="0"/>
                <w:color w:val="000000"/>
                <w:kern w:val="2"/>
                <w:sz w:val="24"/>
                <w:szCs w:val="28"/>
                <w:highlight w:val="none"/>
                <w:u w:val="none"/>
                <w:lang w:val="en-US" w:eastAsia="zh-CN" w:bidi="ar-SA"/>
              </w:rPr>
              <w:fldChar w:fldCharType="end"/>
            </w:r>
            <w:r>
              <w:rPr>
                <w:rFonts w:hint="default" w:ascii="Times New Roman" w:hAnsi="Times New Roman" w:eastAsia="宋体" w:cs="Times New Roman"/>
                <w:b w:val="0"/>
                <w:bCs w:val="0"/>
                <w:color w:val="000000"/>
                <w:kern w:val="2"/>
                <w:sz w:val="24"/>
                <w:szCs w:val="28"/>
                <w:highlight w:val="none"/>
                <w:u w:val="none"/>
                <w:lang w:val="en-US" w:eastAsia="zh-CN" w:bidi="ar-SA"/>
              </w:rPr>
              <w:t>-7</w:t>
            </w:r>
            <w:r>
              <w:rPr>
                <w:rFonts w:hint="default" w:ascii="Times New Roman" w:hAnsi="Times New Roman" w:eastAsia="宋体" w:cs="Times New Roman"/>
                <w:b w:val="0"/>
                <w:bCs w:val="0"/>
                <w:color w:val="000000"/>
                <w:szCs w:val="28"/>
                <w:highlight w:val="none"/>
                <w:u w:val="none"/>
              </w:rPr>
              <w:fldChar w:fldCharType="end"/>
            </w:r>
            <w:r>
              <w:rPr>
                <w:rFonts w:hint="default" w:ascii="Times New Roman" w:hAnsi="Times New Roman" w:eastAsia="宋体" w:cs="Times New Roman"/>
                <w:b w:val="0"/>
                <w:bCs w:val="0"/>
                <w:color w:val="000000"/>
                <w:szCs w:val="28"/>
                <w:highlight w:val="none"/>
                <w:u w:val="none"/>
                <w:lang w:eastAsia="zh-CN"/>
              </w:rPr>
              <w:t>、</w:t>
            </w:r>
            <w:r>
              <w:rPr>
                <w:rFonts w:hint="default" w:ascii="Times New Roman" w:hAnsi="Times New Roman" w:eastAsia="宋体" w:cs="Times New Roman"/>
                <w:b w:val="0"/>
                <w:bCs w:val="0"/>
                <w:color w:val="000000"/>
                <w:szCs w:val="28"/>
                <w:highlight w:val="none"/>
                <w:u w:val="none"/>
                <w:lang w:eastAsia="zh-CN"/>
              </w:rPr>
              <w:fldChar w:fldCharType="begin"/>
            </w:r>
            <w:r>
              <w:rPr>
                <w:rFonts w:hint="default" w:ascii="Times New Roman" w:hAnsi="Times New Roman" w:eastAsia="宋体" w:cs="Times New Roman"/>
                <w:b w:val="0"/>
                <w:bCs w:val="0"/>
                <w:color w:val="000000"/>
                <w:szCs w:val="28"/>
                <w:highlight w:val="none"/>
                <w:u w:val="none"/>
                <w:lang w:eastAsia="zh-CN"/>
              </w:rPr>
              <w:instrText xml:space="preserve"> REF _Ref13154 \h </w:instrText>
            </w:r>
            <w:r>
              <w:rPr>
                <w:rFonts w:hint="default" w:ascii="Times New Roman" w:hAnsi="Times New Roman" w:eastAsia="宋体" w:cs="Times New Roman"/>
                <w:b w:val="0"/>
                <w:bCs w:val="0"/>
                <w:color w:val="000000"/>
                <w:szCs w:val="28"/>
                <w:highlight w:val="none"/>
                <w:u w:val="none"/>
                <w:lang w:eastAsia="zh-CN"/>
              </w:rPr>
              <w:fldChar w:fldCharType="separate"/>
            </w:r>
            <w:r>
              <w:rPr>
                <w:rFonts w:hint="default" w:ascii="Times New Roman" w:hAnsi="Times New Roman" w:eastAsia="宋体" w:cs="Times New Roman"/>
                <w:b w:val="0"/>
                <w:bCs w:val="0"/>
                <w:color w:val="000000"/>
                <w:kern w:val="2"/>
                <w:sz w:val="24"/>
                <w:szCs w:val="28"/>
                <w:highlight w:val="none"/>
                <w:u w:val="none"/>
                <w:lang w:val="en-US" w:eastAsia="zh-CN" w:bidi="ar-SA"/>
              </w:rPr>
              <w:t>图</w:t>
            </w:r>
            <w:r>
              <w:rPr>
                <w:rFonts w:hint="default" w:ascii="Times New Roman" w:hAnsi="Times New Roman" w:eastAsia="宋体" w:cs="Times New Roman"/>
                <w:b w:val="0"/>
                <w:bCs w:val="0"/>
                <w:color w:val="000000"/>
                <w:kern w:val="2"/>
                <w:sz w:val="24"/>
                <w:szCs w:val="28"/>
                <w:highlight w:val="none"/>
                <w:u w:val="none"/>
                <w:lang w:val="en-US" w:eastAsia="zh-CN" w:bidi="ar-SA"/>
              </w:rPr>
              <w:fldChar w:fldCharType="begin"/>
            </w:r>
            <w:r>
              <w:rPr>
                <w:rFonts w:hint="default" w:ascii="Times New Roman" w:hAnsi="Times New Roman" w:eastAsia="宋体" w:cs="Times New Roman"/>
                <w:b w:val="0"/>
                <w:bCs w:val="0"/>
                <w:color w:val="000000"/>
                <w:kern w:val="2"/>
                <w:sz w:val="24"/>
                <w:szCs w:val="28"/>
                <w:highlight w:val="none"/>
                <w:u w:val="none"/>
                <w:lang w:val="en-US" w:eastAsia="zh-CN" w:bidi="ar-SA"/>
              </w:rPr>
              <w:instrText xml:space="preserve"> STYLEREF 2 \s </w:instrText>
            </w:r>
            <w:r>
              <w:rPr>
                <w:rFonts w:hint="default" w:ascii="Times New Roman" w:hAnsi="Times New Roman" w:eastAsia="宋体" w:cs="Times New Roman"/>
                <w:b w:val="0"/>
                <w:bCs w:val="0"/>
                <w:color w:val="000000"/>
                <w:kern w:val="2"/>
                <w:sz w:val="24"/>
                <w:szCs w:val="28"/>
                <w:highlight w:val="none"/>
                <w:u w:val="none"/>
                <w:lang w:val="en-US" w:eastAsia="zh-CN" w:bidi="ar-SA"/>
              </w:rPr>
              <w:fldChar w:fldCharType="separate"/>
            </w:r>
            <w:r>
              <w:rPr>
                <w:rFonts w:hint="default" w:ascii="Times New Roman" w:hAnsi="Times New Roman" w:eastAsia="宋体" w:cs="Times New Roman"/>
                <w:b w:val="0"/>
                <w:bCs w:val="0"/>
                <w:color w:val="000000"/>
                <w:kern w:val="2"/>
                <w:sz w:val="24"/>
                <w:szCs w:val="28"/>
                <w:highlight w:val="none"/>
                <w:u w:val="none"/>
                <w:lang w:val="en-US" w:eastAsia="zh-CN" w:bidi="ar-SA"/>
              </w:rPr>
              <w:t>4.3</w:t>
            </w:r>
            <w:r>
              <w:rPr>
                <w:rFonts w:hint="default" w:ascii="Times New Roman" w:hAnsi="Times New Roman" w:eastAsia="宋体" w:cs="Times New Roman"/>
                <w:b w:val="0"/>
                <w:bCs w:val="0"/>
                <w:color w:val="000000"/>
                <w:kern w:val="2"/>
                <w:sz w:val="24"/>
                <w:szCs w:val="28"/>
                <w:highlight w:val="none"/>
                <w:u w:val="none"/>
                <w:lang w:val="en-US" w:eastAsia="zh-CN" w:bidi="ar-SA"/>
              </w:rPr>
              <w:fldChar w:fldCharType="end"/>
            </w:r>
            <w:r>
              <w:rPr>
                <w:rFonts w:hint="default" w:ascii="Times New Roman" w:hAnsi="Times New Roman" w:eastAsia="宋体" w:cs="Times New Roman"/>
                <w:b w:val="0"/>
                <w:bCs w:val="0"/>
                <w:color w:val="000000"/>
                <w:kern w:val="2"/>
                <w:sz w:val="24"/>
                <w:szCs w:val="28"/>
                <w:highlight w:val="none"/>
                <w:u w:val="none"/>
                <w:lang w:val="en-US" w:eastAsia="zh-CN" w:bidi="ar-SA"/>
              </w:rPr>
              <w:t>-8</w:t>
            </w:r>
            <w:r>
              <w:rPr>
                <w:rFonts w:hint="default" w:ascii="Times New Roman" w:hAnsi="Times New Roman" w:eastAsia="宋体" w:cs="Times New Roman"/>
                <w:b w:val="0"/>
                <w:bCs w:val="0"/>
                <w:color w:val="000000"/>
                <w:szCs w:val="28"/>
                <w:highlight w:val="none"/>
                <w:u w:val="none"/>
                <w:lang w:eastAsia="zh-CN"/>
              </w:rPr>
              <w:fldChar w:fldCharType="end"/>
            </w:r>
            <w:r>
              <w:rPr>
                <w:rFonts w:hint="default" w:ascii="Times New Roman" w:hAnsi="Times New Roman" w:eastAsia="宋体" w:cs="Times New Roman"/>
                <w:b w:val="0"/>
                <w:bCs w:val="0"/>
                <w:color w:val="000000"/>
                <w:szCs w:val="28"/>
                <w:highlight w:val="none"/>
                <w:u w:val="none"/>
              </w:rPr>
              <w:t>。</w:t>
            </w:r>
          </w:p>
          <w:p w14:paraId="1EE3DAE1">
            <w:pPr>
              <w:keepNext w:val="0"/>
              <w:keepLines w:val="0"/>
              <w:pageBreakBefore w:val="0"/>
              <w:widowControl w:val="0"/>
              <w:kinsoku/>
              <w:wordWrap/>
              <w:overflowPunct/>
              <w:topLinePunct w:val="0"/>
              <w:autoSpaceDE/>
              <w:autoSpaceDN/>
              <w:bidi w:val="0"/>
              <w:ind w:firstLine="480" w:firstLineChars="200"/>
              <w:textAlignment w:val="auto"/>
              <w:rPr>
                <w:rFonts w:hint="default" w:ascii="Times New Roman" w:hAnsi="Times New Roman" w:eastAsia="宋体" w:cs="Times New Roman"/>
                <w:color w:val="000000"/>
                <w:szCs w:val="28"/>
                <w:highlight w:val="none"/>
                <w:u w:val="none"/>
              </w:rPr>
            </w:pPr>
            <w:r>
              <w:rPr>
                <w:rFonts w:hint="default" w:ascii="Times New Roman" w:hAnsi="Times New Roman" w:eastAsia="宋体" w:cs="Times New Roman"/>
                <w:color w:val="000000"/>
                <w:szCs w:val="28"/>
                <w:highlight w:val="none"/>
                <w:u w:val="none"/>
              </w:rPr>
              <w:t>涨急时刻，计算域内的潮流流向由平潭岛东侧外海流向项目区域，主要分为两股海流，一股</w:t>
            </w:r>
            <w:r>
              <w:rPr>
                <w:rFonts w:hint="default" w:ascii="Times New Roman" w:hAnsi="Times New Roman" w:eastAsia="宋体" w:cs="Times New Roman"/>
                <w:color w:val="000000"/>
                <w:szCs w:val="28"/>
                <w:highlight w:val="none"/>
                <w:u w:val="none"/>
                <w:lang w:eastAsia="zh-CN"/>
              </w:rPr>
              <w:t>流入</w:t>
            </w:r>
            <w:r>
              <w:rPr>
                <w:rFonts w:hint="default" w:ascii="Times New Roman" w:hAnsi="Times New Roman" w:eastAsia="宋体" w:cs="Times New Roman"/>
                <w:color w:val="000000"/>
                <w:szCs w:val="28"/>
                <w:highlight w:val="none"/>
                <w:u w:val="none"/>
              </w:rPr>
              <w:t>项目区域往北继续流动，一股沿着西南岸线流入兴化湾内，潮流整体呈现西南侧流速大东北侧流速小的特征，靠近岛屿岸线附近海域受水深和地形的影响流速较大，最大流速可达140cm/s。工程附近海域流速一般在10cm/s~60cm/s之间。</w:t>
            </w:r>
          </w:p>
          <w:p w14:paraId="3B25D6A9">
            <w:pPr>
              <w:keepNext w:val="0"/>
              <w:keepLines w:val="0"/>
              <w:pageBreakBefore w:val="0"/>
              <w:widowControl w:val="0"/>
              <w:kinsoku/>
              <w:wordWrap/>
              <w:overflowPunct/>
              <w:topLinePunct w:val="0"/>
              <w:autoSpaceDE/>
              <w:autoSpaceDN/>
              <w:bidi w:val="0"/>
              <w:ind w:firstLine="480" w:firstLineChars="200"/>
              <w:textAlignment w:val="auto"/>
              <w:rPr>
                <w:rFonts w:hint="default" w:ascii="Times New Roman" w:hAnsi="Times New Roman" w:eastAsia="宋体" w:cs="Times New Roman"/>
                <w:color w:val="000000"/>
                <w:highlight w:val="none"/>
                <w:u w:val="none"/>
              </w:rPr>
            </w:pPr>
            <w:r>
              <w:rPr>
                <w:rFonts w:hint="default" w:ascii="Times New Roman" w:hAnsi="Times New Roman" w:eastAsia="宋体" w:cs="Times New Roman"/>
                <w:color w:val="000000"/>
                <w:szCs w:val="28"/>
                <w:highlight w:val="none"/>
                <w:u w:val="none"/>
              </w:rPr>
              <w:t>落急时刻，计算域内的潮流流向与涨急时刻流向相反，潮流整体依然呈现西南侧流速大东北侧流速小的特征，靠近岛屿岸线附近海域受水深和地形的影响流速较大，最大流速可达110cm/s。工程附近海域流速一般在10cm/s~60cm/s之间。</w:t>
            </w:r>
          </w:p>
          <w:p w14:paraId="3809A4EA">
            <w:pPr>
              <w:widowControl w:val="0"/>
              <w:bidi w:val="0"/>
              <w:adjustRightInd w:val="0"/>
              <w:snapToGrid w:val="0"/>
              <w:spacing w:line="240" w:lineRule="auto"/>
              <w:ind w:firstLine="0" w:firstLineChars="0"/>
              <w:jc w:val="center"/>
              <w:rPr>
                <w:rFonts w:hint="default" w:ascii="Times New Roman" w:hAnsi="Times New Roman" w:eastAsia="宋体" w:cs="Times New Roman"/>
                <w:color w:val="000000"/>
                <w:kern w:val="2"/>
                <w:sz w:val="21"/>
                <w:szCs w:val="28"/>
                <w:highlight w:val="none"/>
                <w:u w:val="none"/>
                <w:lang w:val="en-US" w:eastAsia="zh-CN" w:bidi="ar-SA"/>
              </w:rPr>
            </w:pPr>
            <w:r>
              <w:rPr>
                <w:rFonts w:hint="eastAsia" w:cs="Times New Roman"/>
                <w:color w:val="000000"/>
                <w:kern w:val="2"/>
                <w:sz w:val="21"/>
                <w:szCs w:val="28"/>
                <w:highlight w:val="none"/>
                <w:lang w:val="en-US" w:eastAsia="zh-CN" w:bidi="ar-SA"/>
              </w:rPr>
              <w:t>（涉密删除）</w:t>
            </w:r>
          </w:p>
          <w:p w14:paraId="5EDE73D9">
            <w:pPr>
              <w:widowControl w:val="0"/>
              <w:bidi w:val="0"/>
              <w:adjustRightInd w:val="0"/>
              <w:snapToGrid w:val="0"/>
              <w:spacing w:line="240" w:lineRule="auto"/>
              <w:ind w:firstLine="0" w:firstLineChars="0"/>
              <w:jc w:val="center"/>
              <w:rPr>
                <w:rFonts w:hint="default" w:ascii="Times New Roman" w:hAnsi="Times New Roman" w:eastAsia="宋体" w:cs="Times New Roman"/>
                <w:b/>
                <w:color w:val="000000"/>
                <w:kern w:val="2"/>
                <w:sz w:val="24"/>
                <w:szCs w:val="28"/>
                <w:highlight w:val="none"/>
                <w:u w:val="none"/>
                <w:lang w:val="en-US" w:eastAsia="zh-CN" w:bidi="ar-SA"/>
              </w:rPr>
            </w:pPr>
            <w:bookmarkStart w:id="305" w:name="_Ref13148"/>
            <w:r>
              <w:rPr>
                <w:rFonts w:hint="default" w:ascii="Times New Roman" w:hAnsi="Times New Roman" w:eastAsia="宋体" w:cs="Times New Roman"/>
                <w:b/>
                <w:color w:val="000000"/>
                <w:kern w:val="2"/>
                <w:sz w:val="24"/>
                <w:szCs w:val="28"/>
                <w:highlight w:val="none"/>
                <w:u w:val="none"/>
                <w:lang w:val="en-US" w:eastAsia="zh-CN" w:bidi="ar-SA"/>
              </w:rPr>
              <w:t>图</w:t>
            </w:r>
            <w:r>
              <w:rPr>
                <w:rFonts w:hint="default" w:ascii="Times New Roman" w:hAnsi="Times New Roman" w:eastAsia="宋体" w:cs="Times New Roman"/>
                <w:b/>
                <w:color w:val="000000"/>
                <w:kern w:val="2"/>
                <w:sz w:val="24"/>
                <w:szCs w:val="28"/>
                <w:highlight w:val="none"/>
                <w:u w:val="none"/>
                <w:lang w:val="en-US" w:eastAsia="zh-CN" w:bidi="ar-SA"/>
              </w:rPr>
              <w:fldChar w:fldCharType="begin"/>
            </w:r>
            <w:r>
              <w:rPr>
                <w:rFonts w:hint="default" w:ascii="Times New Roman" w:hAnsi="Times New Roman" w:eastAsia="宋体" w:cs="Times New Roman"/>
                <w:b/>
                <w:color w:val="000000"/>
                <w:kern w:val="2"/>
                <w:sz w:val="24"/>
                <w:szCs w:val="28"/>
                <w:highlight w:val="none"/>
                <w:u w:val="none"/>
                <w:lang w:val="en-US" w:eastAsia="zh-CN" w:bidi="ar-SA"/>
              </w:rPr>
              <w:instrText xml:space="preserve"> STYLEREF 2 \s </w:instrText>
            </w:r>
            <w:r>
              <w:rPr>
                <w:rFonts w:hint="default" w:ascii="Times New Roman" w:hAnsi="Times New Roman" w:eastAsia="宋体" w:cs="Times New Roman"/>
                <w:b/>
                <w:color w:val="000000"/>
                <w:kern w:val="2"/>
                <w:sz w:val="24"/>
                <w:szCs w:val="28"/>
                <w:highlight w:val="none"/>
                <w:u w:val="none"/>
                <w:lang w:val="en-US" w:eastAsia="zh-CN" w:bidi="ar-SA"/>
              </w:rPr>
              <w:fldChar w:fldCharType="separate"/>
            </w:r>
            <w:r>
              <w:rPr>
                <w:rFonts w:hint="default" w:ascii="Times New Roman" w:hAnsi="Times New Roman" w:eastAsia="宋体" w:cs="Times New Roman"/>
                <w:b/>
                <w:color w:val="000000"/>
                <w:kern w:val="2"/>
                <w:sz w:val="24"/>
                <w:szCs w:val="28"/>
                <w:highlight w:val="none"/>
                <w:u w:val="none"/>
                <w:lang w:val="en-US" w:eastAsia="zh-CN" w:bidi="ar-SA"/>
              </w:rPr>
              <w:t>4.3</w:t>
            </w:r>
            <w:r>
              <w:rPr>
                <w:rFonts w:hint="default" w:ascii="Times New Roman" w:hAnsi="Times New Roman" w:eastAsia="宋体" w:cs="Times New Roman"/>
                <w:b/>
                <w:color w:val="000000"/>
                <w:kern w:val="2"/>
                <w:sz w:val="24"/>
                <w:szCs w:val="28"/>
                <w:highlight w:val="none"/>
                <w:u w:val="none"/>
                <w:lang w:val="en-US" w:eastAsia="zh-CN" w:bidi="ar-SA"/>
              </w:rPr>
              <w:fldChar w:fldCharType="end"/>
            </w:r>
            <w:r>
              <w:rPr>
                <w:rFonts w:hint="default" w:ascii="Times New Roman" w:hAnsi="Times New Roman" w:eastAsia="宋体" w:cs="Times New Roman"/>
                <w:b/>
                <w:color w:val="000000"/>
                <w:kern w:val="2"/>
                <w:sz w:val="24"/>
                <w:szCs w:val="28"/>
                <w:highlight w:val="none"/>
                <w:u w:val="none"/>
                <w:lang w:val="en-US" w:eastAsia="zh-CN" w:bidi="ar-SA"/>
              </w:rPr>
              <w:t>-</w:t>
            </w:r>
            <w:r>
              <w:rPr>
                <w:rFonts w:hint="default" w:ascii="Times New Roman" w:hAnsi="Times New Roman" w:eastAsia="宋体" w:cs="Times New Roman"/>
                <w:b/>
                <w:color w:val="000000"/>
                <w:kern w:val="2"/>
                <w:sz w:val="24"/>
                <w:szCs w:val="28"/>
                <w:highlight w:val="none"/>
                <w:u w:val="none"/>
                <w:lang w:val="en-US" w:eastAsia="zh-CN" w:bidi="ar-SA"/>
              </w:rPr>
              <w:fldChar w:fldCharType="begin"/>
            </w:r>
            <w:r>
              <w:rPr>
                <w:rFonts w:hint="default" w:ascii="Times New Roman" w:hAnsi="Times New Roman" w:eastAsia="宋体" w:cs="Times New Roman"/>
                <w:b/>
                <w:color w:val="000000"/>
                <w:kern w:val="2"/>
                <w:sz w:val="24"/>
                <w:szCs w:val="28"/>
                <w:highlight w:val="none"/>
                <w:u w:val="none"/>
                <w:lang w:val="en-US" w:eastAsia="zh-CN" w:bidi="ar-SA"/>
              </w:rPr>
              <w:instrText xml:space="preserve"> SEQ 图 \* ARABIC \s 2 </w:instrText>
            </w:r>
            <w:r>
              <w:rPr>
                <w:rFonts w:hint="default" w:ascii="Times New Roman" w:hAnsi="Times New Roman" w:eastAsia="宋体" w:cs="Times New Roman"/>
                <w:b/>
                <w:color w:val="000000"/>
                <w:kern w:val="2"/>
                <w:sz w:val="24"/>
                <w:szCs w:val="28"/>
                <w:highlight w:val="none"/>
                <w:u w:val="none"/>
                <w:lang w:val="en-US" w:eastAsia="zh-CN" w:bidi="ar-SA"/>
              </w:rPr>
              <w:fldChar w:fldCharType="separate"/>
            </w:r>
            <w:r>
              <w:rPr>
                <w:rFonts w:hint="default" w:ascii="Times New Roman" w:hAnsi="Times New Roman" w:eastAsia="宋体" w:cs="Times New Roman"/>
                <w:b/>
                <w:color w:val="000000"/>
                <w:kern w:val="2"/>
                <w:sz w:val="24"/>
                <w:szCs w:val="28"/>
                <w:highlight w:val="none"/>
                <w:u w:val="none"/>
                <w:lang w:val="en-US" w:eastAsia="zh-CN" w:bidi="ar-SA"/>
              </w:rPr>
              <w:t>7</w:t>
            </w:r>
            <w:r>
              <w:rPr>
                <w:rFonts w:hint="default" w:ascii="Times New Roman" w:hAnsi="Times New Roman" w:eastAsia="宋体" w:cs="Times New Roman"/>
                <w:b/>
                <w:color w:val="000000"/>
                <w:kern w:val="2"/>
                <w:sz w:val="24"/>
                <w:szCs w:val="28"/>
                <w:highlight w:val="none"/>
                <w:u w:val="none"/>
                <w:lang w:val="en-US" w:eastAsia="zh-CN" w:bidi="ar-SA"/>
              </w:rPr>
              <w:fldChar w:fldCharType="end"/>
            </w:r>
            <w:bookmarkEnd w:id="305"/>
            <w:r>
              <w:rPr>
                <w:rFonts w:hint="default" w:ascii="Times New Roman" w:hAnsi="Times New Roman" w:eastAsia="宋体" w:cs="Times New Roman"/>
                <w:b/>
                <w:color w:val="000000"/>
                <w:kern w:val="2"/>
                <w:sz w:val="24"/>
                <w:szCs w:val="28"/>
                <w:highlight w:val="none"/>
                <w:u w:val="none"/>
                <w:lang w:val="en-US" w:eastAsia="zh-CN" w:bidi="ar-SA"/>
              </w:rPr>
              <w:t xml:space="preserve"> 大范围海域流场图（涨急时刻）</w:t>
            </w:r>
          </w:p>
          <w:p w14:paraId="2DEC2467">
            <w:pPr>
              <w:widowControl w:val="0"/>
              <w:bidi w:val="0"/>
              <w:adjustRightInd w:val="0"/>
              <w:snapToGrid w:val="0"/>
              <w:spacing w:line="240" w:lineRule="auto"/>
              <w:ind w:firstLine="0" w:firstLineChars="0"/>
              <w:jc w:val="center"/>
              <w:rPr>
                <w:rFonts w:hint="default" w:ascii="Times New Roman" w:hAnsi="Times New Roman" w:eastAsia="宋体" w:cs="Times New Roman"/>
                <w:color w:val="000000"/>
                <w:kern w:val="2"/>
                <w:sz w:val="21"/>
                <w:szCs w:val="28"/>
                <w:highlight w:val="none"/>
                <w:u w:val="none"/>
                <w:lang w:val="en-US" w:eastAsia="zh-CN" w:bidi="ar-SA"/>
              </w:rPr>
            </w:pPr>
            <w:r>
              <w:rPr>
                <w:rFonts w:hint="eastAsia" w:cs="Times New Roman"/>
                <w:color w:val="000000"/>
                <w:kern w:val="2"/>
                <w:sz w:val="21"/>
                <w:szCs w:val="28"/>
                <w:highlight w:val="none"/>
                <w:lang w:val="en-US" w:eastAsia="zh-CN" w:bidi="ar-SA"/>
              </w:rPr>
              <w:t>（涉密删除）</w:t>
            </w:r>
          </w:p>
          <w:p w14:paraId="287F2127">
            <w:pPr>
              <w:widowControl w:val="0"/>
              <w:bidi w:val="0"/>
              <w:adjustRightInd w:val="0"/>
              <w:snapToGrid w:val="0"/>
              <w:spacing w:line="240" w:lineRule="auto"/>
              <w:ind w:firstLine="0" w:firstLineChars="0"/>
              <w:jc w:val="center"/>
              <w:rPr>
                <w:rFonts w:hint="default" w:ascii="Times New Roman" w:hAnsi="Times New Roman" w:eastAsia="宋体" w:cs="Times New Roman"/>
                <w:b/>
                <w:color w:val="000000"/>
                <w:kern w:val="2"/>
                <w:sz w:val="24"/>
                <w:szCs w:val="28"/>
                <w:highlight w:val="none"/>
                <w:u w:val="none"/>
                <w:lang w:val="en-US" w:eastAsia="zh-CN" w:bidi="ar-SA"/>
              </w:rPr>
            </w:pPr>
            <w:bookmarkStart w:id="306" w:name="_Ref13154"/>
            <w:r>
              <w:rPr>
                <w:rFonts w:hint="default" w:ascii="Times New Roman" w:hAnsi="Times New Roman" w:eastAsia="宋体" w:cs="Times New Roman"/>
                <w:b/>
                <w:color w:val="000000"/>
                <w:kern w:val="2"/>
                <w:sz w:val="24"/>
                <w:szCs w:val="28"/>
                <w:highlight w:val="none"/>
                <w:u w:val="none"/>
                <w:lang w:val="en-US" w:eastAsia="zh-CN" w:bidi="ar-SA"/>
              </w:rPr>
              <w:t>图</w:t>
            </w:r>
            <w:r>
              <w:rPr>
                <w:rFonts w:hint="default" w:ascii="Times New Roman" w:hAnsi="Times New Roman" w:eastAsia="宋体" w:cs="Times New Roman"/>
                <w:b/>
                <w:color w:val="000000"/>
                <w:kern w:val="2"/>
                <w:sz w:val="24"/>
                <w:szCs w:val="28"/>
                <w:highlight w:val="none"/>
                <w:u w:val="none"/>
                <w:lang w:val="en-US" w:eastAsia="zh-CN" w:bidi="ar-SA"/>
              </w:rPr>
              <w:fldChar w:fldCharType="begin"/>
            </w:r>
            <w:r>
              <w:rPr>
                <w:rFonts w:hint="default" w:ascii="Times New Roman" w:hAnsi="Times New Roman" w:eastAsia="宋体" w:cs="Times New Roman"/>
                <w:b/>
                <w:color w:val="000000"/>
                <w:kern w:val="2"/>
                <w:sz w:val="24"/>
                <w:szCs w:val="28"/>
                <w:highlight w:val="none"/>
                <w:u w:val="none"/>
                <w:lang w:val="en-US" w:eastAsia="zh-CN" w:bidi="ar-SA"/>
              </w:rPr>
              <w:instrText xml:space="preserve"> STYLEREF 2 \s </w:instrText>
            </w:r>
            <w:r>
              <w:rPr>
                <w:rFonts w:hint="default" w:ascii="Times New Roman" w:hAnsi="Times New Roman" w:eastAsia="宋体" w:cs="Times New Roman"/>
                <w:b/>
                <w:color w:val="000000"/>
                <w:kern w:val="2"/>
                <w:sz w:val="24"/>
                <w:szCs w:val="28"/>
                <w:highlight w:val="none"/>
                <w:u w:val="none"/>
                <w:lang w:val="en-US" w:eastAsia="zh-CN" w:bidi="ar-SA"/>
              </w:rPr>
              <w:fldChar w:fldCharType="separate"/>
            </w:r>
            <w:r>
              <w:rPr>
                <w:rFonts w:hint="default" w:ascii="Times New Roman" w:hAnsi="Times New Roman" w:eastAsia="宋体" w:cs="Times New Roman"/>
                <w:b/>
                <w:color w:val="000000"/>
                <w:kern w:val="2"/>
                <w:sz w:val="24"/>
                <w:szCs w:val="28"/>
                <w:highlight w:val="none"/>
                <w:u w:val="none"/>
                <w:lang w:val="en-US" w:eastAsia="zh-CN" w:bidi="ar-SA"/>
              </w:rPr>
              <w:t>4.3</w:t>
            </w:r>
            <w:r>
              <w:rPr>
                <w:rFonts w:hint="default" w:ascii="Times New Roman" w:hAnsi="Times New Roman" w:eastAsia="宋体" w:cs="Times New Roman"/>
                <w:b/>
                <w:color w:val="000000"/>
                <w:kern w:val="2"/>
                <w:sz w:val="24"/>
                <w:szCs w:val="28"/>
                <w:highlight w:val="none"/>
                <w:u w:val="none"/>
                <w:lang w:val="en-US" w:eastAsia="zh-CN" w:bidi="ar-SA"/>
              </w:rPr>
              <w:fldChar w:fldCharType="end"/>
            </w:r>
            <w:r>
              <w:rPr>
                <w:rFonts w:hint="default" w:ascii="Times New Roman" w:hAnsi="Times New Roman" w:eastAsia="宋体" w:cs="Times New Roman"/>
                <w:b/>
                <w:color w:val="000000"/>
                <w:kern w:val="2"/>
                <w:sz w:val="24"/>
                <w:szCs w:val="28"/>
                <w:highlight w:val="none"/>
                <w:u w:val="none"/>
                <w:lang w:val="en-US" w:eastAsia="zh-CN" w:bidi="ar-SA"/>
              </w:rPr>
              <w:t>-</w:t>
            </w:r>
            <w:r>
              <w:rPr>
                <w:rFonts w:hint="default" w:ascii="Times New Roman" w:hAnsi="Times New Roman" w:eastAsia="宋体" w:cs="Times New Roman"/>
                <w:b/>
                <w:color w:val="000000"/>
                <w:kern w:val="2"/>
                <w:sz w:val="24"/>
                <w:szCs w:val="28"/>
                <w:highlight w:val="none"/>
                <w:u w:val="none"/>
                <w:lang w:val="en-US" w:eastAsia="zh-CN" w:bidi="ar-SA"/>
              </w:rPr>
              <w:fldChar w:fldCharType="begin"/>
            </w:r>
            <w:r>
              <w:rPr>
                <w:rFonts w:hint="default" w:ascii="Times New Roman" w:hAnsi="Times New Roman" w:eastAsia="宋体" w:cs="Times New Roman"/>
                <w:b/>
                <w:color w:val="000000"/>
                <w:kern w:val="2"/>
                <w:sz w:val="24"/>
                <w:szCs w:val="28"/>
                <w:highlight w:val="none"/>
                <w:u w:val="none"/>
                <w:lang w:val="en-US" w:eastAsia="zh-CN" w:bidi="ar-SA"/>
              </w:rPr>
              <w:instrText xml:space="preserve"> SEQ 图 \* ARABIC \s 2 </w:instrText>
            </w:r>
            <w:r>
              <w:rPr>
                <w:rFonts w:hint="default" w:ascii="Times New Roman" w:hAnsi="Times New Roman" w:eastAsia="宋体" w:cs="Times New Roman"/>
                <w:b/>
                <w:color w:val="000000"/>
                <w:kern w:val="2"/>
                <w:sz w:val="24"/>
                <w:szCs w:val="28"/>
                <w:highlight w:val="none"/>
                <w:u w:val="none"/>
                <w:lang w:val="en-US" w:eastAsia="zh-CN" w:bidi="ar-SA"/>
              </w:rPr>
              <w:fldChar w:fldCharType="separate"/>
            </w:r>
            <w:r>
              <w:rPr>
                <w:rFonts w:hint="default" w:ascii="Times New Roman" w:hAnsi="Times New Roman" w:eastAsia="宋体" w:cs="Times New Roman"/>
                <w:b/>
                <w:color w:val="000000"/>
                <w:kern w:val="2"/>
                <w:sz w:val="24"/>
                <w:szCs w:val="28"/>
                <w:highlight w:val="none"/>
                <w:u w:val="none"/>
                <w:lang w:val="en-US" w:eastAsia="zh-CN" w:bidi="ar-SA"/>
              </w:rPr>
              <w:t>8</w:t>
            </w:r>
            <w:r>
              <w:rPr>
                <w:rFonts w:hint="default" w:ascii="Times New Roman" w:hAnsi="Times New Roman" w:eastAsia="宋体" w:cs="Times New Roman"/>
                <w:b/>
                <w:color w:val="000000"/>
                <w:kern w:val="2"/>
                <w:sz w:val="24"/>
                <w:szCs w:val="28"/>
                <w:highlight w:val="none"/>
                <w:u w:val="none"/>
                <w:lang w:val="en-US" w:eastAsia="zh-CN" w:bidi="ar-SA"/>
              </w:rPr>
              <w:fldChar w:fldCharType="end"/>
            </w:r>
            <w:bookmarkEnd w:id="306"/>
            <w:r>
              <w:rPr>
                <w:rFonts w:hint="default" w:ascii="Times New Roman" w:hAnsi="Times New Roman" w:eastAsia="宋体" w:cs="Times New Roman"/>
                <w:b/>
                <w:color w:val="000000"/>
                <w:kern w:val="2"/>
                <w:sz w:val="24"/>
                <w:szCs w:val="28"/>
                <w:highlight w:val="none"/>
                <w:u w:val="none"/>
                <w:lang w:val="en-US" w:eastAsia="zh-CN" w:bidi="ar-SA"/>
              </w:rPr>
              <w:t xml:space="preserve"> 大范围海域流场图（落急时刻）</w:t>
            </w:r>
          </w:p>
          <w:p w14:paraId="7EF49DC9">
            <w:pPr>
              <w:keepNext w:val="0"/>
              <w:keepLines w:val="0"/>
              <w:pageBreakBefore w:val="0"/>
              <w:widowControl w:val="0"/>
              <w:kinsoku/>
              <w:wordWrap/>
              <w:overflowPunct/>
              <w:topLinePunct w:val="0"/>
              <w:autoSpaceDE/>
              <w:autoSpaceDN/>
              <w:bidi w:val="0"/>
              <w:adjustRightInd/>
              <w:snapToGrid/>
              <w:ind w:firstLine="480"/>
              <w:textAlignment w:val="auto"/>
              <w:rPr>
                <w:rFonts w:hint="default" w:ascii="Times New Roman" w:hAnsi="Times New Roman" w:eastAsia="宋体" w:cs="Times New Roman"/>
                <w:b/>
                <w:bCs/>
                <w:color w:val="000000"/>
                <w:szCs w:val="28"/>
                <w:highlight w:val="none"/>
                <w:u w:val="none"/>
              </w:rPr>
            </w:pPr>
            <w:r>
              <w:rPr>
                <w:rFonts w:hint="default" w:ascii="Times New Roman" w:hAnsi="Times New Roman" w:eastAsia="宋体" w:cs="Times New Roman"/>
                <w:b/>
                <w:bCs/>
                <w:color w:val="000000"/>
                <w:szCs w:val="28"/>
                <w:highlight w:val="none"/>
                <w:u w:val="none"/>
                <w:lang w:eastAsia="zh-CN"/>
              </w:rPr>
              <w:t>（</w:t>
            </w:r>
            <w:r>
              <w:rPr>
                <w:rFonts w:hint="default" w:ascii="Times New Roman" w:hAnsi="Times New Roman" w:eastAsia="宋体" w:cs="Times New Roman"/>
                <w:b/>
                <w:bCs/>
                <w:color w:val="000000"/>
                <w:szCs w:val="28"/>
                <w:highlight w:val="none"/>
                <w:u w:val="none"/>
                <w:lang w:val="en-US" w:eastAsia="zh-CN"/>
              </w:rPr>
              <w:t>2</w:t>
            </w:r>
            <w:r>
              <w:rPr>
                <w:rFonts w:hint="default" w:ascii="Times New Roman" w:hAnsi="Times New Roman" w:eastAsia="宋体" w:cs="Times New Roman"/>
                <w:b/>
                <w:bCs/>
                <w:color w:val="000000"/>
                <w:szCs w:val="28"/>
                <w:highlight w:val="none"/>
                <w:u w:val="none"/>
                <w:lang w:eastAsia="zh-CN"/>
              </w:rPr>
              <w:t>）</w:t>
            </w:r>
            <w:r>
              <w:rPr>
                <w:rFonts w:hint="default" w:ascii="Times New Roman" w:hAnsi="Times New Roman" w:eastAsia="宋体" w:cs="Times New Roman"/>
                <w:b/>
                <w:bCs/>
                <w:color w:val="000000"/>
                <w:szCs w:val="28"/>
                <w:highlight w:val="none"/>
                <w:u w:val="none"/>
              </w:rPr>
              <w:t>工程海域潮流场计算结果分析</w:t>
            </w:r>
          </w:p>
          <w:p w14:paraId="06B9EF5A">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b w:val="0"/>
                <w:bCs w:val="0"/>
                <w:color w:val="000000"/>
                <w:szCs w:val="28"/>
                <w:highlight w:val="none"/>
                <w:u w:val="none"/>
                <w:lang w:eastAsia="zh-CN"/>
              </w:rPr>
            </w:pPr>
            <w:r>
              <w:rPr>
                <w:rFonts w:hint="default" w:ascii="Times New Roman" w:hAnsi="Times New Roman" w:eastAsia="宋体" w:cs="Times New Roman"/>
                <w:b w:val="0"/>
                <w:bCs w:val="0"/>
                <w:color w:val="000000"/>
                <w:szCs w:val="28"/>
                <w:highlight w:val="none"/>
                <w:u w:val="none"/>
              </w:rPr>
              <w:fldChar w:fldCharType="begin"/>
            </w:r>
            <w:r>
              <w:rPr>
                <w:rFonts w:hint="default" w:ascii="Times New Roman" w:hAnsi="Times New Roman" w:eastAsia="宋体" w:cs="Times New Roman"/>
                <w:b w:val="0"/>
                <w:bCs w:val="0"/>
                <w:color w:val="000000"/>
                <w:szCs w:val="28"/>
                <w:highlight w:val="none"/>
                <w:u w:val="none"/>
              </w:rPr>
              <w:instrText xml:space="preserve"> REF _Ref13412 \h </w:instrText>
            </w:r>
            <w:r>
              <w:rPr>
                <w:rFonts w:hint="default" w:ascii="Times New Roman" w:hAnsi="Times New Roman" w:eastAsia="宋体" w:cs="Times New Roman"/>
                <w:b w:val="0"/>
                <w:bCs w:val="0"/>
                <w:color w:val="000000"/>
                <w:szCs w:val="28"/>
                <w:highlight w:val="none"/>
                <w:u w:val="none"/>
              </w:rPr>
              <w:fldChar w:fldCharType="separate"/>
            </w:r>
            <w:r>
              <w:rPr>
                <w:rFonts w:hint="default" w:ascii="Times New Roman" w:hAnsi="Times New Roman" w:eastAsia="宋体" w:cs="Times New Roman"/>
                <w:b w:val="0"/>
                <w:bCs w:val="0"/>
                <w:color w:val="000000"/>
                <w:kern w:val="2"/>
                <w:sz w:val="24"/>
                <w:szCs w:val="28"/>
                <w:highlight w:val="none"/>
                <w:u w:val="none"/>
                <w:lang w:val="en-US" w:eastAsia="zh-CN" w:bidi="ar-SA"/>
              </w:rPr>
              <w:t>图</w:t>
            </w:r>
            <w:r>
              <w:rPr>
                <w:rFonts w:hint="default" w:ascii="Times New Roman" w:hAnsi="Times New Roman" w:eastAsia="宋体" w:cs="Times New Roman"/>
                <w:b w:val="0"/>
                <w:bCs w:val="0"/>
                <w:color w:val="000000"/>
                <w:kern w:val="2"/>
                <w:sz w:val="24"/>
                <w:szCs w:val="28"/>
                <w:highlight w:val="none"/>
                <w:u w:val="none"/>
                <w:lang w:val="en-US" w:eastAsia="zh-CN" w:bidi="ar-SA"/>
              </w:rPr>
              <w:fldChar w:fldCharType="begin"/>
            </w:r>
            <w:r>
              <w:rPr>
                <w:rFonts w:hint="default" w:ascii="Times New Roman" w:hAnsi="Times New Roman" w:eastAsia="宋体" w:cs="Times New Roman"/>
                <w:b w:val="0"/>
                <w:bCs w:val="0"/>
                <w:color w:val="000000"/>
                <w:kern w:val="2"/>
                <w:sz w:val="24"/>
                <w:szCs w:val="28"/>
                <w:highlight w:val="none"/>
                <w:u w:val="none"/>
                <w:lang w:val="en-US" w:eastAsia="zh-CN" w:bidi="ar-SA"/>
              </w:rPr>
              <w:instrText xml:space="preserve"> STYLEREF 2 \s </w:instrText>
            </w:r>
            <w:r>
              <w:rPr>
                <w:rFonts w:hint="default" w:ascii="Times New Roman" w:hAnsi="Times New Roman" w:eastAsia="宋体" w:cs="Times New Roman"/>
                <w:b w:val="0"/>
                <w:bCs w:val="0"/>
                <w:color w:val="000000"/>
                <w:kern w:val="2"/>
                <w:sz w:val="24"/>
                <w:szCs w:val="28"/>
                <w:highlight w:val="none"/>
                <w:u w:val="none"/>
                <w:lang w:val="en-US" w:eastAsia="zh-CN" w:bidi="ar-SA"/>
              </w:rPr>
              <w:fldChar w:fldCharType="separate"/>
            </w:r>
            <w:r>
              <w:rPr>
                <w:rFonts w:hint="default" w:ascii="Times New Roman" w:hAnsi="Times New Roman" w:eastAsia="宋体" w:cs="Times New Roman"/>
                <w:b w:val="0"/>
                <w:bCs w:val="0"/>
                <w:color w:val="000000"/>
                <w:kern w:val="2"/>
                <w:sz w:val="24"/>
                <w:szCs w:val="28"/>
                <w:highlight w:val="none"/>
                <w:u w:val="none"/>
                <w:lang w:val="en-US" w:eastAsia="zh-CN" w:bidi="ar-SA"/>
              </w:rPr>
              <w:t>4.3</w:t>
            </w:r>
            <w:r>
              <w:rPr>
                <w:rFonts w:hint="default" w:ascii="Times New Roman" w:hAnsi="Times New Roman" w:eastAsia="宋体" w:cs="Times New Roman"/>
                <w:b w:val="0"/>
                <w:bCs w:val="0"/>
                <w:color w:val="000000"/>
                <w:kern w:val="2"/>
                <w:sz w:val="24"/>
                <w:szCs w:val="28"/>
                <w:highlight w:val="none"/>
                <w:u w:val="none"/>
                <w:lang w:val="en-US" w:eastAsia="zh-CN" w:bidi="ar-SA"/>
              </w:rPr>
              <w:fldChar w:fldCharType="end"/>
            </w:r>
            <w:r>
              <w:rPr>
                <w:rFonts w:hint="default" w:ascii="Times New Roman" w:hAnsi="Times New Roman" w:eastAsia="宋体" w:cs="Times New Roman"/>
                <w:b w:val="0"/>
                <w:bCs w:val="0"/>
                <w:color w:val="000000"/>
                <w:kern w:val="2"/>
                <w:sz w:val="24"/>
                <w:szCs w:val="28"/>
                <w:highlight w:val="none"/>
                <w:u w:val="none"/>
                <w:lang w:val="en-US" w:eastAsia="zh-CN" w:bidi="ar-SA"/>
              </w:rPr>
              <w:t>-9</w:t>
            </w:r>
            <w:r>
              <w:rPr>
                <w:rFonts w:hint="default" w:ascii="Times New Roman" w:hAnsi="Times New Roman" w:eastAsia="宋体" w:cs="Times New Roman"/>
                <w:b w:val="0"/>
                <w:bCs w:val="0"/>
                <w:color w:val="000000"/>
                <w:szCs w:val="28"/>
                <w:highlight w:val="none"/>
                <w:u w:val="none"/>
              </w:rPr>
              <w:fldChar w:fldCharType="end"/>
            </w:r>
            <w:r>
              <w:rPr>
                <w:rFonts w:hint="default" w:ascii="Times New Roman" w:hAnsi="Times New Roman" w:eastAsia="宋体" w:cs="Times New Roman"/>
                <w:b w:val="0"/>
                <w:bCs w:val="0"/>
                <w:color w:val="000000"/>
                <w:szCs w:val="28"/>
                <w:highlight w:val="none"/>
                <w:u w:val="none"/>
                <w:lang w:eastAsia="zh-CN"/>
              </w:rPr>
              <w:t>、</w:t>
            </w:r>
            <w:r>
              <w:rPr>
                <w:rFonts w:hint="default" w:ascii="Times New Roman" w:hAnsi="Times New Roman" w:eastAsia="宋体" w:cs="Times New Roman"/>
                <w:b w:val="0"/>
                <w:bCs w:val="0"/>
                <w:color w:val="000000"/>
                <w:szCs w:val="28"/>
                <w:highlight w:val="none"/>
                <w:u w:val="none"/>
                <w:lang w:eastAsia="zh-CN"/>
              </w:rPr>
              <w:fldChar w:fldCharType="begin"/>
            </w:r>
            <w:r>
              <w:rPr>
                <w:rFonts w:hint="default" w:ascii="Times New Roman" w:hAnsi="Times New Roman" w:eastAsia="宋体" w:cs="Times New Roman"/>
                <w:b w:val="0"/>
                <w:bCs w:val="0"/>
                <w:color w:val="000000"/>
                <w:szCs w:val="28"/>
                <w:highlight w:val="none"/>
                <w:u w:val="none"/>
                <w:lang w:eastAsia="zh-CN"/>
              </w:rPr>
              <w:instrText xml:space="preserve"> REF _Ref13416 \h </w:instrText>
            </w:r>
            <w:r>
              <w:rPr>
                <w:rFonts w:hint="default" w:ascii="Times New Roman" w:hAnsi="Times New Roman" w:eastAsia="宋体" w:cs="Times New Roman"/>
                <w:b w:val="0"/>
                <w:bCs w:val="0"/>
                <w:color w:val="000000"/>
                <w:szCs w:val="28"/>
                <w:highlight w:val="none"/>
                <w:u w:val="none"/>
                <w:lang w:eastAsia="zh-CN"/>
              </w:rPr>
              <w:fldChar w:fldCharType="separate"/>
            </w:r>
            <w:r>
              <w:rPr>
                <w:rFonts w:hint="default" w:ascii="Times New Roman" w:hAnsi="Times New Roman" w:eastAsia="宋体" w:cs="Times New Roman"/>
                <w:b w:val="0"/>
                <w:bCs w:val="0"/>
                <w:color w:val="000000"/>
                <w:kern w:val="2"/>
                <w:sz w:val="24"/>
                <w:szCs w:val="28"/>
                <w:highlight w:val="none"/>
                <w:u w:val="none"/>
                <w:lang w:val="en-US" w:eastAsia="zh-CN" w:bidi="ar-SA"/>
              </w:rPr>
              <w:t>图</w:t>
            </w:r>
            <w:r>
              <w:rPr>
                <w:rFonts w:hint="default" w:ascii="Times New Roman" w:hAnsi="Times New Roman" w:eastAsia="宋体" w:cs="Times New Roman"/>
                <w:b w:val="0"/>
                <w:bCs w:val="0"/>
                <w:color w:val="000000"/>
                <w:kern w:val="2"/>
                <w:sz w:val="24"/>
                <w:szCs w:val="28"/>
                <w:highlight w:val="none"/>
                <w:u w:val="none"/>
                <w:lang w:val="en-US" w:eastAsia="zh-CN" w:bidi="ar-SA"/>
              </w:rPr>
              <w:fldChar w:fldCharType="begin"/>
            </w:r>
            <w:r>
              <w:rPr>
                <w:rFonts w:hint="default" w:ascii="Times New Roman" w:hAnsi="Times New Roman" w:eastAsia="宋体" w:cs="Times New Roman"/>
                <w:b w:val="0"/>
                <w:bCs w:val="0"/>
                <w:color w:val="000000"/>
                <w:kern w:val="2"/>
                <w:sz w:val="24"/>
                <w:szCs w:val="28"/>
                <w:highlight w:val="none"/>
                <w:u w:val="none"/>
                <w:lang w:val="en-US" w:eastAsia="zh-CN" w:bidi="ar-SA"/>
              </w:rPr>
              <w:instrText xml:space="preserve"> STYLEREF 2 \s </w:instrText>
            </w:r>
            <w:r>
              <w:rPr>
                <w:rFonts w:hint="default" w:ascii="Times New Roman" w:hAnsi="Times New Roman" w:eastAsia="宋体" w:cs="Times New Roman"/>
                <w:b w:val="0"/>
                <w:bCs w:val="0"/>
                <w:color w:val="000000"/>
                <w:kern w:val="2"/>
                <w:sz w:val="24"/>
                <w:szCs w:val="28"/>
                <w:highlight w:val="none"/>
                <w:u w:val="none"/>
                <w:lang w:val="en-US" w:eastAsia="zh-CN" w:bidi="ar-SA"/>
              </w:rPr>
              <w:fldChar w:fldCharType="separate"/>
            </w:r>
            <w:r>
              <w:rPr>
                <w:rFonts w:hint="default" w:ascii="Times New Roman" w:hAnsi="Times New Roman" w:eastAsia="宋体" w:cs="Times New Roman"/>
                <w:b w:val="0"/>
                <w:bCs w:val="0"/>
                <w:color w:val="000000"/>
                <w:kern w:val="2"/>
                <w:sz w:val="24"/>
                <w:szCs w:val="28"/>
                <w:highlight w:val="none"/>
                <w:u w:val="none"/>
                <w:lang w:val="en-US" w:eastAsia="zh-CN" w:bidi="ar-SA"/>
              </w:rPr>
              <w:t>4.3</w:t>
            </w:r>
            <w:r>
              <w:rPr>
                <w:rFonts w:hint="default" w:ascii="Times New Roman" w:hAnsi="Times New Roman" w:eastAsia="宋体" w:cs="Times New Roman"/>
                <w:b w:val="0"/>
                <w:bCs w:val="0"/>
                <w:color w:val="000000"/>
                <w:kern w:val="2"/>
                <w:sz w:val="24"/>
                <w:szCs w:val="28"/>
                <w:highlight w:val="none"/>
                <w:u w:val="none"/>
                <w:lang w:val="en-US" w:eastAsia="zh-CN" w:bidi="ar-SA"/>
              </w:rPr>
              <w:fldChar w:fldCharType="end"/>
            </w:r>
            <w:r>
              <w:rPr>
                <w:rFonts w:hint="default" w:ascii="Times New Roman" w:hAnsi="Times New Roman" w:eastAsia="宋体" w:cs="Times New Roman"/>
                <w:b w:val="0"/>
                <w:bCs w:val="0"/>
                <w:color w:val="000000"/>
                <w:kern w:val="2"/>
                <w:sz w:val="24"/>
                <w:szCs w:val="28"/>
                <w:highlight w:val="none"/>
                <w:u w:val="none"/>
                <w:lang w:val="en-US" w:eastAsia="zh-CN" w:bidi="ar-SA"/>
              </w:rPr>
              <w:t>-10</w:t>
            </w:r>
            <w:r>
              <w:rPr>
                <w:rFonts w:hint="default" w:ascii="Times New Roman" w:hAnsi="Times New Roman" w:eastAsia="宋体" w:cs="Times New Roman"/>
                <w:b w:val="0"/>
                <w:bCs w:val="0"/>
                <w:color w:val="000000"/>
                <w:szCs w:val="28"/>
                <w:highlight w:val="none"/>
                <w:u w:val="none"/>
                <w:lang w:eastAsia="zh-CN"/>
              </w:rPr>
              <w:fldChar w:fldCharType="end"/>
            </w:r>
            <w:r>
              <w:rPr>
                <w:rFonts w:hint="default" w:ascii="Times New Roman" w:hAnsi="Times New Roman" w:eastAsia="宋体" w:cs="Times New Roman"/>
                <w:b w:val="0"/>
                <w:bCs w:val="0"/>
                <w:color w:val="000000"/>
                <w:szCs w:val="28"/>
                <w:highlight w:val="none"/>
                <w:u w:val="none"/>
              </w:rPr>
              <w:t>分别为工程海域工程前涨、落急时刻流场图。由图可知</w:t>
            </w:r>
            <w:r>
              <w:rPr>
                <w:rFonts w:hint="default" w:ascii="Times New Roman" w:hAnsi="Times New Roman" w:eastAsia="宋体" w:cs="Times New Roman"/>
                <w:b w:val="0"/>
                <w:bCs w:val="0"/>
                <w:color w:val="000000"/>
                <w:szCs w:val="28"/>
                <w:highlight w:val="none"/>
                <w:u w:val="none"/>
                <w:lang w:eastAsia="zh-CN"/>
              </w:rPr>
              <w:t>：</w:t>
            </w:r>
          </w:p>
          <w:p w14:paraId="534BDEDB">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b w:val="0"/>
                <w:bCs w:val="0"/>
                <w:color w:val="000000"/>
                <w:szCs w:val="28"/>
                <w:highlight w:val="none"/>
                <w:u w:val="none"/>
              </w:rPr>
            </w:pPr>
            <w:r>
              <w:rPr>
                <w:rFonts w:hint="default" w:ascii="Times New Roman" w:hAnsi="Times New Roman" w:eastAsia="宋体" w:cs="Times New Roman"/>
                <w:b w:val="0"/>
                <w:bCs w:val="0"/>
                <w:color w:val="000000"/>
                <w:szCs w:val="28"/>
                <w:highlight w:val="none"/>
                <w:u w:val="none"/>
              </w:rPr>
              <w:t>涨急时刻，项目区工程附近海域潮流总体由北侧流向南侧，靠近项目区内侧附近海域流速较小，普遍不超过20cm/s，靠近项目区外侧海域流速相对较大，平均流速可超30cm/s。</w:t>
            </w:r>
          </w:p>
          <w:p w14:paraId="552F08FF">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highlight w:val="none"/>
                <w:u w:val="none"/>
              </w:rPr>
            </w:pPr>
            <w:r>
              <w:rPr>
                <w:rFonts w:hint="default" w:ascii="Times New Roman" w:hAnsi="Times New Roman" w:eastAsia="宋体" w:cs="Times New Roman"/>
                <w:b w:val="0"/>
                <w:bCs w:val="0"/>
                <w:color w:val="000000"/>
                <w:szCs w:val="28"/>
                <w:highlight w:val="none"/>
                <w:u w:val="none"/>
              </w:rPr>
              <w:t>落急时刻，工程附近潮流由项目区南侧流向北侧，流速分布也呈现项目区近岸区域流速偏小，项目区外侧海域流速偏大的趋势。整体来说，涨急时刻流速略大于落急时刻流速，项目区外侧海域流速大于项目区内侧海域流速。</w:t>
            </w:r>
          </w:p>
          <w:p w14:paraId="684C583A">
            <w:pPr>
              <w:widowControl w:val="0"/>
              <w:bidi w:val="0"/>
              <w:adjustRightInd w:val="0"/>
              <w:snapToGrid w:val="0"/>
              <w:spacing w:line="240" w:lineRule="auto"/>
              <w:ind w:firstLine="0" w:firstLineChars="0"/>
              <w:jc w:val="center"/>
              <w:rPr>
                <w:rFonts w:hint="eastAsia" w:cs="Times New Roman"/>
                <w:color w:val="000000"/>
                <w:kern w:val="2"/>
                <w:sz w:val="21"/>
                <w:szCs w:val="28"/>
                <w:highlight w:val="none"/>
                <w:lang w:val="en-US" w:eastAsia="zh-CN" w:bidi="ar-SA"/>
              </w:rPr>
            </w:pPr>
          </w:p>
          <w:p w14:paraId="2BB4C91C">
            <w:pPr>
              <w:widowControl w:val="0"/>
              <w:bidi w:val="0"/>
              <w:adjustRightInd w:val="0"/>
              <w:snapToGrid w:val="0"/>
              <w:spacing w:line="240" w:lineRule="auto"/>
              <w:ind w:firstLine="0" w:firstLineChars="0"/>
              <w:jc w:val="center"/>
              <w:rPr>
                <w:rFonts w:hint="default" w:ascii="Times New Roman" w:hAnsi="Times New Roman" w:eastAsia="宋体" w:cs="Times New Roman"/>
                <w:color w:val="000000"/>
                <w:kern w:val="2"/>
                <w:sz w:val="21"/>
                <w:szCs w:val="28"/>
                <w:highlight w:val="none"/>
                <w:u w:val="none"/>
                <w:lang w:val="en-US" w:eastAsia="zh-CN" w:bidi="ar-SA"/>
              </w:rPr>
            </w:pPr>
            <w:r>
              <w:rPr>
                <w:rFonts w:hint="eastAsia" w:cs="Times New Roman"/>
                <w:color w:val="000000"/>
                <w:kern w:val="2"/>
                <w:sz w:val="21"/>
                <w:szCs w:val="28"/>
                <w:highlight w:val="none"/>
                <w:lang w:val="en-US" w:eastAsia="zh-CN" w:bidi="ar-SA"/>
              </w:rPr>
              <w:t>（涉密删除）</w:t>
            </w:r>
          </w:p>
          <w:p w14:paraId="1C1C3FA1">
            <w:pPr>
              <w:widowControl w:val="0"/>
              <w:bidi w:val="0"/>
              <w:adjustRightInd w:val="0"/>
              <w:snapToGrid w:val="0"/>
              <w:spacing w:line="240" w:lineRule="auto"/>
              <w:ind w:firstLine="0" w:firstLineChars="0"/>
              <w:jc w:val="center"/>
              <w:rPr>
                <w:rFonts w:hint="default" w:ascii="Times New Roman" w:hAnsi="Times New Roman" w:eastAsia="宋体" w:cs="Times New Roman"/>
                <w:b/>
                <w:color w:val="000000"/>
                <w:kern w:val="2"/>
                <w:sz w:val="24"/>
                <w:szCs w:val="28"/>
                <w:highlight w:val="none"/>
                <w:u w:val="none"/>
                <w:lang w:val="en-US" w:eastAsia="zh-CN" w:bidi="ar-SA"/>
              </w:rPr>
            </w:pPr>
            <w:bookmarkStart w:id="307" w:name="_Ref13412"/>
            <w:r>
              <w:rPr>
                <w:rFonts w:hint="default" w:ascii="Times New Roman" w:hAnsi="Times New Roman" w:eastAsia="宋体" w:cs="Times New Roman"/>
                <w:b/>
                <w:color w:val="000000"/>
                <w:kern w:val="2"/>
                <w:sz w:val="24"/>
                <w:szCs w:val="28"/>
                <w:highlight w:val="none"/>
                <w:u w:val="none"/>
                <w:lang w:val="en-US" w:eastAsia="zh-CN" w:bidi="ar-SA"/>
              </w:rPr>
              <w:t>图</w:t>
            </w:r>
            <w:r>
              <w:rPr>
                <w:rFonts w:hint="default" w:ascii="Times New Roman" w:hAnsi="Times New Roman" w:eastAsia="宋体" w:cs="Times New Roman"/>
                <w:b/>
                <w:color w:val="000000"/>
                <w:kern w:val="2"/>
                <w:sz w:val="24"/>
                <w:szCs w:val="28"/>
                <w:highlight w:val="none"/>
                <w:u w:val="none"/>
                <w:lang w:val="en-US" w:eastAsia="zh-CN" w:bidi="ar-SA"/>
              </w:rPr>
              <w:fldChar w:fldCharType="begin"/>
            </w:r>
            <w:r>
              <w:rPr>
                <w:rFonts w:hint="default" w:ascii="Times New Roman" w:hAnsi="Times New Roman" w:eastAsia="宋体" w:cs="Times New Roman"/>
                <w:b/>
                <w:color w:val="000000"/>
                <w:kern w:val="2"/>
                <w:sz w:val="24"/>
                <w:szCs w:val="28"/>
                <w:highlight w:val="none"/>
                <w:u w:val="none"/>
                <w:lang w:val="en-US" w:eastAsia="zh-CN" w:bidi="ar-SA"/>
              </w:rPr>
              <w:instrText xml:space="preserve"> STYLEREF 2 \s </w:instrText>
            </w:r>
            <w:r>
              <w:rPr>
                <w:rFonts w:hint="default" w:ascii="Times New Roman" w:hAnsi="Times New Roman" w:eastAsia="宋体" w:cs="Times New Roman"/>
                <w:b/>
                <w:color w:val="000000"/>
                <w:kern w:val="2"/>
                <w:sz w:val="24"/>
                <w:szCs w:val="28"/>
                <w:highlight w:val="none"/>
                <w:u w:val="none"/>
                <w:lang w:val="en-US" w:eastAsia="zh-CN" w:bidi="ar-SA"/>
              </w:rPr>
              <w:fldChar w:fldCharType="separate"/>
            </w:r>
            <w:r>
              <w:rPr>
                <w:rFonts w:hint="default" w:ascii="Times New Roman" w:hAnsi="Times New Roman" w:eastAsia="宋体" w:cs="Times New Roman"/>
                <w:b/>
                <w:color w:val="000000"/>
                <w:kern w:val="2"/>
                <w:sz w:val="24"/>
                <w:szCs w:val="28"/>
                <w:highlight w:val="none"/>
                <w:u w:val="none"/>
                <w:lang w:val="en-US" w:eastAsia="zh-CN" w:bidi="ar-SA"/>
              </w:rPr>
              <w:t>4.3</w:t>
            </w:r>
            <w:r>
              <w:rPr>
                <w:rFonts w:hint="default" w:ascii="Times New Roman" w:hAnsi="Times New Roman" w:eastAsia="宋体" w:cs="Times New Roman"/>
                <w:b/>
                <w:color w:val="000000"/>
                <w:kern w:val="2"/>
                <w:sz w:val="24"/>
                <w:szCs w:val="28"/>
                <w:highlight w:val="none"/>
                <w:u w:val="none"/>
                <w:lang w:val="en-US" w:eastAsia="zh-CN" w:bidi="ar-SA"/>
              </w:rPr>
              <w:fldChar w:fldCharType="end"/>
            </w:r>
            <w:r>
              <w:rPr>
                <w:rFonts w:hint="default" w:ascii="Times New Roman" w:hAnsi="Times New Roman" w:eastAsia="宋体" w:cs="Times New Roman"/>
                <w:b/>
                <w:color w:val="000000"/>
                <w:kern w:val="2"/>
                <w:sz w:val="24"/>
                <w:szCs w:val="28"/>
                <w:highlight w:val="none"/>
                <w:u w:val="none"/>
                <w:lang w:val="en-US" w:eastAsia="zh-CN" w:bidi="ar-SA"/>
              </w:rPr>
              <w:t>-</w:t>
            </w:r>
            <w:r>
              <w:rPr>
                <w:rFonts w:hint="default" w:ascii="Times New Roman" w:hAnsi="Times New Roman" w:eastAsia="宋体" w:cs="Times New Roman"/>
                <w:b/>
                <w:color w:val="000000"/>
                <w:kern w:val="2"/>
                <w:sz w:val="24"/>
                <w:szCs w:val="28"/>
                <w:highlight w:val="none"/>
                <w:u w:val="none"/>
                <w:lang w:val="en-US" w:eastAsia="zh-CN" w:bidi="ar-SA"/>
              </w:rPr>
              <w:fldChar w:fldCharType="begin"/>
            </w:r>
            <w:r>
              <w:rPr>
                <w:rFonts w:hint="default" w:ascii="Times New Roman" w:hAnsi="Times New Roman" w:eastAsia="宋体" w:cs="Times New Roman"/>
                <w:b/>
                <w:color w:val="000000"/>
                <w:kern w:val="2"/>
                <w:sz w:val="24"/>
                <w:szCs w:val="28"/>
                <w:highlight w:val="none"/>
                <w:u w:val="none"/>
                <w:lang w:val="en-US" w:eastAsia="zh-CN" w:bidi="ar-SA"/>
              </w:rPr>
              <w:instrText xml:space="preserve"> SEQ 图 \* ARABIC \s 2 </w:instrText>
            </w:r>
            <w:r>
              <w:rPr>
                <w:rFonts w:hint="default" w:ascii="Times New Roman" w:hAnsi="Times New Roman" w:eastAsia="宋体" w:cs="Times New Roman"/>
                <w:b/>
                <w:color w:val="000000"/>
                <w:kern w:val="2"/>
                <w:sz w:val="24"/>
                <w:szCs w:val="28"/>
                <w:highlight w:val="none"/>
                <w:u w:val="none"/>
                <w:lang w:val="en-US" w:eastAsia="zh-CN" w:bidi="ar-SA"/>
              </w:rPr>
              <w:fldChar w:fldCharType="separate"/>
            </w:r>
            <w:r>
              <w:rPr>
                <w:rFonts w:hint="default" w:ascii="Times New Roman" w:hAnsi="Times New Roman" w:eastAsia="宋体" w:cs="Times New Roman"/>
                <w:b/>
                <w:color w:val="000000"/>
                <w:kern w:val="2"/>
                <w:sz w:val="24"/>
                <w:szCs w:val="28"/>
                <w:highlight w:val="none"/>
                <w:u w:val="none"/>
                <w:lang w:val="en-US" w:eastAsia="zh-CN" w:bidi="ar-SA"/>
              </w:rPr>
              <w:t>9</w:t>
            </w:r>
            <w:r>
              <w:rPr>
                <w:rFonts w:hint="default" w:ascii="Times New Roman" w:hAnsi="Times New Roman" w:eastAsia="宋体" w:cs="Times New Roman"/>
                <w:b/>
                <w:color w:val="000000"/>
                <w:kern w:val="2"/>
                <w:sz w:val="24"/>
                <w:szCs w:val="28"/>
                <w:highlight w:val="none"/>
                <w:u w:val="none"/>
                <w:lang w:val="en-US" w:eastAsia="zh-CN" w:bidi="ar-SA"/>
              </w:rPr>
              <w:fldChar w:fldCharType="end"/>
            </w:r>
            <w:bookmarkEnd w:id="307"/>
            <w:r>
              <w:rPr>
                <w:rFonts w:hint="default" w:ascii="Times New Roman" w:hAnsi="Times New Roman" w:eastAsia="宋体" w:cs="Times New Roman"/>
                <w:b/>
                <w:color w:val="000000"/>
                <w:kern w:val="2"/>
                <w:sz w:val="24"/>
                <w:szCs w:val="28"/>
                <w:highlight w:val="none"/>
                <w:u w:val="none"/>
                <w:lang w:val="en-US" w:eastAsia="zh-CN" w:bidi="ar-SA"/>
              </w:rPr>
              <w:t xml:space="preserve"> 工程前涨急时刻流场图</w:t>
            </w:r>
          </w:p>
          <w:p w14:paraId="04AE2AE9">
            <w:pPr>
              <w:widowControl w:val="0"/>
              <w:bidi w:val="0"/>
              <w:adjustRightInd w:val="0"/>
              <w:snapToGrid w:val="0"/>
              <w:spacing w:line="240" w:lineRule="auto"/>
              <w:ind w:firstLine="0" w:firstLineChars="0"/>
              <w:jc w:val="center"/>
              <w:rPr>
                <w:rFonts w:hint="default" w:ascii="Times New Roman" w:hAnsi="Times New Roman" w:eastAsia="宋体" w:cs="Times New Roman"/>
                <w:color w:val="000000"/>
                <w:kern w:val="2"/>
                <w:sz w:val="21"/>
                <w:szCs w:val="28"/>
                <w:highlight w:val="none"/>
                <w:u w:val="none"/>
                <w:lang w:val="en-US" w:eastAsia="zh-CN" w:bidi="ar-SA"/>
              </w:rPr>
            </w:pPr>
            <w:r>
              <w:rPr>
                <w:rFonts w:hint="eastAsia" w:cs="Times New Roman"/>
                <w:color w:val="000000"/>
                <w:kern w:val="2"/>
                <w:sz w:val="21"/>
                <w:szCs w:val="28"/>
                <w:highlight w:val="none"/>
                <w:lang w:val="en-US" w:eastAsia="zh-CN" w:bidi="ar-SA"/>
              </w:rPr>
              <w:t>（涉密删除）</w:t>
            </w:r>
          </w:p>
          <w:p w14:paraId="28C12A69">
            <w:pPr>
              <w:widowControl w:val="0"/>
              <w:bidi w:val="0"/>
              <w:adjustRightInd w:val="0"/>
              <w:snapToGrid w:val="0"/>
              <w:spacing w:line="240" w:lineRule="auto"/>
              <w:ind w:firstLine="0" w:firstLineChars="0"/>
              <w:jc w:val="center"/>
              <w:rPr>
                <w:rFonts w:hint="default" w:ascii="Times New Roman" w:hAnsi="Times New Roman" w:eastAsia="宋体" w:cs="Times New Roman"/>
                <w:b/>
                <w:color w:val="000000"/>
                <w:kern w:val="2"/>
                <w:sz w:val="24"/>
                <w:szCs w:val="28"/>
                <w:highlight w:val="none"/>
                <w:u w:val="none"/>
                <w:lang w:val="en-US" w:eastAsia="zh-CN" w:bidi="ar-SA"/>
              </w:rPr>
            </w:pPr>
            <w:bookmarkStart w:id="308" w:name="_Ref13416"/>
            <w:r>
              <w:rPr>
                <w:rFonts w:hint="default" w:ascii="Times New Roman" w:hAnsi="Times New Roman" w:eastAsia="宋体" w:cs="Times New Roman"/>
                <w:b/>
                <w:color w:val="000000"/>
                <w:kern w:val="2"/>
                <w:sz w:val="24"/>
                <w:szCs w:val="28"/>
                <w:highlight w:val="none"/>
                <w:u w:val="none"/>
                <w:lang w:val="en-US" w:eastAsia="zh-CN" w:bidi="ar-SA"/>
              </w:rPr>
              <w:t>图</w:t>
            </w:r>
            <w:r>
              <w:rPr>
                <w:rFonts w:hint="default" w:ascii="Times New Roman" w:hAnsi="Times New Roman" w:eastAsia="宋体" w:cs="Times New Roman"/>
                <w:b/>
                <w:color w:val="000000"/>
                <w:kern w:val="2"/>
                <w:sz w:val="24"/>
                <w:szCs w:val="28"/>
                <w:highlight w:val="none"/>
                <w:u w:val="none"/>
                <w:lang w:val="en-US" w:eastAsia="zh-CN" w:bidi="ar-SA"/>
              </w:rPr>
              <w:fldChar w:fldCharType="begin"/>
            </w:r>
            <w:r>
              <w:rPr>
                <w:rFonts w:hint="default" w:ascii="Times New Roman" w:hAnsi="Times New Roman" w:eastAsia="宋体" w:cs="Times New Roman"/>
                <w:b/>
                <w:color w:val="000000"/>
                <w:kern w:val="2"/>
                <w:sz w:val="24"/>
                <w:szCs w:val="28"/>
                <w:highlight w:val="none"/>
                <w:u w:val="none"/>
                <w:lang w:val="en-US" w:eastAsia="zh-CN" w:bidi="ar-SA"/>
              </w:rPr>
              <w:instrText xml:space="preserve"> STYLEREF 2 \s </w:instrText>
            </w:r>
            <w:r>
              <w:rPr>
                <w:rFonts w:hint="default" w:ascii="Times New Roman" w:hAnsi="Times New Roman" w:eastAsia="宋体" w:cs="Times New Roman"/>
                <w:b/>
                <w:color w:val="000000"/>
                <w:kern w:val="2"/>
                <w:sz w:val="24"/>
                <w:szCs w:val="28"/>
                <w:highlight w:val="none"/>
                <w:u w:val="none"/>
                <w:lang w:val="en-US" w:eastAsia="zh-CN" w:bidi="ar-SA"/>
              </w:rPr>
              <w:fldChar w:fldCharType="separate"/>
            </w:r>
            <w:r>
              <w:rPr>
                <w:rFonts w:hint="default" w:ascii="Times New Roman" w:hAnsi="Times New Roman" w:eastAsia="宋体" w:cs="Times New Roman"/>
                <w:b/>
                <w:color w:val="000000"/>
                <w:kern w:val="2"/>
                <w:sz w:val="24"/>
                <w:szCs w:val="28"/>
                <w:highlight w:val="none"/>
                <w:u w:val="none"/>
                <w:lang w:val="en-US" w:eastAsia="zh-CN" w:bidi="ar-SA"/>
              </w:rPr>
              <w:t>4.3</w:t>
            </w:r>
            <w:r>
              <w:rPr>
                <w:rFonts w:hint="default" w:ascii="Times New Roman" w:hAnsi="Times New Roman" w:eastAsia="宋体" w:cs="Times New Roman"/>
                <w:b/>
                <w:color w:val="000000"/>
                <w:kern w:val="2"/>
                <w:sz w:val="24"/>
                <w:szCs w:val="28"/>
                <w:highlight w:val="none"/>
                <w:u w:val="none"/>
                <w:lang w:val="en-US" w:eastAsia="zh-CN" w:bidi="ar-SA"/>
              </w:rPr>
              <w:fldChar w:fldCharType="end"/>
            </w:r>
            <w:r>
              <w:rPr>
                <w:rFonts w:hint="default" w:ascii="Times New Roman" w:hAnsi="Times New Roman" w:eastAsia="宋体" w:cs="Times New Roman"/>
                <w:b/>
                <w:color w:val="000000"/>
                <w:kern w:val="2"/>
                <w:sz w:val="24"/>
                <w:szCs w:val="28"/>
                <w:highlight w:val="none"/>
                <w:u w:val="none"/>
                <w:lang w:val="en-US" w:eastAsia="zh-CN" w:bidi="ar-SA"/>
              </w:rPr>
              <w:t>-</w:t>
            </w:r>
            <w:r>
              <w:rPr>
                <w:rFonts w:hint="default" w:ascii="Times New Roman" w:hAnsi="Times New Roman" w:eastAsia="宋体" w:cs="Times New Roman"/>
                <w:b/>
                <w:color w:val="000000"/>
                <w:kern w:val="2"/>
                <w:sz w:val="24"/>
                <w:szCs w:val="28"/>
                <w:highlight w:val="none"/>
                <w:u w:val="none"/>
                <w:lang w:val="en-US" w:eastAsia="zh-CN" w:bidi="ar-SA"/>
              </w:rPr>
              <w:fldChar w:fldCharType="begin"/>
            </w:r>
            <w:r>
              <w:rPr>
                <w:rFonts w:hint="default" w:ascii="Times New Roman" w:hAnsi="Times New Roman" w:eastAsia="宋体" w:cs="Times New Roman"/>
                <w:b/>
                <w:color w:val="000000"/>
                <w:kern w:val="2"/>
                <w:sz w:val="24"/>
                <w:szCs w:val="28"/>
                <w:highlight w:val="none"/>
                <w:u w:val="none"/>
                <w:lang w:val="en-US" w:eastAsia="zh-CN" w:bidi="ar-SA"/>
              </w:rPr>
              <w:instrText xml:space="preserve"> SEQ 图 \* ARABIC \s 2 </w:instrText>
            </w:r>
            <w:r>
              <w:rPr>
                <w:rFonts w:hint="default" w:ascii="Times New Roman" w:hAnsi="Times New Roman" w:eastAsia="宋体" w:cs="Times New Roman"/>
                <w:b/>
                <w:color w:val="000000"/>
                <w:kern w:val="2"/>
                <w:sz w:val="24"/>
                <w:szCs w:val="28"/>
                <w:highlight w:val="none"/>
                <w:u w:val="none"/>
                <w:lang w:val="en-US" w:eastAsia="zh-CN" w:bidi="ar-SA"/>
              </w:rPr>
              <w:fldChar w:fldCharType="separate"/>
            </w:r>
            <w:r>
              <w:rPr>
                <w:rFonts w:hint="default" w:ascii="Times New Roman" w:hAnsi="Times New Roman" w:eastAsia="宋体" w:cs="Times New Roman"/>
                <w:b/>
                <w:color w:val="000000"/>
                <w:kern w:val="2"/>
                <w:sz w:val="24"/>
                <w:szCs w:val="28"/>
                <w:highlight w:val="none"/>
                <w:u w:val="none"/>
                <w:lang w:val="en-US" w:eastAsia="zh-CN" w:bidi="ar-SA"/>
              </w:rPr>
              <w:t>10</w:t>
            </w:r>
            <w:r>
              <w:rPr>
                <w:rFonts w:hint="default" w:ascii="Times New Roman" w:hAnsi="Times New Roman" w:eastAsia="宋体" w:cs="Times New Roman"/>
                <w:b/>
                <w:color w:val="000000"/>
                <w:kern w:val="2"/>
                <w:sz w:val="24"/>
                <w:szCs w:val="28"/>
                <w:highlight w:val="none"/>
                <w:u w:val="none"/>
                <w:lang w:val="en-US" w:eastAsia="zh-CN" w:bidi="ar-SA"/>
              </w:rPr>
              <w:fldChar w:fldCharType="end"/>
            </w:r>
            <w:bookmarkEnd w:id="308"/>
            <w:r>
              <w:rPr>
                <w:rFonts w:hint="default" w:ascii="Times New Roman" w:hAnsi="Times New Roman" w:eastAsia="宋体" w:cs="Times New Roman"/>
                <w:b/>
                <w:color w:val="000000"/>
                <w:kern w:val="2"/>
                <w:sz w:val="24"/>
                <w:szCs w:val="28"/>
                <w:highlight w:val="none"/>
                <w:u w:val="none"/>
                <w:lang w:val="en-US" w:eastAsia="zh-CN" w:bidi="ar-SA"/>
              </w:rPr>
              <w:t xml:space="preserve"> 工程前落急时刻流场图</w:t>
            </w:r>
          </w:p>
          <w:p w14:paraId="3DF444CF">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eastAsia="宋体" w:cs="Times New Roman"/>
                <w:b/>
                <w:bCs/>
                <w:color w:val="000000"/>
                <w:szCs w:val="28"/>
                <w:highlight w:val="none"/>
                <w:u w:val="none"/>
              </w:rPr>
            </w:pPr>
            <w:r>
              <w:rPr>
                <w:rFonts w:hint="default" w:ascii="Times New Roman" w:hAnsi="Times New Roman" w:eastAsia="宋体" w:cs="Times New Roman"/>
                <w:b/>
                <w:bCs/>
                <w:color w:val="000000"/>
                <w:szCs w:val="28"/>
                <w:highlight w:val="none"/>
                <w:u w:val="none"/>
                <w:lang w:eastAsia="zh-CN"/>
              </w:rPr>
              <w:t>（</w:t>
            </w:r>
            <w:r>
              <w:rPr>
                <w:rFonts w:hint="default" w:ascii="Times New Roman" w:hAnsi="Times New Roman" w:eastAsia="宋体" w:cs="Times New Roman"/>
                <w:b/>
                <w:bCs/>
                <w:color w:val="000000"/>
                <w:szCs w:val="28"/>
                <w:highlight w:val="none"/>
                <w:u w:val="none"/>
                <w:lang w:val="en-US" w:eastAsia="zh-CN"/>
              </w:rPr>
              <w:t>3</w:t>
            </w:r>
            <w:r>
              <w:rPr>
                <w:rFonts w:hint="default" w:ascii="Times New Roman" w:hAnsi="Times New Roman" w:eastAsia="宋体" w:cs="Times New Roman"/>
                <w:b/>
                <w:bCs/>
                <w:color w:val="000000"/>
                <w:szCs w:val="28"/>
                <w:highlight w:val="none"/>
                <w:u w:val="none"/>
                <w:lang w:eastAsia="zh-CN"/>
              </w:rPr>
              <w:t>）</w:t>
            </w:r>
            <w:r>
              <w:rPr>
                <w:rFonts w:hint="default" w:ascii="Times New Roman" w:hAnsi="Times New Roman" w:eastAsia="宋体" w:cs="Times New Roman"/>
                <w:b/>
                <w:bCs/>
                <w:color w:val="000000"/>
                <w:szCs w:val="28"/>
                <w:highlight w:val="none"/>
                <w:u w:val="none"/>
              </w:rPr>
              <w:t>工程建设对流场的影响</w:t>
            </w:r>
          </w:p>
          <w:p w14:paraId="73C0587F">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b w:val="0"/>
                <w:bCs w:val="0"/>
                <w:color w:val="000000"/>
                <w:szCs w:val="28"/>
                <w:highlight w:val="none"/>
                <w:u w:val="none"/>
              </w:rPr>
            </w:pPr>
            <w:r>
              <w:rPr>
                <w:rFonts w:hint="default" w:ascii="Times New Roman" w:hAnsi="Times New Roman" w:eastAsia="宋体" w:cs="Times New Roman"/>
                <w:b w:val="0"/>
                <w:bCs w:val="0"/>
                <w:color w:val="000000"/>
                <w:szCs w:val="28"/>
                <w:highlight w:val="none"/>
                <w:u w:val="none"/>
              </w:rPr>
              <w:fldChar w:fldCharType="begin"/>
            </w:r>
            <w:r>
              <w:rPr>
                <w:rFonts w:hint="default" w:ascii="Times New Roman" w:hAnsi="Times New Roman" w:eastAsia="宋体" w:cs="Times New Roman"/>
                <w:b w:val="0"/>
                <w:bCs w:val="0"/>
                <w:color w:val="000000"/>
                <w:szCs w:val="28"/>
                <w:highlight w:val="none"/>
                <w:u w:val="none"/>
              </w:rPr>
              <w:instrText xml:space="preserve"> REF _Ref13736 \h </w:instrText>
            </w:r>
            <w:r>
              <w:rPr>
                <w:rFonts w:hint="default" w:ascii="Times New Roman" w:hAnsi="Times New Roman" w:eastAsia="宋体" w:cs="Times New Roman"/>
                <w:b w:val="0"/>
                <w:bCs w:val="0"/>
                <w:color w:val="000000"/>
                <w:szCs w:val="28"/>
                <w:highlight w:val="none"/>
                <w:u w:val="none"/>
              </w:rPr>
              <w:fldChar w:fldCharType="separate"/>
            </w:r>
            <w:r>
              <w:rPr>
                <w:rFonts w:hint="default" w:ascii="Times New Roman" w:hAnsi="Times New Roman" w:eastAsia="宋体" w:cs="Times New Roman"/>
                <w:b w:val="0"/>
                <w:bCs w:val="0"/>
                <w:color w:val="000000"/>
                <w:kern w:val="2"/>
                <w:sz w:val="24"/>
                <w:szCs w:val="28"/>
                <w:highlight w:val="none"/>
                <w:u w:val="none"/>
                <w:lang w:val="en-US" w:eastAsia="zh-CN" w:bidi="ar-SA"/>
              </w:rPr>
              <w:t>图</w:t>
            </w:r>
            <w:r>
              <w:rPr>
                <w:rFonts w:hint="default" w:ascii="Times New Roman" w:hAnsi="Times New Roman" w:eastAsia="宋体" w:cs="Times New Roman"/>
                <w:b w:val="0"/>
                <w:bCs w:val="0"/>
                <w:color w:val="000000"/>
                <w:kern w:val="2"/>
                <w:sz w:val="24"/>
                <w:szCs w:val="28"/>
                <w:highlight w:val="none"/>
                <w:u w:val="none"/>
                <w:lang w:val="en-US" w:eastAsia="zh-CN" w:bidi="ar-SA"/>
              </w:rPr>
              <w:fldChar w:fldCharType="begin"/>
            </w:r>
            <w:r>
              <w:rPr>
                <w:rFonts w:hint="default" w:ascii="Times New Roman" w:hAnsi="Times New Roman" w:eastAsia="宋体" w:cs="Times New Roman"/>
                <w:b w:val="0"/>
                <w:bCs w:val="0"/>
                <w:color w:val="000000"/>
                <w:kern w:val="2"/>
                <w:sz w:val="24"/>
                <w:szCs w:val="28"/>
                <w:highlight w:val="none"/>
                <w:u w:val="none"/>
                <w:lang w:val="en-US" w:eastAsia="zh-CN" w:bidi="ar-SA"/>
              </w:rPr>
              <w:instrText xml:space="preserve"> STYLEREF 2 \s </w:instrText>
            </w:r>
            <w:r>
              <w:rPr>
                <w:rFonts w:hint="default" w:ascii="Times New Roman" w:hAnsi="Times New Roman" w:eastAsia="宋体" w:cs="Times New Roman"/>
                <w:b w:val="0"/>
                <w:bCs w:val="0"/>
                <w:color w:val="000000"/>
                <w:kern w:val="2"/>
                <w:sz w:val="24"/>
                <w:szCs w:val="28"/>
                <w:highlight w:val="none"/>
                <w:u w:val="none"/>
                <w:lang w:val="en-US" w:eastAsia="zh-CN" w:bidi="ar-SA"/>
              </w:rPr>
              <w:fldChar w:fldCharType="separate"/>
            </w:r>
            <w:r>
              <w:rPr>
                <w:rFonts w:hint="default" w:ascii="Times New Roman" w:hAnsi="Times New Roman" w:eastAsia="宋体" w:cs="Times New Roman"/>
                <w:b w:val="0"/>
                <w:bCs w:val="0"/>
                <w:color w:val="000000"/>
                <w:kern w:val="2"/>
                <w:sz w:val="24"/>
                <w:szCs w:val="28"/>
                <w:highlight w:val="none"/>
                <w:u w:val="none"/>
                <w:lang w:val="en-US" w:eastAsia="zh-CN" w:bidi="ar-SA"/>
              </w:rPr>
              <w:t>4.3</w:t>
            </w:r>
            <w:r>
              <w:rPr>
                <w:rFonts w:hint="default" w:ascii="Times New Roman" w:hAnsi="Times New Roman" w:eastAsia="宋体" w:cs="Times New Roman"/>
                <w:b w:val="0"/>
                <w:bCs w:val="0"/>
                <w:color w:val="000000"/>
                <w:kern w:val="2"/>
                <w:sz w:val="24"/>
                <w:szCs w:val="28"/>
                <w:highlight w:val="none"/>
                <w:u w:val="none"/>
                <w:lang w:val="en-US" w:eastAsia="zh-CN" w:bidi="ar-SA"/>
              </w:rPr>
              <w:fldChar w:fldCharType="end"/>
            </w:r>
            <w:r>
              <w:rPr>
                <w:rFonts w:hint="default" w:ascii="Times New Roman" w:hAnsi="Times New Roman" w:eastAsia="宋体" w:cs="Times New Roman"/>
                <w:b w:val="0"/>
                <w:bCs w:val="0"/>
                <w:color w:val="000000"/>
                <w:kern w:val="2"/>
                <w:sz w:val="24"/>
                <w:szCs w:val="28"/>
                <w:highlight w:val="none"/>
                <w:u w:val="none"/>
                <w:lang w:val="en-US" w:eastAsia="zh-CN" w:bidi="ar-SA"/>
              </w:rPr>
              <w:t>-11</w:t>
            </w:r>
            <w:r>
              <w:rPr>
                <w:rFonts w:hint="default" w:ascii="Times New Roman" w:hAnsi="Times New Roman" w:eastAsia="宋体" w:cs="Times New Roman"/>
                <w:b w:val="0"/>
                <w:bCs w:val="0"/>
                <w:color w:val="000000"/>
                <w:szCs w:val="28"/>
                <w:highlight w:val="none"/>
                <w:u w:val="none"/>
              </w:rPr>
              <w:fldChar w:fldCharType="end"/>
            </w:r>
            <w:r>
              <w:rPr>
                <w:rFonts w:hint="default" w:ascii="Times New Roman" w:hAnsi="Times New Roman" w:eastAsia="宋体" w:cs="Times New Roman"/>
                <w:b w:val="0"/>
                <w:bCs w:val="0"/>
                <w:color w:val="000000"/>
                <w:szCs w:val="28"/>
                <w:highlight w:val="none"/>
                <w:u w:val="none"/>
                <w:lang w:eastAsia="zh-CN"/>
              </w:rPr>
              <w:t>、</w:t>
            </w:r>
            <w:r>
              <w:rPr>
                <w:rFonts w:hint="default" w:ascii="Times New Roman" w:hAnsi="Times New Roman" w:eastAsia="宋体" w:cs="Times New Roman"/>
                <w:b w:val="0"/>
                <w:bCs w:val="0"/>
                <w:color w:val="000000"/>
                <w:szCs w:val="28"/>
                <w:highlight w:val="none"/>
                <w:u w:val="none"/>
                <w:lang w:eastAsia="zh-CN"/>
              </w:rPr>
              <w:fldChar w:fldCharType="begin"/>
            </w:r>
            <w:r>
              <w:rPr>
                <w:rFonts w:hint="default" w:ascii="Times New Roman" w:hAnsi="Times New Roman" w:eastAsia="宋体" w:cs="Times New Roman"/>
                <w:b w:val="0"/>
                <w:bCs w:val="0"/>
                <w:color w:val="000000"/>
                <w:szCs w:val="28"/>
                <w:highlight w:val="none"/>
                <w:u w:val="none"/>
                <w:lang w:eastAsia="zh-CN"/>
              </w:rPr>
              <w:instrText xml:space="preserve"> REF _Ref13772 \h </w:instrText>
            </w:r>
            <w:r>
              <w:rPr>
                <w:rFonts w:hint="default" w:ascii="Times New Roman" w:hAnsi="Times New Roman" w:eastAsia="宋体" w:cs="Times New Roman"/>
                <w:b w:val="0"/>
                <w:bCs w:val="0"/>
                <w:color w:val="000000"/>
                <w:szCs w:val="28"/>
                <w:highlight w:val="none"/>
                <w:u w:val="none"/>
                <w:lang w:eastAsia="zh-CN"/>
              </w:rPr>
              <w:fldChar w:fldCharType="separate"/>
            </w:r>
            <w:r>
              <w:rPr>
                <w:rFonts w:hint="default" w:ascii="Times New Roman" w:hAnsi="Times New Roman" w:eastAsia="宋体" w:cs="Times New Roman"/>
                <w:b w:val="0"/>
                <w:bCs w:val="0"/>
                <w:color w:val="000000"/>
                <w:kern w:val="2"/>
                <w:sz w:val="24"/>
                <w:szCs w:val="28"/>
                <w:highlight w:val="none"/>
                <w:u w:val="none"/>
                <w:lang w:val="en-US" w:eastAsia="zh-CN" w:bidi="ar-SA"/>
              </w:rPr>
              <w:t>图</w:t>
            </w:r>
            <w:r>
              <w:rPr>
                <w:rFonts w:hint="default" w:ascii="Times New Roman" w:hAnsi="Times New Roman" w:eastAsia="宋体" w:cs="Times New Roman"/>
                <w:b w:val="0"/>
                <w:bCs w:val="0"/>
                <w:color w:val="000000"/>
                <w:kern w:val="2"/>
                <w:sz w:val="24"/>
                <w:szCs w:val="28"/>
                <w:highlight w:val="none"/>
                <w:u w:val="none"/>
                <w:lang w:val="en-US" w:eastAsia="zh-CN" w:bidi="ar-SA"/>
              </w:rPr>
              <w:fldChar w:fldCharType="begin"/>
            </w:r>
            <w:r>
              <w:rPr>
                <w:rFonts w:hint="default" w:ascii="Times New Roman" w:hAnsi="Times New Roman" w:eastAsia="宋体" w:cs="Times New Roman"/>
                <w:b w:val="0"/>
                <w:bCs w:val="0"/>
                <w:color w:val="000000"/>
                <w:kern w:val="2"/>
                <w:sz w:val="24"/>
                <w:szCs w:val="28"/>
                <w:highlight w:val="none"/>
                <w:u w:val="none"/>
                <w:lang w:val="en-US" w:eastAsia="zh-CN" w:bidi="ar-SA"/>
              </w:rPr>
              <w:instrText xml:space="preserve"> STYLEREF 2 \s </w:instrText>
            </w:r>
            <w:r>
              <w:rPr>
                <w:rFonts w:hint="default" w:ascii="Times New Roman" w:hAnsi="Times New Roman" w:eastAsia="宋体" w:cs="Times New Roman"/>
                <w:b w:val="0"/>
                <w:bCs w:val="0"/>
                <w:color w:val="000000"/>
                <w:kern w:val="2"/>
                <w:sz w:val="24"/>
                <w:szCs w:val="28"/>
                <w:highlight w:val="none"/>
                <w:u w:val="none"/>
                <w:lang w:val="en-US" w:eastAsia="zh-CN" w:bidi="ar-SA"/>
              </w:rPr>
              <w:fldChar w:fldCharType="separate"/>
            </w:r>
            <w:r>
              <w:rPr>
                <w:rFonts w:hint="default" w:ascii="Times New Roman" w:hAnsi="Times New Roman" w:eastAsia="宋体" w:cs="Times New Roman"/>
                <w:b w:val="0"/>
                <w:bCs w:val="0"/>
                <w:color w:val="000000"/>
                <w:kern w:val="2"/>
                <w:sz w:val="24"/>
                <w:szCs w:val="28"/>
                <w:highlight w:val="none"/>
                <w:u w:val="none"/>
                <w:lang w:val="en-US" w:eastAsia="zh-CN" w:bidi="ar-SA"/>
              </w:rPr>
              <w:t>4.3</w:t>
            </w:r>
            <w:r>
              <w:rPr>
                <w:rFonts w:hint="default" w:ascii="Times New Roman" w:hAnsi="Times New Roman" w:eastAsia="宋体" w:cs="Times New Roman"/>
                <w:b w:val="0"/>
                <w:bCs w:val="0"/>
                <w:color w:val="000000"/>
                <w:kern w:val="2"/>
                <w:sz w:val="24"/>
                <w:szCs w:val="28"/>
                <w:highlight w:val="none"/>
                <w:u w:val="none"/>
                <w:lang w:val="en-US" w:eastAsia="zh-CN" w:bidi="ar-SA"/>
              </w:rPr>
              <w:fldChar w:fldCharType="end"/>
            </w:r>
            <w:r>
              <w:rPr>
                <w:rFonts w:hint="default" w:ascii="Times New Roman" w:hAnsi="Times New Roman" w:eastAsia="宋体" w:cs="Times New Roman"/>
                <w:b w:val="0"/>
                <w:bCs w:val="0"/>
                <w:color w:val="000000"/>
                <w:kern w:val="2"/>
                <w:sz w:val="24"/>
                <w:szCs w:val="28"/>
                <w:highlight w:val="none"/>
                <w:u w:val="none"/>
                <w:lang w:val="en-US" w:eastAsia="zh-CN" w:bidi="ar-SA"/>
              </w:rPr>
              <w:t>-12</w:t>
            </w:r>
            <w:r>
              <w:rPr>
                <w:rFonts w:hint="default" w:ascii="Times New Roman" w:hAnsi="Times New Roman" w:eastAsia="宋体" w:cs="Times New Roman"/>
                <w:b w:val="0"/>
                <w:bCs w:val="0"/>
                <w:color w:val="000000"/>
                <w:szCs w:val="28"/>
                <w:highlight w:val="none"/>
                <w:u w:val="none"/>
                <w:lang w:eastAsia="zh-CN"/>
              </w:rPr>
              <w:fldChar w:fldCharType="end"/>
            </w:r>
            <w:r>
              <w:rPr>
                <w:rFonts w:hint="default" w:ascii="Times New Roman" w:hAnsi="Times New Roman" w:eastAsia="宋体" w:cs="Times New Roman"/>
                <w:b w:val="0"/>
                <w:bCs w:val="0"/>
                <w:color w:val="000000"/>
                <w:szCs w:val="28"/>
                <w:highlight w:val="none"/>
                <w:u w:val="none"/>
                <w:lang w:val="en-US" w:eastAsia="zh-CN"/>
              </w:rPr>
              <w:t>和</w:t>
            </w:r>
            <w:r>
              <w:rPr>
                <w:rFonts w:hint="default" w:ascii="Times New Roman" w:hAnsi="Times New Roman" w:eastAsia="宋体" w:cs="Times New Roman"/>
                <w:b w:val="0"/>
                <w:bCs w:val="0"/>
                <w:color w:val="000000"/>
                <w:szCs w:val="28"/>
                <w:highlight w:val="none"/>
                <w:u w:val="none"/>
                <w:lang w:eastAsia="zh-CN"/>
              </w:rPr>
              <w:fldChar w:fldCharType="begin"/>
            </w:r>
            <w:r>
              <w:rPr>
                <w:rFonts w:hint="default" w:ascii="Times New Roman" w:hAnsi="Times New Roman" w:eastAsia="宋体" w:cs="Times New Roman"/>
                <w:b w:val="0"/>
                <w:bCs w:val="0"/>
                <w:color w:val="000000"/>
                <w:szCs w:val="28"/>
                <w:highlight w:val="none"/>
                <w:u w:val="none"/>
                <w:lang w:eastAsia="zh-CN"/>
              </w:rPr>
              <w:instrText xml:space="preserve"> REF _Ref13775 \h </w:instrText>
            </w:r>
            <w:r>
              <w:rPr>
                <w:rFonts w:hint="default" w:ascii="Times New Roman" w:hAnsi="Times New Roman" w:eastAsia="宋体" w:cs="Times New Roman"/>
                <w:b w:val="0"/>
                <w:bCs w:val="0"/>
                <w:color w:val="000000"/>
                <w:szCs w:val="28"/>
                <w:highlight w:val="none"/>
                <w:u w:val="none"/>
                <w:lang w:eastAsia="zh-CN"/>
              </w:rPr>
              <w:fldChar w:fldCharType="separate"/>
            </w:r>
            <w:r>
              <w:rPr>
                <w:rFonts w:hint="default" w:ascii="Times New Roman" w:hAnsi="Times New Roman" w:eastAsia="宋体" w:cs="Times New Roman"/>
                <w:b w:val="0"/>
                <w:bCs w:val="0"/>
                <w:color w:val="000000"/>
                <w:kern w:val="2"/>
                <w:sz w:val="24"/>
                <w:szCs w:val="28"/>
                <w:highlight w:val="none"/>
                <w:u w:val="none"/>
                <w:lang w:val="en-US" w:eastAsia="zh-CN" w:bidi="ar-SA"/>
              </w:rPr>
              <w:t xml:space="preserve">图 </w:t>
            </w:r>
            <w:r>
              <w:rPr>
                <w:rFonts w:hint="default" w:ascii="Times New Roman" w:hAnsi="Times New Roman" w:eastAsia="宋体" w:cs="Times New Roman"/>
                <w:b w:val="0"/>
                <w:bCs w:val="0"/>
                <w:color w:val="000000"/>
                <w:kern w:val="2"/>
                <w:sz w:val="24"/>
                <w:szCs w:val="28"/>
                <w:highlight w:val="none"/>
                <w:u w:val="none"/>
                <w:lang w:val="en-US" w:eastAsia="zh-CN" w:bidi="ar-SA"/>
              </w:rPr>
              <w:fldChar w:fldCharType="begin"/>
            </w:r>
            <w:r>
              <w:rPr>
                <w:rFonts w:hint="default" w:ascii="Times New Roman" w:hAnsi="Times New Roman" w:eastAsia="宋体" w:cs="Times New Roman"/>
                <w:b w:val="0"/>
                <w:bCs w:val="0"/>
                <w:color w:val="000000"/>
                <w:kern w:val="2"/>
                <w:sz w:val="24"/>
                <w:szCs w:val="28"/>
                <w:highlight w:val="none"/>
                <w:u w:val="none"/>
                <w:lang w:val="en-US" w:eastAsia="zh-CN" w:bidi="ar-SA"/>
              </w:rPr>
              <w:instrText xml:space="preserve"> STYLEREF 2 \s </w:instrText>
            </w:r>
            <w:r>
              <w:rPr>
                <w:rFonts w:hint="default" w:ascii="Times New Roman" w:hAnsi="Times New Roman" w:eastAsia="宋体" w:cs="Times New Roman"/>
                <w:b w:val="0"/>
                <w:bCs w:val="0"/>
                <w:color w:val="000000"/>
                <w:kern w:val="2"/>
                <w:sz w:val="24"/>
                <w:szCs w:val="28"/>
                <w:highlight w:val="none"/>
                <w:u w:val="none"/>
                <w:lang w:val="en-US" w:eastAsia="zh-CN" w:bidi="ar-SA"/>
              </w:rPr>
              <w:fldChar w:fldCharType="separate"/>
            </w:r>
            <w:r>
              <w:rPr>
                <w:rFonts w:hint="default" w:ascii="Times New Roman" w:hAnsi="Times New Roman" w:eastAsia="宋体" w:cs="Times New Roman"/>
                <w:b w:val="0"/>
                <w:bCs w:val="0"/>
                <w:color w:val="000000"/>
                <w:kern w:val="2"/>
                <w:sz w:val="24"/>
                <w:szCs w:val="28"/>
                <w:highlight w:val="none"/>
                <w:u w:val="none"/>
                <w:lang w:val="en-US" w:eastAsia="zh-CN" w:bidi="ar-SA"/>
              </w:rPr>
              <w:t>4.3</w:t>
            </w:r>
            <w:r>
              <w:rPr>
                <w:rFonts w:hint="default" w:ascii="Times New Roman" w:hAnsi="Times New Roman" w:eastAsia="宋体" w:cs="Times New Roman"/>
                <w:b w:val="0"/>
                <w:bCs w:val="0"/>
                <w:color w:val="000000"/>
                <w:kern w:val="2"/>
                <w:sz w:val="24"/>
                <w:szCs w:val="28"/>
                <w:highlight w:val="none"/>
                <w:u w:val="none"/>
                <w:lang w:val="en-US" w:eastAsia="zh-CN" w:bidi="ar-SA"/>
              </w:rPr>
              <w:fldChar w:fldCharType="end"/>
            </w:r>
            <w:r>
              <w:rPr>
                <w:rFonts w:hint="default" w:ascii="Times New Roman" w:hAnsi="Times New Roman" w:eastAsia="宋体" w:cs="Times New Roman"/>
                <w:b w:val="0"/>
                <w:bCs w:val="0"/>
                <w:color w:val="000000"/>
                <w:kern w:val="2"/>
                <w:sz w:val="24"/>
                <w:szCs w:val="28"/>
                <w:highlight w:val="none"/>
                <w:u w:val="none"/>
                <w:lang w:val="en-US" w:eastAsia="zh-CN" w:bidi="ar-SA"/>
              </w:rPr>
              <w:t>-13</w:t>
            </w:r>
            <w:r>
              <w:rPr>
                <w:rFonts w:hint="default" w:ascii="Times New Roman" w:hAnsi="Times New Roman" w:eastAsia="宋体" w:cs="Times New Roman"/>
                <w:b w:val="0"/>
                <w:bCs w:val="0"/>
                <w:color w:val="000000"/>
                <w:szCs w:val="28"/>
                <w:highlight w:val="none"/>
                <w:u w:val="none"/>
                <w:lang w:eastAsia="zh-CN"/>
              </w:rPr>
              <w:fldChar w:fldCharType="end"/>
            </w:r>
            <w:r>
              <w:rPr>
                <w:rFonts w:hint="default" w:ascii="Times New Roman" w:hAnsi="Times New Roman" w:eastAsia="宋体" w:cs="Times New Roman"/>
                <w:b w:val="0"/>
                <w:bCs w:val="0"/>
                <w:color w:val="000000"/>
                <w:szCs w:val="28"/>
                <w:highlight w:val="none"/>
                <w:u w:val="none"/>
                <w:lang w:eastAsia="zh-CN"/>
              </w:rPr>
              <w:t>、</w:t>
            </w:r>
            <w:r>
              <w:rPr>
                <w:rFonts w:hint="default" w:ascii="Times New Roman" w:hAnsi="Times New Roman" w:eastAsia="宋体" w:cs="Times New Roman"/>
                <w:b w:val="0"/>
                <w:bCs w:val="0"/>
                <w:color w:val="000000"/>
                <w:szCs w:val="28"/>
                <w:highlight w:val="none"/>
                <w:u w:val="none"/>
                <w:lang w:eastAsia="zh-CN"/>
              </w:rPr>
              <w:fldChar w:fldCharType="begin"/>
            </w:r>
            <w:r>
              <w:rPr>
                <w:rFonts w:hint="default" w:ascii="Times New Roman" w:hAnsi="Times New Roman" w:eastAsia="宋体" w:cs="Times New Roman"/>
                <w:b w:val="0"/>
                <w:bCs w:val="0"/>
                <w:color w:val="000000"/>
                <w:szCs w:val="28"/>
                <w:highlight w:val="none"/>
                <w:u w:val="none"/>
                <w:lang w:eastAsia="zh-CN"/>
              </w:rPr>
              <w:instrText xml:space="preserve"> REF _Ref13781 \h </w:instrText>
            </w:r>
            <w:r>
              <w:rPr>
                <w:rFonts w:hint="default" w:ascii="Times New Roman" w:hAnsi="Times New Roman" w:eastAsia="宋体" w:cs="Times New Roman"/>
                <w:b w:val="0"/>
                <w:bCs w:val="0"/>
                <w:color w:val="000000"/>
                <w:szCs w:val="28"/>
                <w:highlight w:val="none"/>
                <w:u w:val="none"/>
                <w:lang w:eastAsia="zh-CN"/>
              </w:rPr>
              <w:fldChar w:fldCharType="separate"/>
            </w:r>
            <w:r>
              <w:rPr>
                <w:rFonts w:hint="default" w:ascii="Times New Roman" w:hAnsi="Times New Roman" w:eastAsia="宋体" w:cs="Times New Roman"/>
                <w:b w:val="0"/>
                <w:bCs w:val="0"/>
                <w:color w:val="000000"/>
                <w:kern w:val="2"/>
                <w:sz w:val="24"/>
                <w:szCs w:val="28"/>
                <w:highlight w:val="none"/>
                <w:u w:val="none"/>
                <w:lang w:val="en-US" w:eastAsia="zh-CN" w:bidi="ar-SA"/>
              </w:rPr>
              <w:t>图</w:t>
            </w:r>
            <w:r>
              <w:rPr>
                <w:rFonts w:hint="default" w:ascii="Times New Roman" w:hAnsi="Times New Roman" w:eastAsia="宋体" w:cs="Times New Roman"/>
                <w:b w:val="0"/>
                <w:bCs w:val="0"/>
                <w:color w:val="000000"/>
                <w:kern w:val="2"/>
                <w:sz w:val="24"/>
                <w:szCs w:val="28"/>
                <w:highlight w:val="none"/>
                <w:u w:val="none"/>
                <w:lang w:val="en-US" w:eastAsia="zh-CN" w:bidi="ar-SA"/>
              </w:rPr>
              <w:fldChar w:fldCharType="begin"/>
            </w:r>
            <w:r>
              <w:rPr>
                <w:rFonts w:hint="default" w:ascii="Times New Roman" w:hAnsi="Times New Roman" w:eastAsia="宋体" w:cs="Times New Roman"/>
                <w:b w:val="0"/>
                <w:bCs w:val="0"/>
                <w:color w:val="000000"/>
                <w:kern w:val="2"/>
                <w:sz w:val="24"/>
                <w:szCs w:val="28"/>
                <w:highlight w:val="none"/>
                <w:u w:val="none"/>
                <w:lang w:val="en-US" w:eastAsia="zh-CN" w:bidi="ar-SA"/>
              </w:rPr>
              <w:instrText xml:space="preserve"> STYLEREF 2 \s </w:instrText>
            </w:r>
            <w:r>
              <w:rPr>
                <w:rFonts w:hint="default" w:ascii="Times New Roman" w:hAnsi="Times New Roman" w:eastAsia="宋体" w:cs="Times New Roman"/>
                <w:b w:val="0"/>
                <w:bCs w:val="0"/>
                <w:color w:val="000000"/>
                <w:kern w:val="2"/>
                <w:sz w:val="24"/>
                <w:szCs w:val="28"/>
                <w:highlight w:val="none"/>
                <w:u w:val="none"/>
                <w:lang w:val="en-US" w:eastAsia="zh-CN" w:bidi="ar-SA"/>
              </w:rPr>
              <w:fldChar w:fldCharType="separate"/>
            </w:r>
            <w:r>
              <w:rPr>
                <w:rFonts w:hint="default" w:ascii="Times New Roman" w:hAnsi="Times New Roman" w:eastAsia="宋体" w:cs="Times New Roman"/>
                <w:b w:val="0"/>
                <w:bCs w:val="0"/>
                <w:color w:val="000000"/>
                <w:kern w:val="2"/>
                <w:sz w:val="24"/>
                <w:szCs w:val="28"/>
                <w:highlight w:val="none"/>
                <w:u w:val="none"/>
                <w:lang w:val="en-US" w:eastAsia="zh-CN" w:bidi="ar-SA"/>
              </w:rPr>
              <w:t>4.3</w:t>
            </w:r>
            <w:r>
              <w:rPr>
                <w:rFonts w:hint="default" w:ascii="Times New Roman" w:hAnsi="Times New Roman" w:eastAsia="宋体" w:cs="Times New Roman"/>
                <w:b w:val="0"/>
                <w:bCs w:val="0"/>
                <w:color w:val="000000"/>
                <w:kern w:val="2"/>
                <w:sz w:val="24"/>
                <w:szCs w:val="28"/>
                <w:highlight w:val="none"/>
                <w:u w:val="none"/>
                <w:lang w:val="en-US" w:eastAsia="zh-CN" w:bidi="ar-SA"/>
              </w:rPr>
              <w:fldChar w:fldCharType="end"/>
            </w:r>
            <w:r>
              <w:rPr>
                <w:rFonts w:hint="default" w:ascii="Times New Roman" w:hAnsi="Times New Roman" w:eastAsia="宋体" w:cs="Times New Roman"/>
                <w:b w:val="0"/>
                <w:bCs w:val="0"/>
                <w:color w:val="000000"/>
                <w:kern w:val="2"/>
                <w:sz w:val="24"/>
                <w:szCs w:val="28"/>
                <w:highlight w:val="none"/>
                <w:u w:val="none"/>
                <w:lang w:val="en-US" w:eastAsia="zh-CN" w:bidi="ar-SA"/>
              </w:rPr>
              <w:t>-14</w:t>
            </w:r>
            <w:r>
              <w:rPr>
                <w:rFonts w:hint="default" w:ascii="Times New Roman" w:hAnsi="Times New Roman" w:eastAsia="宋体" w:cs="Times New Roman"/>
                <w:b w:val="0"/>
                <w:bCs w:val="0"/>
                <w:color w:val="000000"/>
                <w:szCs w:val="28"/>
                <w:highlight w:val="none"/>
                <w:u w:val="none"/>
                <w:lang w:eastAsia="zh-CN"/>
              </w:rPr>
              <w:fldChar w:fldCharType="end"/>
            </w:r>
            <w:r>
              <w:rPr>
                <w:rFonts w:hint="default" w:ascii="Times New Roman" w:hAnsi="Times New Roman" w:eastAsia="宋体" w:cs="Times New Roman"/>
                <w:b w:val="0"/>
                <w:bCs w:val="0"/>
                <w:color w:val="000000"/>
                <w:szCs w:val="28"/>
                <w:highlight w:val="none"/>
                <w:u w:val="none"/>
              </w:rPr>
              <w:t>分别为项目工程完成后附近海域涨急时刻和落急时刻计算的潮流场及工程实施前后涨急时刻流场变化图。</w:t>
            </w:r>
          </w:p>
          <w:p w14:paraId="42FDC80D">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b w:val="0"/>
                <w:bCs w:val="0"/>
                <w:color w:val="000000"/>
                <w:szCs w:val="28"/>
                <w:highlight w:val="none"/>
                <w:u w:val="none"/>
              </w:rPr>
            </w:pPr>
            <w:r>
              <w:rPr>
                <w:rFonts w:hint="default" w:ascii="Times New Roman" w:hAnsi="Times New Roman" w:eastAsia="宋体" w:cs="Times New Roman"/>
                <w:b w:val="0"/>
                <w:bCs w:val="0"/>
                <w:color w:val="000000"/>
                <w:szCs w:val="28"/>
                <w:highlight w:val="none"/>
                <w:u w:val="none"/>
              </w:rPr>
              <w:t>由图可知，涨急时刻，由于工程建设的影响，在项目区范围内存在一定范围的流速减小区，流速变幅在5～20cm/s，越靠近疏浚、基槽开挖和抛石区附近影响越为明显，同时受工程建设的影响，项目区近岸港区附近海域流速有所增加，增加幅度在5～15cm/s之间；落急时刻流速差分布趋势与涨急时刻流速差分布趋势基本一致，主要体现为项目区范围内流速整体呈现减小的趋势，项目区近岸周围海域流速有所增加。</w:t>
            </w:r>
          </w:p>
          <w:p w14:paraId="7E275FAF">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项目建成后，受防波堤的影响，港区周边潮流场发生改变。涨潮时潮流在项目区东侧附近发生分支，一支向西北方向流动，另一支则流向西南。受东防波堤影响，项目区东侧的潮流经东防波堤中北部则发生分支，一支沿着东防波堤和大王马屿之间的海域向西北向流动，在流经东防波堤之后在其西北侧形成逆时针涡流从渔港北侧开口进入港池；另一支则转向西南在流经渔港南侧口门处向北偏转进入港池，并在港池内形成逆时针涡流。项目区周边海域流速大小也发生改变，流速减小的区域分别位于港内水域，东防波堤东侧及北侧海域，南防波堤南侧海域，其中港内水域减幅在0.18m/s内，减幅较大的区域位于东防波堤东北角内侧及南防波堤北侧前沿水域；南防波堤南侧减幅在0.21m/s内；东防波堤东侧流速减幅相对较小，最大减幅约0.08m/s。东防波堤北端西侧海域，东北段与大王马屿之间的海域，南端堤头及口门附近海域由于过水断面增大流速增大。其中渔港北侧开口流速增幅在0.15m/s内，东防波堤东北段与大王马屿之间的海域、南端堤头及口门附近海域流速最大增幅均达到0.19m/s。</w:t>
            </w:r>
          </w:p>
          <w:p w14:paraId="14912413">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b w:val="0"/>
                <w:bCs w:val="0"/>
                <w:color w:val="000000"/>
                <w:szCs w:val="28"/>
                <w:highlight w:val="none"/>
                <w:u w:val="none"/>
              </w:rPr>
            </w:pPr>
            <w:r>
              <w:rPr>
                <w:rFonts w:hint="default" w:ascii="Times New Roman" w:hAnsi="Times New Roman" w:cs="Times New Roman"/>
                <w:color w:val="000000"/>
                <w:highlight w:val="none"/>
                <w:lang w:eastAsia="zh-CN"/>
              </w:rPr>
              <w:t>落潮时，同样受东、南防波堤的影响，潮流在防波堤周边均发生偏转，流速减小的区域仍位于港内水域，东防波堤东侧及北侧海域，南防波堤南侧海域，其中港内水域流速减幅较大，最大减幅约0.10m/s；东防波堤东侧及北侧海域流速减幅在0.06m/s内；而南防波堤南侧海域流速减幅在0.08m/s内。东防波堤与大王马屿西南侧之间的过水断面减小，该海域流速增大，增幅在0.09m/s内；渔港北侧通道流速增幅在0.11m/s内；渔港南侧口门处流速增幅相对较大，最大增幅约0.19m/s。</w:t>
            </w:r>
          </w:p>
          <w:p w14:paraId="0FDEC44B">
            <w:pPr>
              <w:pStyle w:val="31"/>
              <w:bidi w:val="0"/>
              <w:rPr>
                <w:rFonts w:hint="default" w:ascii="Times New Roman" w:hAnsi="Times New Roman" w:cs="Times New Roman"/>
                <w:color w:val="000000"/>
                <w:highlight w:val="none"/>
                <w:lang w:val="en-US" w:eastAsia="zh-CN"/>
              </w:rPr>
            </w:pPr>
            <w:r>
              <w:rPr>
                <w:rFonts w:hint="eastAsia" w:cs="Times New Roman"/>
                <w:color w:val="000000"/>
                <w:kern w:val="2"/>
                <w:sz w:val="21"/>
                <w:szCs w:val="28"/>
                <w:highlight w:val="none"/>
                <w:lang w:val="en-US" w:eastAsia="zh-CN" w:bidi="ar-SA"/>
              </w:rPr>
              <w:t>（涉密删除）</w:t>
            </w:r>
          </w:p>
          <w:p w14:paraId="74F50A2A">
            <w:pPr>
              <w:widowControl w:val="0"/>
              <w:bidi w:val="0"/>
              <w:adjustRightInd/>
              <w:snapToGrid/>
              <w:spacing w:line="240" w:lineRule="auto"/>
              <w:ind w:firstLine="0" w:firstLineChars="0"/>
              <w:jc w:val="center"/>
              <w:rPr>
                <w:rFonts w:hint="default" w:ascii="Times New Roman" w:hAnsi="Times New Roman" w:eastAsia="宋体" w:cs="Times New Roman"/>
                <w:b/>
                <w:color w:val="000000"/>
                <w:kern w:val="2"/>
                <w:sz w:val="24"/>
                <w:szCs w:val="28"/>
                <w:highlight w:val="none"/>
                <w:u w:val="none"/>
                <w:lang w:val="en-US" w:eastAsia="zh-CN" w:bidi="ar-SA"/>
              </w:rPr>
            </w:pPr>
            <w:bookmarkStart w:id="309" w:name="_Ref13736"/>
            <w:r>
              <w:rPr>
                <w:rFonts w:hint="default" w:ascii="Times New Roman" w:hAnsi="Times New Roman" w:eastAsia="宋体" w:cs="Times New Roman"/>
                <w:b/>
                <w:color w:val="000000"/>
                <w:kern w:val="2"/>
                <w:sz w:val="24"/>
                <w:szCs w:val="28"/>
                <w:highlight w:val="none"/>
                <w:u w:val="none"/>
                <w:lang w:val="en-US" w:eastAsia="zh-CN" w:bidi="ar-SA"/>
              </w:rPr>
              <w:t>图</w:t>
            </w:r>
            <w:r>
              <w:rPr>
                <w:rFonts w:hint="default" w:ascii="Times New Roman" w:hAnsi="Times New Roman" w:eastAsia="宋体" w:cs="Times New Roman"/>
                <w:b/>
                <w:color w:val="000000"/>
                <w:kern w:val="2"/>
                <w:sz w:val="24"/>
                <w:szCs w:val="28"/>
                <w:highlight w:val="none"/>
                <w:u w:val="none"/>
                <w:lang w:val="en-US" w:eastAsia="zh-CN" w:bidi="ar-SA"/>
              </w:rPr>
              <w:fldChar w:fldCharType="begin"/>
            </w:r>
            <w:r>
              <w:rPr>
                <w:rFonts w:hint="default" w:ascii="Times New Roman" w:hAnsi="Times New Roman" w:eastAsia="宋体" w:cs="Times New Roman"/>
                <w:b/>
                <w:color w:val="000000"/>
                <w:kern w:val="2"/>
                <w:sz w:val="24"/>
                <w:szCs w:val="28"/>
                <w:highlight w:val="none"/>
                <w:u w:val="none"/>
                <w:lang w:val="en-US" w:eastAsia="zh-CN" w:bidi="ar-SA"/>
              </w:rPr>
              <w:instrText xml:space="preserve"> STYLEREF 2 \s </w:instrText>
            </w:r>
            <w:r>
              <w:rPr>
                <w:rFonts w:hint="default" w:ascii="Times New Roman" w:hAnsi="Times New Roman" w:eastAsia="宋体" w:cs="Times New Roman"/>
                <w:b/>
                <w:color w:val="000000"/>
                <w:kern w:val="2"/>
                <w:sz w:val="24"/>
                <w:szCs w:val="28"/>
                <w:highlight w:val="none"/>
                <w:u w:val="none"/>
                <w:lang w:val="en-US" w:eastAsia="zh-CN" w:bidi="ar-SA"/>
              </w:rPr>
              <w:fldChar w:fldCharType="separate"/>
            </w:r>
            <w:r>
              <w:rPr>
                <w:rFonts w:hint="default" w:ascii="Times New Roman" w:hAnsi="Times New Roman" w:eastAsia="宋体" w:cs="Times New Roman"/>
                <w:b/>
                <w:color w:val="000000"/>
                <w:kern w:val="2"/>
                <w:sz w:val="24"/>
                <w:szCs w:val="28"/>
                <w:highlight w:val="none"/>
                <w:u w:val="none"/>
                <w:lang w:val="en-US" w:eastAsia="zh-CN" w:bidi="ar-SA"/>
              </w:rPr>
              <w:t>4.3</w:t>
            </w:r>
            <w:r>
              <w:rPr>
                <w:rFonts w:hint="default" w:ascii="Times New Roman" w:hAnsi="Times New Roman" w:eastAsia="宋体" w:cs="Times New Roman"/>
                <w:b/>
                <w:color w:val="000000"/>
                <w:kern w:val="2"/>
                <w:sz w:val="24"/>
                <w:szCs w:val="28"/>
                <w:highlight w:val="none"/>
                <w:u w:val="none"/>
                <w:lang w:val="en-US" w:eastAsia="zh-CN" w:bidi="ar-SA"/>
              </w:rPr>
              <w:fldChar w:fldCharType="end"/>
            </w:r>
            <w:r>
              <w:rPr>
                <w:rFonts w:hint="default" w:ascii="Times New Roman" w:hAnsi="Times New Roman" w:eastAsia="宋体" w:cs="Times New Roman"/>
                <w:b/>
                <w:color w:val="000000"/>
                <w:kern w:val="2"/>
                <w:sz w:val="24"/>
                <w:szCs w:val="28"/>
                <w:highlight w:val="none"/>
                <w:u w:val="none"/>
                <w:lang w:val="en-US" w:eastAsia="zh-CN" w:bidi="ar-SA"/>
              </w:rPr>
              <w:t>-</w:t>
            </w:r>
            <w:r>
              <w:rPr>
                <w:rFonts w:hint="default" w:ascii="Times New Roman" w:hAnsi="Times New Roman" w:eastAsia="宋体" w:cs="Times New Roman"/>
                <w:b/>
                <w:color w:val="000000"/>
                <w:kern w:val="2"/>
                <w:sz w:val="24"/>
                <w:szCs w:val="28"/>
                <w:highlight w:val="none"/>
                <w:u w:val="none"/>
                <w:lang w:val="en-US" w:eastAsia="zh-CN" w:bidi="ar-SA"/>
              </w:rPr>
              <w:fldChar w:fldCharType="begin"/>
            </w:r>
            <w:r>
              <w:rPr>
                <w:rFonts w:hint="default" w:ascii="Times New Roman" w:hAnsi="Times New Roman" w:eastAsia="宋体" w:cs="Times New Roman"/>
                <w:b/>
                <w:color w:val="000000"/>
                <w:kern w:val="2"/>
                <w:sz w:val="24"/>
                <w:szCs w:val="28"/>
                <w:highlight w:val="none"/>
                <w:u w:val="none"/>
                <w:lang w:val="en-US" w:eastAsia="zh-CN" w:bidi="ar-SA"/>
              </w:rPr>
              <w:instrText xml:space="preserve"> SEQ 图 \* ARABIC \s 2 </w:instrText>
            </w:r>
            <w:r>
              <w:rPr>
                <w:rFonts w:hint="default" w:ascii="Times New Roman" w:hAnsi="Times New Roman" w:eastAsia="宋体" w:cs="Times New Roman"/>
                <w:b/>
                <w:color w:val="000000"/>
                <w:kern w:val="2"/>
                <w:sz w:val="24"/>
                <w:szCs w:val="28"/>
                <w:highlight w:val="none"/>
                <w:u w:val="none"/>
                <w:lang w:val="en-US" w:eastAsia="zh-CN" w:bidi="ar-SA"/>
              </w:rPr>
              <w:fldChar w:fldCharType="separate"/>
            </w:r>
            <w:r>
              <w:rPr>
                <w:rFonts w:hint="default" w:ascii="Times New Roman" w:hAnsi="Times New Roman" w:eastAsia="宋体" w:cs="Times New Roman"/>
                <w:b/>
                <w:color w:val="000000"/>
                <w:kern w:val="2"/>
                <w:sz w:val="24"/>
                <w:szCs w:val="28"/>
                <w:highlight w:val="none"/>
                <w:u w:val="none"/>
                <w:lang w:val="en-US" w:eastAsia="zh-CN" w:bidi="ar-SA"/>
              </w:rPr>
              <w:t>11</w:t>
            </w:r>
            <w:r>
              <w:rPr>
                <w:rFonts w:hint="default" w:ascii="Times New Roman" w:hAnsi="Times New Roman" w:eastAsia="宋体" w:cs="Times New Roman"/>
                <w:b/>
                <w:color w:val="000000"/>
                <w:kern w:val="2"/>
                <w:sz w:val="24"/>
                <w:szCs w:val="28"/>
                <w:highlight w:val="none"/>
                <w:u w:val="none"/>
                <w:lang w:val="en-US" w:eastAsia="zh-CN" w:bidi="ar-SA"/>
              </w:rPr>
              <w:fldChar w:fldCharType="end"/>
            </w:r>
            <w:bookmarkEnd w:id="309"/>
            <w:r>
              <w:rPr>
                <w:rFonts w:hint="default" w:ascii="Times New Roman" w:hAnsi="Times New Roman" w:eastAsia="宋体" w:cs="Times New Roman"/>
                <w:b/>
                <w:color w:val="000000"/>
                <w:kern w:val="2"/>
                <w:sz w:val="24"/>
                <w:szCs w:val="28"/>
                <w:highlight w:val="none"/>
                <w:u w:val="none"/>
                <w:lang w:val="en-US" w:eastAsia="zh-CN" w:bidi="ar-SA"/>
              </w:rPr>
              <w:t xml:space="preserve"> 工程后涨急时刻流场图</w:t>
            </w:r>
          </w:p>
          <w:p w14:paraId="0C54DC8A">
            <w:pPr>
              <w:pStyle w:val="31"/>
              <w:bidi w:val="0"/>
              <w:rPr>
                <w:rFonts w:hint="default" w:ascii="Times New Roman" w:hAnsi="Times New Roman" w:cs="Times New Roman"/>
                <w:color w:val="000000"/>
                <w:highlight w:val="none"/>
                <w:lang w:val="en-US" w:eastAsia="zh-CN"/>
              </w:rPr>
            </w:pPr>
            <w:r>
              <w:rPr>
                <w:rFonts w:hint="eastAsia" w:cs="Times New Roman"/>
                <w:color w:val="000000"/>
                <w:kern w:val="2"/>
                <w:sz w:val="21"/>
                <w:szCs w:val="28"/>
                <w:highlight w:val="none"/>
                <w:lang w:val="en-US" w:eastAsia="zh-CN" w:bidi="ar-SA"/>
              </w:rPr>
              <w:t>（涉密删除）</w:t>
            </w:r>
          </w:p>
          <w:p w14:paraId="2C984C69">
            <w:pPr>
              <w:widowControl w:val="0"/>
              <w:bidi w:val="0"/>
              <w:adjustRightInd/>
              <w:snapToGrid/>
              <w:spacing w:line="240" w:lineRule="auto"/>
              <w:ind w:firstLine="0" w:firstLineChars="0"/>
              <w:jc w:val="center"/>
              <w:rPr>
                <w:rFonts w:hint="default" w:ascii="Times New Roman" w:hAnsi="Times New Roman" w:eastAsia="宋体" w:cs="Times New Roman"/>
                <w:b/>
                <w:color w:val="000000"/>
                <w:kern w:val="2"/>
                <w:sz w:val="24"/>
                <w:szCs w:val="28"/>
                <w:highlight w:val="none"/>
                <w:u w:val="none"/>
                <w:lang w:val="en-US" w:eastAsia="zh-CN" w:bidi="ar-SA"/>
              </w:rPr>
            </w:pPr>
            <w:bookmarkStart w:id="310" w:name="_Ref13772"/>
            <w:r>
              <w:rPr>
                <w:rFonts w:hint="default" w:ascii="Times New Roman" w:hAnsi="Times New Roman" w:eastAsia="宋体" w:cs="Times New Roman"/>
                <w:b/>
                <w:color w:val="000000"/>
                <w:kern w:val="2"/>
                <w:sz w:val="24"/>
                <w:szCs w:val="28"/>
                <w:highlight w:val="none"/>
                <w:u w:val="none"/>
                <w:lang w:val="en-US" w:eastAsia="zh-CN" w:bidi="ar-SA"/>
              </w:rPr>
              <w:t>图</w:t>
            </w:r>
            <w:r>
              <w:rPr>
                <w:rFonts w:hint="default" w:ascii="Times New Roman" w:hAnsi="Times New Roman" w:eastAsia="宋体" w:cs="Times New Roman"/>
                <w:b/>
                <w:color w:val="000000"/>
                <w:kern w:val="2"/>
                <w:sz w:val="24"/>
                <w:szCs w:val="28"/>
                <w:highlight w:val="none"/>
                <w:u w:val="none"/>
                <w:lang w:val="en-US" w:eastAsia="zh-CN" w:bidi="ar-SA"/>
              </w:rPr>
              <w:fldChar w:fldCharType="begin"/>
            </w:r>
            <w:r>
              <w:rPr>
                <w:rFonts w:hint="default" w:ascii="Times New Roman" w:hAnsi="Times New Roman" w:eastAsia="宋体" w:cs="Times New Roman"/>
                <w:b/>
                <w:color w:val="000000"/>
                <w:kern w:val="2"/>
                <w:sz w:val="24"/>
                <w:szCs w:val="28"/>
                <w:highlight w:val="none"/>
                <w:u w:val="none"/>
                <w:lang w:val="en-US" w:eastAsia="zh-CN" w:bidi="ar-SA"/>
              </w:rPr>
              <w:instrText xml:space="preserve"> STYLEREF 2 \s </w:instrText>
            </w:r>
            <w:r>
              <w:rPr>
                <w:rFonts w:hint="default" w:ascii="Times New Roman" w:hAnsi="Times New Roman" w:eastAsia="宋体" w:cs="Times New Roman"/>
                <w:b/>
                <w:color w:val="000000"/>
                <w:kern w:val="2"/>
                <w:sz w:val="24"/>
                <w:szCs w:val="28"/>
                <w:highlight w:val="none"/>
                <w:u w:val="none"/>
                <w:lang w:val="en-US" w:eastAsia="zh-CN" w:bidi="ar-SA"/>
              </w:rPr>
              <w:fldChar w:fldCharType="separate"/>
            </w:r>
            <w:r>
              <w:rPr>
                <w:rFonts w:hint="default" w:ascii="Times New Roman" w:hAnsi="Times New Roman" w:eastAsia="宋体" w:cs="Times New Roman"/>
                <w:b/>
                <w:color w:val="000000"/>
                <w:kern w:val="2"/>
                <w:sz w:val="24"/>
                <w:szCs w:val="28"/>
                <w:highlight w:val="none"/>
                <w:u w:val="none"/>
                <w:lang w:val="en-US" w:eastAsia="zh-CN" w:bidi="ar-SA"/>
              </w:rPr>
              <w:t>4.3</w:t>
            </w:r>
            <w:r>
              <w:rPr>
                <w:rFonts w:hint="default" w:ascii="Times New Roman" w:hAnsi="Times New Roman" w:eastAsia="宋体" w:cs="Times New Roman"/>
                <w:b/>
                <w:color w:val="000000"/>
                <w:kern w:val="2"/>
                <w:sz w:val="24"/>
                <w:szCs w:val="28"/>
                <w:highlight w:val="none"/>
                <w:u w:val="none"/>
                <w:lang w:val="en-US" w:eastAsia="zh-CN" w:bidi="ar-SA"/>
              </w:rPr>
              <w:fldChar w:fldCharType="end"/>
            </w:r>
            <w:r>
              <w:rPr>
                <w:rFonts w:hint="default" w:ascii="Times New Roman" w:hAnsi="Times New Roman" w:eastAsia="宋体" w:cs="Times New Roman"/>
                <w:b/>
                <w:color w:val="000000"/>
                <w:kern w:val="2"/>
                <w:sz w:val="24"/>
                <w:szCs w:val="28"/>
                <w:highlight w:val="none"/>
                <w:u w:val="none"/>
                <w:lang w:val="en-US" w:eastAsia="zh-CN" w:bidi="ar-SA"/>
              </w:rPr>
              <w:t>-</w:t>
            </w:r>
            <w:r>
              <w:rPr>
                <w:rFonts w:hint="default" w:ascii="Times New Roman" w:hAnsi="Times New Roman" w:eastAsia="宋体" w:cs="Times New Roman"/>
                <w:b/>
                <w:color w:val="000000"/>
                <w:kern w:val="2"/>
                <w:sz w:val="24"/>
                <w:szCs w:val="28"/>
                <w:highlight w:val="none"/>
                <w:u w:val="none"/>
                <w:lang w:val="en-US" w:eastAsia="zh-CN" w:bidi="ar-SA"/>
              </w:rPr>
              <w:fldChar w:fldCharType="begin"/>
            </w:r>
            <w:r>
              <w:rPr>
                <w:rFonts w:hint="default" w:ascii="Times New Roman" w:hAnsi="Times New Roman" w:eastAsia="宋体" w:cs="Times New Roman"/>
                <w:b/>
                <w:color w:val="000000"/>
                <w:kern w:val="2"/>
                <w:sz w:val="24"/>
                <w:szCs w:val="28"/>
                <w:highlight w:val="none"/>
                <w:u w:val="none"/>
                <w:lang w:val="en-US" w:eastAsia="zh-CN" w:bidi="ar-SA"/>
              </w:rPr>
              <w:instrText xml:space="preserve"> SEQ 图 \* ARABIC \s 2 </w:instrText>
            </w:r>
            <w:r>
              <w:rPr>
                <w:rFonts w:hint="default" w:ascii="Times New Roman" w:hAnsi="Times New Roman" w:eastAsia="宋体" w:cs="Times New Roman"/>
                <w:b/>
                <w:color w:val="000000"/>
                <w:kern w:val="2"/>
                <w:sz w:val="24"/>
                <w:szCs w:val="28"/>
                <w:highlight w:val="none"/>
                <w:u w:val="none"/>
                <w:lang w:val="en-US" w:eastAsia="zh-CN" w:bidi="ar-SA"/>
              </w:rPr>
              <w:fldChar w:fldCharType="separate"/>
            </w:r>
            <w:r>
              <w:rPr>
                <w:rFonts w:hint="default" w:ascii="Times New Roman" w:hAnsi="Times New Roman" w:eastAsia="宋体" w:cs="Times New Roman"/>
                <w:b/>
                <w:color w:val="000000"/>
                <w:kern w:val="2"/>
                <w:sz w:val="24"/>
                <w:szCs w:val="28"/>
                <w:highlight w:val="none"/>
                <w:u w:val="none"/>
                <w:lang w:val="en-US" w:eastAsia="zh-CN" w:bidi="ar-SA"/>
              </w:rPr>
              <w:t>12</w:t>
            </w:r>
            <w:r>
              <w:rPr>
                <w:rFonts w:hint="default" w:ascii="Times New Roman" w:hAnsi="Times New Roman" w:eastAsia="宋体" w:cs="Times New Roman"/>
                <w:b/>
                <w:color w:val="000000"/>
                <w:kern w:val="2"/>
                <w:sz w:val="24"/>
                <w:szCs w:val="28"/>
                <w:highlight w:val="none"/>
                <w:u w:val="none"/>
                <w:lang w:val="en-US" w:eastAsia="zh-CN" w:bidi="ar-SA"/>
              </w:rPr>
              <w:fldChar w:fldCharType="end"/>
            </w:r>
            <w:bookmarkEnd w:id="310"/>
            <w:r>
              <w:rPr>
                <w:rFonts w:hint="default" w:ascii="Times New Roman" w:hAnsi="Times New Roman" w:eastAsia="宋体" w:cs="Times New Roman"/>
                <w:b/>
                <w:color w:val="000000"/>
                <w:kern w:val="2"/>
                <w:sz w:val="24"/>
                <w:szCs w:val="28"/>
                <w:highlight w:val="none"/>
                <w:u w:val="none"/>
                <w:lang w:val="en-US" w:eastAsia="zh-CN" w:bidi="ar-SA"/>
              </w:rPr>
              <w:t xml:space="preserve"> 工程后落急时刻流场图</w:t>
            </w:r>
          </w:p>
          <w:p w14:paraId="1CFC8B11">
            <w:pPr>
              <w:pStyle w:val="31"/>
              <w:bidi w:val="0"/>
              <w:rPr>
                <w:rFonts w:hint="default" w:ascii="Times New Roman" w:hAnsi="Times New Roman" w:cs="Times New Roman"/>
                <w:color w:val="000000"/>
                <w:highlight w:val="none"/>
                <w:lang w:val="en-US" w:eastAsia="zh-CN"/>
              </w:rPr>
            </w:pPr>
            <w:r>
              <w:rPr>
                <w:rFonts w:hint="eastAsia" w:cs="Times New Roman"/>
                <w:color w:val="000000"/>
                <w:kern w:val="2"/>
                <w:sz w:val="21"/>
                <w:szCs w:val="28"/>
                <w:highlight w:val="none"/>
                <w:lang w:val="en-US" w:eastAsia="zh-CN" w:bidi="ar-SA"/>
              </w:rPr>
              <w:t>（涉密删除）</w:t>
            </w:r>
          </w:p>
          <w:p w14:paraId="4A956E39">
            <w:pPr>
              <w:widowControl w:val="0"/>
              <w:bidi w:val="0"/>
              <w:adjustRightInd/>
              <w:snapToGrid/>
              <w:spacing w:line="240" w:lineRule="auto"/>
              <w:ind w:firstLine="0" w:firstLineChars="0"/>
              <w:jc w:val="center"/>
              <w:rPr>
                <w:rFonts w:hint="default" w:ascii="Times New Roman" w:hAnsi="Times New Roman" w:eastAsia="宋体" w:cs="Times New Roman"/>
                <w:b/>
                <w:color w:val="000000"/>
                <w:kern w:val="2"/>
                <w:sz w:val="24"/>
                <w:szCs w:val="28"/>
                <w:highlight w:val="none"/>
                <w:u w:val="none"/>
                <w:lang w:val="en-US" w:eastAsia="zh-CN" w:bidi="ar-SA"/>
              </w:rPr>
            </w:pPr>
            <w:bookmarkStart w:id="311" w:name="_Ref13775"/>
            <w:r>
              <w:rPr>
                <w:rFonts w:hint="default" w:ascii="Times New Roman" w:hAnsi="Times New Roman" w:eastAsia="宋体" w:cs="Times New Roman"/>
                <w:b/>
                <w:color w:val="000000"/>
                <w:kern w:val="2"/>
                <w:sz w:val="24"/>
                <w:szCs w:val="28"/>
                <w:highlight w:val="none"/>
                <w:u w:val="none"/>
                <w:lang w:val="en-US" w:eastAsia="zh-CN" w:bidi="ar-SA"/>
              </w:rPr>
              <w:t xml:space="preserve">图 </w:t>
            </w:r>
            <w:r>
              <w:rPr>
                <w:rFonts w:hint="default" w:ascii="Times New Roman" w:hAnsi="Times New Roman" w:eastAsia="宋体" w:cs="Times New Roman"/>
                <w:b/>
                <w:color w:val="000000"/>
                <w:kern w:val="2"/>
                <w:sz w:val="24"/>
                <w:szCs w:val="28"/>
                <w:highlight w:val="none"/>
                <w:u w:val="none"/>
                <w:lang w:val="en-US" w:eastAsia="zh-CN" w:bidi="ar-SA"/>
              </w:rPr>
              <w:fldChar w:fldCharType="begin"/>
            </w:r>
            <w:r>
              <w:rPr>
                <w:rFonts w:hint="default" w:ascii="Times New Roman" w:hAnsi="Times New Roman" w:eastAsia="宋体" w:cs="Times New Roman"/>
                <w:b/>
                <w:color w:val="000000"/>
                <w:kern w:val="2"/>
                <w:sz w:val="24"/>
                <w:szCs w:val="28"/>
                <w:highlight w:val="none"/>
                <w:u w:val="none"/>
                <w:lang w:val="en-US" w:eastAsia="zh-CN" w:bidi="ar-SA"/>
              </w:rPr>
              <w:instrText xml:space="preserve"> STYLEREF 2 \s </w:instrText>
            </w:r>
            <w:r>
              <w:rPr>
                <w:rFonts w:hint="default" w:ascii="Times New Roman" w:hAnsi="Times New Roman" w:eastAsia="宋体" w:cs="Times New Roman"/>
                <w:b/>
                <w:color w:val="000000"/>
                <w:kern w:val="2"/>
                <w:sz w:val="24"/>
                <w:szCs w:val="28"/>
                <w:highlight w:val="none"/>
                <w:u w:val="none"/>
                <w:lang w:val="en-US" w:eastAsia="zh-CN" w:bidi="ar-SA"/>
              </w:rPr>
              <w:fldChar w:fldCharType="separate"/>
            </w:r>
            <w:r>
              <w:rPr>
                <w:rFonts w:hint="default" w:ascii="Times New Roman" w:hAnsi="Times New Roman" w:eastAsia="宋体" w:cs="Times New Roman"/>
                <w:b/>
                <w:color w:val="000000"/>
                <w:kern w:val="2"/>
                <w:sz w:val="24"/>
                <w:szCs w:val="28"/>
                <w:highlight w:val="none"/>
                <w:u w:val="none"/>
                <w:lang w:val="en-US" w:eastAsia="zh-CN" w:bidi="ar-SA"/>
              </w:rPr>
              <w:t>4.3</w:t>
            </w:r>
            <w:r>
              <w:rPr>
                <w:rFonts w:hint="default" w:ascii="Times New Roman" w:hAnsi="Times New Roman" w:eastAsia="宋体" w:cs="Times New Roman"/>
                <w:b/>
                <w:color w:val="000000"/>
                <w:kern w:val="2"/>
                <w:sz w:val="24"/>
                <w:szCs w:val="28"/>
                <w:highlight w:val="none"/>
                <w:u w:val="none"/>
                <w:lang w:val="en-US" w:eastAsia="zh-CN" w:bidi="ar-SA"/>
              </w:rPr>
              <w:fldChar w:fldCharType="end"/>
            </w:r>
            <w:r>
              <w:rPr>
                <w:rFonts w:hint="default" w:ascii="Times New Roman" w:hAnsi="Times New Roman" w:eastAsia="宋体" w:cs="Times New Roman"/>
                <w:b/>
                <w:color w:val="000000"/>
                <w:kern w:val="2"/>
                <w:sz w:val="24"/>
                <w:szCs w:val="28"/>
                <w:highlight w:val="none"/>
                <w:u w:val="none"/>
                <w:lang w:val="en-US" w:eastAsia="zh-CN" w:bidi="ar-SA"/>
              </w:rPr>
              <w:t>-</w:t>
            </w:r>
            <w:r>
              <w:rPr>
                <w:rFonts w:hint="default" w:ascii="Times New Roman" w:hAnsi="Times New Roman" w:eastAsia="宋体" w:cs="Times New Roman"/>
                <w:b/>
                <w:color w:val="000000"/>
                <w:kern w:val="2"/>
                <w:sz w:val="24"/>
                <w:szCs w:val="28"/>
                <w:highlight w:val="none"/>
                <w:u w:val="none"/>
                <w:lang w:val="en-US" w:eastAsia="zh-CN" w:bidi="ar-SA"/>
              </w:rPr>
              <w:fldChar w:fldCharType="begin"/>
            </w:r>
            <w:r>
              <w:rPr>
                <w:rFonts w:hint="default" w:ascii="Times New Roman" w:hAnsi="Times New Roman" w:eastAsia="宋体" w:cs="Times New Roman"/>
                <w:b/>
                <w:color w:val="000000"/>
                <w:kern w:val="2"/>
                <w:sz w:val="24"/>
                <w:szCs w:val="28"/>
                <w:highlight w:val="none"/>
                <w:u w:val="none"/>
                <w:lang w:val="en-US" w:eastAsia="zh-CN" w:bidi="ar-SA"/>
              </w:rPr>
              <w:instrText xml:space="preserve"> SEQ 图 \* ARABIC \s 2 </w:instrText>
            </w:r>
            <w:r>
              <w:rPr>
                <w:rFonts w:hint="default" w:ascii="Times New Roman" w:hAnsi="Times New Roman" w:eastAsia="宋体" w:cs="Times New Roman"/>
                <w:b/>
                <w:color w:val="000000"/>
                <w:kern w:val="2"/>
                <w:sz w:val="24"/>
                <w:szCs w:val="28"/>
                <w:highlight w:val="none"/>
                <w:u w:val="none"/>
                <w:lang w:val="en-US" w:eastAsia="zh-CN" w:bidi="ar-SA"/>
              </w:rPr>
              <w:fldChar w:fldCharType="separate"/>
            </w:r>
            <w:r>
              <w:rPr>
                <w:rFonts w:hint="default" w:ascii="Times New Roman" w:hAnsi="Times New Roman" w:eastAsia="宋体" w:cs="Times New Roman"/>
                <w:b/>
                <w:color w:val="000000"/>
                <w:kern w:val="2"/>
                <w:sz w:val="24"/>
                <w:szCs w:val="28"/>
                <w:highlight w:val="none"/>
                <w:u w:val="none"/>
                <w:lang w:val="en-US" w:eastAsia="zh-CN" w:bidi="ar-SA"/>
              </w:rPr>
              <w:t>13</w:t>
            </w:r>
            <w:r>
              <w:rPr>
                <w:rFonts w:hint="default" w:ascii="Times New Roman" w:hAnsi="Times New Roman" w:eastAsia="宋体" w:cs="Times New Roman"/>
                <w:b/>
                <w:color w:val="000000"/>
                <w:kern w:val="2"/>
                <w:sz w:val="24"/>
                <w:szCs w:val="28"/>
                <w:highlight w:val="none"/>
                <w:u w:val="none"/>
                <w:lang w:val="en-US" w:eastAsia="zh-CN" w:bidi="ar-SA"/>
              </w:rPr>
              <w:fldChar w:fldCharType="end"/>
            </w:r>
            <w:bookmarkEnd w:id="311"/>
            <w:r>
              <w:rPr>
                <w:rFonts w:hint="default" w:ascii="Times New Roman" w:hAnsi="Times New Roman" w:eastAsia="宋体" w:cs="Times New Roman"/>
                <w:b/>
                <w:color w:val="000000"/>
                <w:kern w:val="2"/>
                <w:sz w:val="24"/>
                <w:szCs w:val="28"/>
                <w:highlight w:val="none"/>
                <w:u w:val="none"/>
                <w:lang w:val="en-US" w:eastAsia="zh-CN" w:bidi="ar-SA"/>
              </w:rPr>
              <w:t xml:space="preserve"> </w:t>
            </w:r>
            <w:bookmarkStart w:id="312" w:name="_Hlk119588195"/>
            <w:r>
              <w:rPr>
                <w:rFonts w:hint="default" w:ascii="Times New Roman" w:hAnsi="Times New Roman" w:eastAsia="宋体" w:cs="Times New Roman"/>
                <w:b/>
                <w:color w:val="000000"/>
                <w:kern w:val="2"/>
                <w:sz w:val="24"/>
                <w:szCs w:val="28"/>
                <w:highlight w:val="none"/>
                <w:u w:val="none"/>
                <w:lang w:val="en-US" w:eastAsia="zh-CN" w:bidi="ar-SA"/>
              </w:rPr>
              <w:t>工程</w:t>
            </w:r>
            <w:bookmarkEnd w:id="312"/>
            <w:r>
              <w:rPr>
                <w:rFonts w:hint="default" w:ascii="Times New Roman" w:hAnsi="Times New Roman" w:eastAsia="宋体" w:cs="Times New Roman"/>
                <w:b/>
                <w:color w:val="000000"/>
                <w:kern w:val="2"/>
                <w:sz w:val="24"/>
                <w:szCs w:val="28"/>
                <w:highlight w:val="none"/>
                <w:u w:val="none"/>
                <w:lang w:val="en-US" w:eastAsia="zh-CN" w:bidi="ar-SA"/>
              </w:rPr>
              <w:t>实施前后涨急时刻流场变化</w:t>
            </w:r>
          </w:p>
          <w:p w14:paraId="6ECE081C">
            <w:pPr>
              <w:pStyle w:val="31"/>
              <w:bidi w:val="0"/>
              <w:rPr>
                <w:rFonts w:hint="default" w:ascii="Times New Roman" w:hAnsi="Times New Roman" w:cs="Times New Roman"/>
                <w:color w:val="000000"/>
                <w:highlight w:val="none"/>
                <w:lang w:val="en-US" w:eastAsia="zh-CN"/>
              </w:rPr>
            </w:pPr>
            <w:r>
              <w:rPr>
                <w:rFonts w:hint="eastAsia" w:cs="Times New Roman"/>
                <w:color w:val="000000"/>
                <w:kern w:val="2"/>
                <w:sz w:val="21"/>
                <w:szCs w:val="28"/>
                <w:highlight w:val="none"/>
                <w:lang w:val="en-US" w:eastAsia="zh-CN" w:bidi="ar-SA"/>
              </w:rPr>
              <w:t>（涉密删除）</w:t>
            </w:r>
          </w:p>
          <w:p w14:paraId="0A2AD5CA">
            <w:pPr>
              <w:widowControl w:val="0"/>
              <w:bidi w:val="0"/>
              <w:adjustRightInd/>
              <w:snapToGrid/>
              <w:spacing w:line="240" w:lineRule="auto"/>
              <w:ind w:firstLine="0" w:firstLineChars="0"/>
              <w:jc w:val="center"/>
              <w:rPr>
                <w:rFonts w:hint="default" w:ascii="Times New Roman" w:hAnsi="Times New Roman" w:eastAsia="宋体" w:cs="Times New Roman"/>
                <w:b/>
                <w:color w:val="000000"/>
                <w:kern w:val="2"/>
                <w:sz w:val="24"/>
                <w:szCs w:val="28"/>
                <w:highlight w:val="none"/>
                <w:u w:val="none"/>
                <w:lang w:val="en-US" w:eastAsia="zh-CN" w:bidi="ar-SA"/>
              </w:rPr>
            </w:pPr>
            <w:bookmarkStart w:id="313" w:name="_Ref13781"/>
            <w:r>
              <w:rPr>
                <w:rFonts w:hint="default" w:ascii="Times New Roman" w:hAnsi="Times New Roman" w:eastAsia="宋体" w:cs="Times New Roman"/>
                <w:b/>
                <w:color w:val="000000"/>
                <w:kern w:val="2"/>
                <w:sz w:val="24"/>
                <w:szCs w:val="28"/>
                <w:highlight w:val="none"/>
                <w:u w:val="none"/>
                <w:lang w:val="en-US" w:eastAsia="zh-CN" w:bidi="ar-SA"/>
              </w:rPr>
              <w:t>图</w:t>
            </w:r>
            <w:r>
              <w:rPr>
                <w:rFonts w:hint="default" w:ascii="Times New Roman" w:hAnsi="Times New Roman" w:eastAsia="宋体" w:cs="Times New Roman"/>
                <w:b/>
                <w:color w:val="000000"/>
                <w:kern w:val="2"/>
                <w:sz w:val="24"/>
                <w:szCs w:val="28"/>
                <w:highlight w:val="none"/>
                <w:u w:val="none"/>
                <w:lang w:val="en-US" w:eastAsia="zh-CN" w:bidi="ar-SA"/>
              </w:rPr>
              <w:fldChar w:fldCharType="begin"/>
            </w:r>
            <w:r>
              <w:rPr>
                <w:rFonts w:hint="default" w:ascii="Times New Roman" w:hAnsi="Times New Roman" w:eastAsia="宋体" w:cs="Times New Roman"/>
                <w:b/>
                <w:color w:val="000000"/>
                <w:kern w:val="2"/>
                <w:sz w:val="24"/>
                <w:szCs w:val="28"/>
                <w:highlight w:val="none"/>
                <w:u w:val="none"/>
                <w:lang w:val="en-US" w:eastAsia="zh-CN" w:bidi="ar-SA"/>
              </w:rPr>
              <w:instrText xml:space="preserve"> STYLEREF 2 \s </w:instrText>
            </w:r>
            <w:r>
              <w:rPr>
                <w:rFonts w:hint="default" w:ascii="Times New Roman" w:hAnsi="Times New Roman" w:eastAsia="宋体" w:cs="Times New Roman"/>
                <w:b/>
                <w:color w:val="000000"/>
                <w:kern w:val="2"/>
                <w:sz w:val="24"/>
                <w:szCs w:val="28"/>
                <w:highlight w:val="none"/>
                <w:u w:val="none"/>
                <w:lang w:val="en-US" w:eastAsia="zh-CN" w:bidi="ar-SA"/>
              </w:rPr>
              <w:fldChar w:fldCharType="separate"/>
            </w:r>
            <w:r>
              <w:rPr>
                <w:rFonts w:hint="default" w:ascii="Times New Roman" w:hAnsi="Times New Roman" w:eastAsia="宋体" w:cs="Times New Roman"/>
                <w:b/>
                <w:color w:val="000000"/>
                <w:kern w:val="2"/>
                <w:sz w:val="24"/>
                <w:szCs w:val="28"/>
                <w:highlight w:val="none"/>
                <w:u w:val="none"/>
                <w:lang w:val="en-US" w:eastAsia="zh-CN" w:bidi="ar-SA"/>
              </w:rPr>
              <w:t>4.3</w:t>
            </w:r>
            <w:r>
              <w:rPr>
                <w:rFonts w:hint="default" w:ascii="Times New Roman" w:hAnsi="Times New Roman" w:eastAsia="宋体" w:cs="Times New Roman"/>
                <w:b/>
                <w:color w:val="000000"/>
                <w:kern w:val="2"/>
                <w:sz w:val="24"/>
                <w:szCs w:val="28"/>
                <w:highlight w:val="none"/>
                <w:u w:val="none"/>
                <w:lang w:val="en-US" w:eastAsia="zh-CN" w:bidi="ar-SA"/>
              </w:rPr>
              <w:fldChar w:fldCharType="end"/>
            </w:r>
            <w:r>
              <w:rPr>
                <w:rFonts w:hint="default" w:ascii="Times New Roman" w:hAnsi="Times New Roman" w:eastAsia="宋体" w:cs="Times New Roman"/>
                <w:b/>
                <w:color w:val="000000"/>
                <w:kern w:val="2"/>
                <w:sz w:val="24"/>
                <w:szCs w:val="28"/>
                <w:highlight w:val="none"/>
                <w:u w:val="none"/>
                <w:lang w:val="en-US" w:eastAsia="zh-CN" w:bidi="ar-SA"/>
              </w:rPr>
              <w:t>-</w:t>
            </w:r>
            <w:r>
              <w:rPr>
                <w:rFonts w:hint="default" w:ascii="Times New Roman" w:hAnsi="Times New Roman" w:eastAsia="宋体" w:cs="Times New Roman"/>
                <w:b/>
                <w:color w:val="000000"/>
                <w:kern w:val="2"/>
                <w:sz w:val="24"/>
                <w:szCs w:val="28"/>
                <w:highlight w:val="none"/>
                <w:u w:val="none"/>
                <w:lang w:val="en-US" w:eastAsia="zh-CN" w:bidi="ar-SA"/>
              </w:rPr>
              <w:fldChar w:fldCharType="begin"/>
            </w:r>
            <w:r>
              <w:rPr>
                <w:rFonts w:hint="default" w:ascii="Times New Roman" w:hAnsi="Times New Roman" w:eastAsia="宋体" w:cs="Times New Roman"/>
                <w:b/>
                <w:color w:val="000000"/>
                <w:kern w:val="2"/>
                <w:sz w:val="24"/>
                <w:szCs w:val="28"/>
                <w:highlight w:val="none"/>
                <w:u w:val="none"/>
                <w:lang w:val="en-US" w:eastAsia="zh-CN" w:bidi="ar-SA"/>
              </w:rPr>
              <w:instrText xml:space="preserve"> SEQ 图 \* ARABIC \s 2 </w:instrText>
            </w:r>
            <w:r>
              <w:rPr>
                <w:rFonts w:hint="default" w:ascii="Times New Roman" w:hAnsi="Times New Roman" w:eastAsia="宋体" w:cs="Times New Roman"/>
                <w:b/>
                <w:color w:val="000000"/>
                <w:kern w:val="2"/>
                <w:sz w:val="24"/>
                <w:szCs w:val="28"/>
                <w:highlight w:val="none"/>
                <w:u w:val="none"/>
                <w:lang w:val="en-US" w:eastAsia="zh-CN" w:bidi="ar-SA"/>
              </w:rPr>
              <w:fldChar w:fldCharType="separate"/>
            </w:r>
            <w:r>
              <w:rPr>
                <w:rFonts w:hint="default" w:ascii="Times New Roman" w:hAnsi="Times New Roman" w:eastAsia="宋体" w:cs="Times New Roman"/>
                <w:b/>
                <w:color w:val="000000"/>
                <w:kern w:val="2"/>
                <w:sz w:val="24"/>
                <w:szCs w:val="28"/>
                <w:highlight w:val="none"/>
                <w:u w:val="none"/>
                <w:lang w:val="en-US" w:eastAsia="zh-CN" w:bidi="ar-SA"/>
              </w:rPr>
              <w:t>14</w:t>
            </w:r>
            <w:r>
              <w:rPr>
                <w:rFonts w:hint="default" w:ascii="Times New Roman" w:hAnsi="Times New Roman" w:eastAsia="宋体" w:cs="Times New Roman"/>
                <w:b/>
                <w:color w:val="000000"/>
                <w:kern w:val="2"/>
                <w:sz w:val="24"/>
                <w:szCs w:val="28"/>
                <w:highlight w:val="none"/>
                <w:u w:val="none"/>
                <w:lang w:val="en-US" w:eastAsia="zh-CN" w:bidi="ar-SA"/>
              </w:rPr>
              <w:fldChar w:fldCharType="end"/>
            </w:r>
            <w:bookmarkEnd w:id="313"/>
            <w:r>
              <w:rPr>
                <w:rFonts w:hint="default" w:ascii="Times New Roman" w:hAnsi="Times New Roman" w:eastAsia="宋体" w:cs="Times New Roman"/>
                <w:b/>
                <w:color w:val="000000"/>
                <w:kern w:val="2"/>
                <w:sz w:val="24"/>
                <w:szCs w:val="28"/>
                <w:highlight w:val="none"/>
                <w:u w:val="none"/>
                <w:lang w:val="en-US" w:eastAsia="zh-CN" w:bidi="ar-SA"/>
              </w:rPr>
              <w:t xml:space="preserve"> 工程实施前后落急时刻流场变化</w:t>
            </w:r>
          </w:p>
          <w:p w14:paraId="3995B621">
            <w:pPr>
              <w:pStyle w:val="4"/>
              <w:bidi w:val="0"/>
              <w:rPr>
                <w:rFonts w:hint="default"/>
              </w:rPr>
            </w:pPr>
            <w:bookmarkStart w:id="314" w:name="_Toc10043"/>
            <w:bookmarkStart w:id="315" w:name="_Toc6771"/>
            <w:r>
              <w:rPr>
                <w:rFonts w:hint="default"/>
                <w:lang w:val="en-US" w:eastAsia="zh-CN"/>
              </w:rPr>
              <w:t>地形地貌与冲淤环境影响分析</w:t>
            </w:r>
            <w:bookmarkEnd w:id="314"/>
            <w:bookmarkEnd w:id="315"/>
          </w:p>
          <w:p w14:paraId="100AA9C1">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工程实施后将引起工程周围及其附近局部海域的潮流运动和泥沙运动发生一定的变化，周期性潮流会携带大量的泥沙输移，从而引起床面的冲淤变化，上述现象是一个复杂的物理过程。鉴于泥沙输移的复杂性和床面冲淤理论的经验性，在海洋工程领域，对于工程建设引起的海床冲淤变化，常采用基于潮流数模计算结果的冲淤计算半经验半理论公式分析工程实施后的冲淤变化。</w:t>
            </w:r>
          </w:p>
          <w:p w14:paraId="2EC1112B">
            <w:pPr>
              <w:pStyle w:val="5"/>
              <w:bidi w:val="0"/>
              <w:rPr>
                <w:rFonts w:hint="default"/>
                <w:lang w:eastAsia="zh-CN"/>
              </w:rPr>
            </w:pPr>
            <w:bookmarkStart w:id="316" w:name="_Toc7653"/>
            <w:r>
              <w:rPr>
                <w:rFonts w:hint="default"/>
                <w:lang w:val="en-US" w:eastAsia="zh-CN"/>
              </w:rPr>
              <w:t>计算公式</w:t>
            </w:r>
            <w:bookmarkEnd w:id="316"/>
          </w:p>
          <w:p w14:paraId="305C219C">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szCs w:val="28"/>
                <w:highlight w:val="none"/>
              </w:rPr>
            </w:pPr>
            <w:r>
              <w:rPr>
                <w:rFonts w:hint="default" w:ascii="Times New Roman" w:hAnsi="Times New Roman" w:eastAsia="宋体" w:cs="Times New Roman"/>
                <w:color w:val="000000"/>
                <w:szCs w:val="28"/>
                <w:highlight w:val="none"/>
              </w:rPr>
              <w:t>窦国仁的潮汐水流悬沙运动微分方程为：</w:t>
            </w:r>
          </w:p>
          <w:p w14:paraId="681CB770">
            <w:pPr>
              <w:adjustRightInd w:val="0"/>
              <w:snapToGrid w:val="0"/>
              <w:jc w:val="right"/>
              <w:rPr>
                <w:rFonts w:hint="default" w:ascii="Times New Roman" w:hAnsi="Times New Roman" w:eastAsia="宋体" w:cs="Times New Roman"/>
                <w:color w:val="000000"/>
                <w:szCs w:val="28"/>
                <w:highlight w:val="none"/>
              </w:rPr>
            </w:pPr>
            <w:r>
              <w:rPr>
                <w:rFonts w:hint="default" w:ascii="Times New Roman" w:hAnsi="Times New Roman" w:eastAsia="宋体" w:cs="Times New Roman"/>
                <w:color w:val="000000"/>
                <w:position w:val="-24"/>
                <w:szCs w:val="24"/>
                <w:highlight w:val="none"/>
              </w:rPr>
              <w:drawing>
                <wp:inline distT="0" distB="0" distL="114300" distR="114300">
                  <wp:extent cx="2057400" cy="389890"/>
                  <wp:effectExtent l="0" t="0" r="0" b="10795"/>
                  <wp:docPr id="253" name="图片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908"/>
                          <pic:cNvPicPr>
                            <a:picLocks noChangeAspect="1"/>
                          </pic:cNvPicPr>
                        </pic:nvPicPr>
                        <pic:blipFill>
                          <a:blip r:embed="rId91"/>
                          <a:stretch>
                            <a:fillRect/>
                          </a:stretch>
                        </pic:blipFill>
                        <pic:spPr>
                          <a:xfrm>
                            <a:off x="0" y="0"/>
                            <a:ext cx="2057400" cy="389890"/>
                          </a:xfrm>
                          <a:prstGeom prst="rect">
                            <a:avLst/>
                          </a:prstGeom>
                          <a:noFill/>
                          <a:ln>
                            <a:noFill/>
                          </a:ln>
                        </pic:spPr>
                      </pic:pic>
                    </a:graphicData>
                  </a:graphic>
                </wp:inline>
              </w:drawing>
            </w:r>
            <w:r>
              <w:rPr>
                <w:rFonts w:hint="default" w:ascii="Times New Roman" w:hAnsi="Times New Roman" w:eastAsia="宋体" w:cs="Times New Roman"/>
                <w:color w:val="000000"/>
                <w:position w:val="-24"/>
                <w:szCs w:val="24"/>
                <w:highlight w:val="none"/>
              </w:rPr>
              <w:t xml:space="preserve">             （</w:t>
            </w:r>
            <w:r>
              <w:rPr>
                <w:rFonts w:hint="eastAsia" w:cs="Times New Roman"/>
                <w:color w:val="000000"/>
                <w:position w:val="-24"/>
                <w:szCs w:val="24"/>
                <w:highlight w:val="none"/>
                <w:lang w:val="en-US" w:eastAsia="zh-CN"/>
              </w:rPr>
              <w:t>4</w:t>
            </w:r>
            <w:r>
              <w:rPr>
                <w:rFonts w:hint="default" w:ascii="Times New Roman" w:hAnsi="Times New Roman" w:eastAsia="宋体" w:cs="Times New Roman"/>
                <w:color w:val="000000"/>
                <w:position w:val="-24"/>
                <w:szCs w:val="24"/>
                <w:highlight w:val="none"/>
                <w:lang w:eastAsia="zh-CN"/>
              </w:rPr>
              <w:t>.</w:t>
            </w:r>
            <w:r>
              <w:rPr>
                <w:rFonts w:hint="eastAsia" w:cs="Times New Roman"/>
                <w:color w:val="000000"/>
                <w:position w:val="-24"/>
                <w:szCs w:val="24"/>
                <w:highlight w:val="none"/>
                <w:lang w:val="en-US" w:eastAsia="zh-CN"/>
              </w:rPr>
              <w:t>3</w:t>
            </w:r>
            <w:r>
              <w:rPr>
                <w:rFonts w:hint="default" w:ascii="Times New Roman" w:hAnsi="Times New Roman" w:eastAsia="宋体" w:cs="Times New Roman"/>
                <w:color w:val="000000"/>
                <w:position w:val="-24"/>
                <w:szCs w:val="24"/>
                <w:highlight w:val="none"/>
                <w:lang w:eastAsia="zh-CN"/>
              </w:rPr>
              <w:t>.</w:t>
            </w:r>
            <w:r>
              <w:rPr>
                <w:rFonts w:hint="eastAsia" w:cs="Times New Roman"/>
                <w:color w:val="000000"/>
                <w:position w:val="-24"/>
                <w:szCs w:val="24"/>
                <w:highlight w:val="none"/>
                <w:lang w:val="en-US" w:eastAsia="zh-CN"/>
              </w:rPr>
              <w:t>2</w:t>
            </w:r>
            <w:r>
              <w:rPr>
                <w:rFonts w:hint="default" w:ascii="Times New Roman" w:hAnsi="Times New Roman" w:eastAsia="宋体" w:cs="Times New Roman"/>
                <w:color w:val="000000"/>
                <w:position w:val="-24"/>
                <w:szCs w:val="24"/>
                <w:highlight w:val="none"/>
              </w:rPr>
              <w:t>-1）</w:t>
            </w:r>
          </w:p>
          <w:p w14:paraId="0545F146">
            <w:pPr>
              <w:adjustRightInd w:val="0"/>
              <w:snapToGrid w:val="0"/>
              <w:ind w:firstLine="480" w:firstLineChars="200"/>
              <w:rPr>
                <w:rFonts w:hint="default" w:ascii="Times New Roman" w:hAnsi="Times New Roman" w:eastAsia="宋体" w:cs="Times New Roman"/>
                <w:color w:val="000000"/>
                <w:szCs w:val="28"/>
                <w:highlight w:val="none"/>
              </w:rPr>
            </w:pPr>
            <w:r>
              <w:rPr>
                <w:rFonts w:hint="default" w:ascii="Times New Roman" w:hAnsi="Times New Roman" w:eastAsia="宋体" w:cs="Times New Roman"/>
                <w:color w:val="000000"/>
                <w:szCs w:val="28"/>
                <w:highlight w:val="none"/>
              </w:rPr>
              <w:t>式中：</w:t>
            </w:r>
            <w:r>
              <w:rPr>
                <w:rFonts w:hint="default" w:ascii="Times New Roman" w:hAnsi="Times New Roman" w:eastAsia="宋体" w:cs="Times New Roman"/>
                <w:i/>
                <w:iCs/>
                <w:color w:val="000000"/>
                <w:szCs w:val="28"/>
                <w:highlight w:val="none"/>
              </w:rPr>
              <w:t>S</w:t>
            </w:r>
            <w:r>
              <w:rPr>
                <w:rFonts w:hint="default" w:ascii="Times New Roman" w:hAnsi="Times New Roman" w:eastAsia="宋体" w:cs="Times New Roman"/>
                <w:color w:val="000000"/>
                <w:szCs w:val="28"/>
                <w:highlight w:val="none"/>
              </w:rPr>
              <w:t>—含沙量（kg/m³）；</w:t>
            </w:r>
          </w:p>
          <w:p w14:paraId="7766A930">
            <w:pPr>
              <w:adjustRightInd w:val="0"/>
              <w:snapToGrid w:val="0"/>
              <w:ind w:firstLine="1200" w:firstLineChars="500"/>
              <w:rPr>
                <w:rFonts w:hint="default" w:ascii="Times New Roman" w:hAnsi="Times New Roman" w:eastAsia="宋体" w:cs="Times New Roman"/>
                <w:color w:val="000000"/>
                <w:szCs w:val="28"/>
                <w:highlight w:val="none"/>
              </w:rPr>
            </w:pPr>
            <w:r>
              <w:rPr>
                <w:rFonts w:hint="default" w:ascii="Times New Roman" w:hAnsi="Times New Roman" w:eastAsia="宋体" w:cs="Times New Roman"/>
                <w:i/>
                <w:iCs/>
                <w:color w:val="000000"/>
                <w:szCs w:val="28"/>
                <w:highlight w:val="none"/>
              </w:rPr>
              <w:t>S*</w:t>
            </w:r>
            <w:r>
              <w:rPr>
                <w:rFonts w:hint="default" w:ascii="Times New Roman" w:hAnsi="Times New Roman" w:eastAsia="宋体" w:cs="Times New Roman"/>
                <w:color w:val="000000"/>
                <w:szCs w:val="28"/>
                <w:highlight w:val="none"/>
              </w:rPr>
              <w:t>—为水流挟沙能力（kg/m³）。</w:t>
            </w:r>
          </w:p>
          <w:p w14:paraId="50D0226C">
            <w:pPr>
              <w:adjustRightInd w:val="0"/>
              <w:snapToGrid w:val="0"/>
              <w:ind w:firstLine="1200" w:firstLineChars="500"/>
              <w:rPr>
                <w:rFonts w:hint="default" w:ascii="Times New Roman" w:hAnsi="Times New Roman" w:eastAsia="宋体" w:cs="Times New Roman"/>
                <w:color w:val="000000"/>
                <w:szCs w:val="28"/>
                <w:highlight w:val="none"/>
              </w:rPr>
            </w:pPr>
            <w:r>
              <w:rPr>
                <w:rFonts w:hint="default" w:ascii="Times New Roman" w:hAnsi="Times New Roman" w:eastAsia="宋体" w:cs="Times New Roman"/>
                <w:i/>
                <w:iCs/>
                <w:color w:val="000000"/>
                <w:szCs w:val="28"/>
                <w:highlight w:val="none"/>
              </w:rPr>
              <w:t>q</w:t>
            </w:r>
            <w:r>
              <w:rPr>
                <w:rFonts w:hint="default" w:ascii="Times New Roman" w:hAnsi="Times New Roman" w:eastAsia="宋体" w:cs="Times New Roman"/>
                <w:color w:val="000000"/>
                <w:szCs w:val="28"/>
                <w:highlight w:val="none"/>
              </w:rPr>
              <w:t>—单宽流量（m</w:t>
            </w:r>
            <w:r>
              <w:rPr>
                <w:rFonts w:hint="default" w:ascii="Times New Roman" w:hAnsi="Times New Roman" w:eastAsia="宋体" w:cs="Times New Roman"/>
                <w:color w:val="000000"/>
                <w:szCs w:val="28"/>
                <w:highlight w:val="none"/>
                <w:vertAlign w:val="superscript"/>
              </w:rPr>
              <w:t>2</w:t>
            </w:r>
            <w:r>
              <w:rPr>
                <w:rFonts w:hint="default" w:ascii="Times New Roman" w:hAnsi="Times New Roman" w:eastAsia="宋体" w:cs="Times New Roman"/>
                <w:color w:val="000000"/>
                <w:szCs w:val="28"/>
                <w:highlight w:val="none"/>
              </w:rPr>
              <w:t>/s）；</w:t>
            </w:r>
          </w:p>
          <w:p w14:paraId="342B3DD0">
            <w:pPr>
              <w:adjustRightInd w:val="0"/>
              <w:snapToGrid w:val="0"/>
              <w:ind w:firstLine="1200" w:firstLineChars="500"/>
              <w:rPr>
                <w:rFonts w:hint="default" w:ascii="Times New Roman" w:hAnsi="Times New Roman" w:eastAsia="宋体" w:cs="Times New Roman"/>
                <w:color w:val="000000"/>
                <w:szCs w:val="28"/>
                <w:highlight w:val="none"/>
              </w:rPr>
            </w:pPr>
            <w:r>
              <w:rPr>
                <w:rFonts w:hint="default" w:ascii="Times New Roman" w:hAnsi="Times New Roman" w:eastAsia="宋体" w:cs="Times New Roman"/>
                <w:i/>
                <w:iCs/>
                <w:color w:val="000000"/>
                <w:szCs w:val="28"/>
                <w:highlight w:val="none"/>
              </w:rPr>
              <w:t>H</w:t>
            </w:r>
            <w:r>
              <w:rPr>
                <w:rFonts w:hint="default" w:ascii="Times New Roman" w:hAnsi="Times New Roman" w:eastAsia="宋体" w:cs="Times New Roman"/>
                <w:color w:val="000000"/>
                <w:szCs w:val="28"/>
                <w:highlight w:val="none"/>
              </w:rPr>
              <w:t>—水深（m）；</w:t>
            </w:r>
          </w:p>
          <w:p w14:paraId="160CF20E">
            <w:pPr>
              <w:adjustRightInd w:val="0"/>
              <w:snapToGrid w:val="0"/>
              <w:ind w:firstLine="1200" w:firstLineChars="500"/>
              <w:rPr>
                <w:rFonts w:hint="default" w:ascii="Times New Roman" w:hAnsi="Times New Roman" w:eastAsia="宋体" w:cs="Times New Roman"/>
                <w:color w:val="000000"/>
                <w:szCs w:val="28"/>
                <w:highlight w:val="none"/>
              </w:rPr>
            </w:pPr>
            <m:oMath>
              <m:r>
                <m:rPr>
                  <m:nor/>
                </m:rPr>
                <w:rPr>
                  <w:rFonts w:hint="default" w:ascii="Times New Roman" w:hAnsi="Times New Roman" w:cs="Times New Roman"/>
                  <w:i/>
                  <w:color w:val="000000"/>
                  <w:kern w:val="0"/>
                </w:rPr>
                <m:t>α</m:t>
              </m:r>
            </m:oMath>
            <w:r>
              <w:rPr>
                <w:rFonts w:hint="default" w:ascii="Times New Roman" w:hAnsi="Times New Roman" w:eastAsia="宋体" w:cs="Times New Roman"/>
                <w:color w:val="000000"/>
                <w:szCs w:val="28"/>
                <w:highlight w:val="none"/>
              </w:rPr>
              <w:t>—为泥沙沉降概率，取值范围0.5-0.6之间。</w:t>
            </w:r>
          </w:p>
          <w:p w14:paraId="3E7012D9">
            <w:pPr>
              <w:adjustRightInd w:val="0"/>
              <w:snapToGrid w:val="0"/>
              <w:ind w:firstLine="919" w:firstLineChars="383"/>
              <w:jc w:val="right"/>
              <w:rPr>
                <w:rFonts w:hint="default" w:ascii="Times New Roman" w:hAnsi="Times New Roman" w:eastAsia="宋体" w:cs="Times New Roman"/>
                <w:color w:val="000000"/>
                <w:position w:val="-30"/>
                <w:szCs w:val="24"/>
                <w:highlight w:val="none"/>
              </w:rPr>
            </w:pPr>
            <m:oMath>
              <m:r>
                <m:rPr>
                  <m:nor/>
                </m:rPr>
                <w:rPr>
                  <w:rFonts w:hint="default" w:ascii="Times New Roman" w:hAnsi="Times New Roman" w:cs="Times New Roman"/>
                  <w:i/>
                  <w:color w:val="000000"/>
                </w:rPr>
                <m:t>α</m:t>
              </m:r>
              <m:r>
                <m:rPr>
                  <m:nor/>
                  <m:sty m:val="p"/>
                </m:rPr>
                <w:rPr>
                  <w:rFonts w:hint="default" w:ascii="Times New Roman" w:hAnsi="Times New Roman" w:cs="Times New Roman"/>
                  <w:b w:val="0"/>
                  <w:i w:val="0"/>
                  <w:color w:val="000000"/>
                </w:rPr>
                <m:t>=</m:t>
              </m:r>
              <m:d>
                <m:dPr>
                  <m:begChr m:val="{"/>
                  <m:endChr m:val=""/>
                  <m:ctrlPr>
                    <w:rPr>
                      <w:rFonts w:hint="default" w:ascii="Cambria Math" w:hAnsi="Cambria Math" w:cs="Times New Roman"/>
                      <w:i/>
                      <w:color w:val="000000"/>
                    </w:rPr>
                  </m:ctrlPr>
                </m:dPr>
                <m:e>
                  <m:eqArr>
                    <m:eqArrPr>
                      <m:ctrlPr>
                        <w:rPr>
                          <w:rFonts w:hint="default" w:ascii="Cambria Math" w:hAnsi="Cambria Math" w:cs="Times New Roman"/>
                          <w:i/>
                          <w:color w:val="000000"/>
                        </w:rPr>
                      </m:ctrlPr>
                    </m:eqArrPr>
                    <m:e>
                      <m:r>
                        <m:rPr>
                          <m:nor/>
                          <m:sty m:val="p"/>
                        </m:rPr>
                        <w:rPr>
                          <w:rFonts w:hint="default" w:ascii="Times New Roman" w:hAnsi="Times New Roman" w:cs="Times New Roman"/>
                          <w:b w:val="0"/>
                          <w:i w:val="0"/>
                          <w:color w:val="000000"/>
                        </w:rPr>
                        <m:t>1−</m:t>
                      </m:r>
                      <m:f>
                        <m:fPr>
                          <m:ctrlPr>
                            <w:rPr>
                              <w:rFonts w:hint="default" w:ascii="Cambria Math" w:hAnsi="Cambria Math" w:cs="Times New Roman"/>
                              <w:i/>
                              <w:color w:val="000000"/>
                            </w:rPr>
                          </m:ctrlPr>
                        </m:fPr>
                        <m:num>
                          <m:sSub>
                            <m:sSubPr>
                              <m:ctrlPr>
                                <w:rPr>
                                  <w:rFonts w:hint="default" w:ascii="Cambria Math" w:hAnsi="Cambria Math" w:cs="Times New Roman"/>
                                  <w:i/>
                                  <w:color w:val="000000"/>
                                </w:rPr>
                              </m:ctrlPr>
                            </m:sSubPr>
                            <m:e>
                              <m:r>
                                <m:rPr>
                                  <m:nor/>
                                </m:rPr>
                                <w:rPr>
                                  <w:rFonts w:hint="default" w:ascii="Times New Roman" w:hAnsi="Times New Roman" w:cs="Times New Roman"/>
                                  <w:i/>
                                  <w:color w:val="000000"/>
                                </w:rPr>
                                <m:t>τ</m:t>
                              </m:r>
                              <m:ctrlPr>
                                <w:rPr>
                                  <w:rFonts w:hint="default" w:ascii="Cambria Math" w:hAnsi="Cambria Math" w:cs="Times New Roman"/>
                                  <w:i/>
                                  <w:color w:val="000000"/>
                                </w:rPr>
                              </m:ctrlPr>
                            </m:e>
                            <m:sub>
                              <m:r>
                                <m:rPr>
                                  <m:nor/>
                                </m:rPr>
                                <w:rPr>
                                  <w:rFonts w:hint="default" w:ascii="Times New Roman" w:hAnsi="Times New Roman" w:cs="Times New Roman"/>
                                  <w:i/>
                                  <w:color w:val="000000"/>
                                </w:rPr>
                                <m:t>b</m:t>
                              </m:r>
                              <m:ctrlPr>
                                <w:rPr>
                                  <w:rFonts w:hint="default" w:ascii="Cambria Math" w:hAnsi="Cambria Math" w:cs="Times New Roman"/>
                                  <w:i/>
                                  <w:color w:val="000000"/>
                                </w:rPr>
                              </m:ctrlPr>
                            </m:sub>
                          </m:sSub>
                          <m:ctrlPr>
                            <w:rPr>
                              <w:rFonts w:hint="default" w:ascii="Cambria Math" w:hAnsi="Cambria Math" w:cs="Times New Roman"/>
                              <w:i/>
                              <w:color w:val="000000"/>
                            </w:rPr>
                          </m:ctrlPr>
                        </m:num>
                        <m:den>
                          <m:sSub>
                            <m:sSubPr>
                              <m:ctrlPr>
                                <w:rPr>
                                  <w:rFonts w:hint="default" w:ascii="Cambria Math" w:hAnsi="Cambria Math" w:cs="Times New Roman"/>
                                  <w:i/>
                                  <w:color w:val="000000"/>
                                </w:rPr>
                              </m:ctrlPr>
                            </m:sSubPr>
                            <m:e>
                              <m:r>
                                <m:rPr>
                                  <m:nor/>
                                </m:rPr>
                                <w:rPr>
                                  <w:rFonts w:hint="default" w:ascii="Times New Roman" w:hAnsi="Times New Roman" w:cs="Times New Roman"/>
                                  <w:i/>
                                  <w:color w:val="000000"/>
                                </w:rPr>
                                <m:t>τ</m:t>
                              </m:r>
                              <m:ctrlPr>
                                <w:rPr>
                                  <w:rFonts w:hint="default" w:ascii="Cambria Math" w:hAnsi="Cambria Math" w:cs="Times New Roman"/>
                                  <w:i/>
                                  <w:color w:val="000000"/>
                                </w:rPr>
                              </m:ctrlPr>
                            </m:e>
                            <m:sub>
                              <m:r>
                                <m:rPr>
                                  <m:nor/>
                                </m:rPr>
                                <w:rPr>
                                  <w:rFonts w:hint="default" w:ascii="Times New Roman" w:hAnsi="Times New Roman" w:cs="Times New Roman"/>
                                  <w:i/>
                                  <w:color w:val="000000"/>
                                </w:rPr>
                                <m:t>cd</m:t>
                              </m:r>
                              <m:ctrlPr>
                                <w:rPr>
                                  <w:rFonts w:hint="default" w:ascii="Cambria Math" w:hAnsi="Cambria Math" w:cs="Times New Roman"/>
                                  <w:i/>
                                  <w:color w:val="000000"/>
                                </w:rPr>
                              </m:ctrlPr>
                            </m:sub>
                          </m:sSub>
                          <m:ctrlPr>
                            <w:rPr>
                              <w:rFonts w:hint="default" w:ascii="Cambria Math" w:hAnsi="Cambria Math" w:cs="Times New Roman"/>
                              <w:i/>
                              <w:color w:val="000000"/>
                            </w:rPr>
                          </m:ctrlPr>
                        </m:den>
                      </m:f>
                      <m:r>
                        <m:rPr>
                          <m:nor/>
                          <m:sty m:val="p"/>
                        </m:rPr>
                        <w:rPr>
                          <w:rFonts w:hint="default" w:ascii="Times New Roman" w:hAnsi="Times New Roman" w:cs="Times New Roman"/>
                          <w:b w:val="0"/>
                          <w:i w:val="0"/>
                          <w:color w:val="000000"/>
                        </w:rPr>
                        <m:t>，</m:t>
                      </m:r>
                      <m:sSub>
                        <m:sSubPr>
                          <m:ctrlPr>
                            <w:rPr>
                              <w:rFonts w:hint="default" w:ascii="Cambria Math" w:hAnsi="Cambria Math" w:cs="Times New Roman"/>
                              <w:i/>
                              <w:color w:val="000000"/>
                            </w:rPr>
                          </m:ctrlPr>
                        </m:sSubPr>
                        <m:e>
                          <m:r>
                            <m:rPr>
                              <m:nor/>
                            </m:rPr>
                            <w:rPr>
                              <w:rFonts w:hint="default" w:ascii="Times New Roman" w:hAnsi="Times New Roman" w:cs="Times New Roman"/>
                              <w:i/>
                              <w:color w:val="000000"/>
                            </w:rPr>
                            <m:t>τ</m:t>
                          </m:r>
                          <m:ctrlPr>
                            <w:rPr>
                              <w:rFonts w:hint="default" w:ascii="Cambria Math" w:hAnsi="Cambria Math" w:cs="Times New Roman"/>
                              <w:i/>
                              <w:color w:val="000000"/>
                            </w:rPr>
                          </m:ctrlPr>
                        </m:e>
                        <m:sub>
                          <m:r>
                            <m:rPr>
                              <m:nor/>
                            </m:rPr>
                            <w:rPr>
                              <w:rFonts w:hint="default" w:ascii="Times New Roman" w:hAnsi="Times New Roman" w:cs="Times New Roman"/>
                              <w:i/>
                              <w:color w:val="000000"/>
                            </w:rPr>
                            <m:t>b</m:t>
                          </m:r>
                          <m:ctrlPr>
                            <w:rPr>
                              <w:rFonts w:hint="default" w:ascii="Cambria Math" w:hAnsi="Cambria Math" w:cs="Times New Roman"/>
                              <w:i/>
                              <w:color w:val="000000"/>
                            </w:rPr>
                          </m:ctrlPr>
                        </m:sub>
                      </m:sSub>
                      <m:r>
                        <m:rPr>
                          <m:nor/>
                          <m:sty m:val="p"/>
                        </m:rPr>
                        <w:rPr>
                          <w:rFonts w:hint="default" w:ascii="Times New Roman" w:hAnsi="Times New Roman" w:cs="Times New Roman"/>
                          <w:b w:val="0"/>
                          <w:i w:val="0"/>
                          <w:color w:val="000000"/>
                        </w:rPr>
                        <m:t>≤</m:t>
                      </m:r>
                      <m:sSub>
                        <m:sSubPr>
                          <m:ctrlPr>
                            <w:rPr>
                              <w:rFonts w:hint="default" w:ascii="Cambria Math" w:hAnsi="Cambria Math" w:cs="Times New Roman"/>
                              <w:i/>
                              <w:color w:val="000000"/>
                            </w:rPr>
                          </m:ctrlPr>
                        </m:sSubPr>
                        <m:e>
                          <m:r>
                            <m:rPr>
                              <m:nor/>
                            </m:rPr>
                            <w:rPr>
                              <w:rFonts w:hint="default" w:ascii="Times New Roman" w:hAnsi="Times New Roman" w:cs="Times New Roman"/>
                              <w:i/>
                              <w:color w:val="000000"/>
                            </w:rPr>
                            <m:t>τ</m:t>
                          </m:r>
                          <m:ctrlPr>
                            <w:rPr>
                              <w:rFonts w:hint="default" w:ascii="Cambria Math" w:hAnsi="Cambria Math" w:cs="Times New Roman"/>
                              <w:i/>
                              <w:color w:val="000000"/>
                            </w:rPr>
                          </m:ctrlPr>
                        </m:e>
                        <m:sub>
                          <m:r>
                            <m:rPr>
                              <m:nor/>
                            </m:rPr>
                            <w:rPr>
                              <w:rFonts w:hint="default" w:ascii="Times New Roman" w:hAnsi="Times New Roman" w:cs="Times New Roman"/>
                              <w:i/>
                              <w:color w:val="000000"/>
                            </w:rPr>
                            <m:t>cd</m:t>
                          </m:r>
                          <m:ctrlPr>
                            <w:rPr>
                              <w:rFonts w:hint="default" w:ascii="Cambria Math" w:hAnsi="Cambria Math" w:cs="Times New Roman"/>
                              <w:i/>
                              <w:color w:val="000000"/>
                            </w:rPr>
                          </m:ctrlPr>
                        </m:sub>
                      </m:sSub>
                      <m:ctrlPr>
                        <w:rPr>
                          <w:rFonts w:hint="default" w:ascii="Cambria Math" w:hAnsi="Cambria Math" w:cs="Times New Roman"/>
                          <w:i/>
                          <w:color w:val="000000"/>
                        </w:rPr>
                      </m:ctrlPr>
                    </m:e>
                    <m:e>
                      <m:r>
                        <m:rPr>
                          <m:nor/>
                          <m:sty m:val="p"/>
                        </m:rPr>
                        <w:rPr>
                          <w:rFonts w:hint="default" w:ascii="Times New Roman" w:hAnsi="Times New Roman" w:cs="Times New Roman"/>
                          <w:b w:val="0"/>
                          <w:i w:val="0"/>
                          <w:color w:val="000000"/>
                        </w:rPr>
                        <m:t xml:space="preserve">0，            </m:t>
                      </m:r>
                      <m:sSub>
                        <m:sSubPr>
                          <m:ctrlPr>
                            <w:rPr>
                              <w:rFonts w:hint="default" w:ascii="Cambria Math" w:hAnsi="Cambria Math" w:cs="Times New Roman"/>
                              <w:i/>
                              <w:color w:val="000000"/>
                            </w:rPr>
                          </m:ctrlPr>
                        </m:sSubPr>
                        <m:e>
                          <m:r>
                            <m:rPr>
                              <m:nor/>
                            </m:rPr>
                            <w:rPr>
                              <w:rFonts w:hint="default" w:ascii="Times New Roman" w:hAnsi="Times New Roman" w:cs="Times New Roman"/>
                              <w:i/>
                              <w:color w:val="000000"/>
                            </w:rPr>
                            <m:t>τ</m:t>
                          </m:r>
                          <m:ctrlPr>
                            <w:rPr>
                              <w:rFonts w:hint="default" w:ascii="Cambria Math" w:hAnsi="Cambria Math" w:cs="Times New Roman"/>
                              <w:i/>
                              <w:color w:val="000000"/>
                            </w:rPr>
                          </m:ctrlPr>
                        </m:e>
                        <m:sub>
                          <m:r>
                            <m:rPr>
                              <m:nor/>
                            </m:rPr>
                            <w:rPr>
                              <w:rFonts w:hint="default" w:ascii="Times New Roman" w:hAnsi="Times New Roman" w:cs="Times New Roman"/>
                              <w:i/>
                              <w:color w:val="000000"/>
                            </w:rPr>
                            <m:t>b</m:t>
                          </m:r>
                          <m:ctrlPr>
                            <w:rPr>
                              <w:rFonts w:hint="default" w:ascii="Cambria Math" w:hAnsi="Cambria Math" w:cs="Times New Roman"/>
                              <w:i/>
                              <w:color w:val="000000"/>
                            </w:rPr>
                          </m:ctrlPr>
                        </m:sub>
                      </m:sSub>
                      <m:r>
                        <m:rPr>
                          <m:nor/>
                          <m:sty m:val="p"/>
                        </m:rPr>
                        <w:rPr>
                          <w:rFonts w:hint="default" w:ascii="Times New Roman" w:hAnsi="Times New Roman" w:cs="Times New Roman"/>
                          <w:b w:val="0"/>
                          <w:i w:val="0"/>
                          <w:color w:val="000000"/>
                        </w:rPr>
                        <m:t>&gt;</m:t>
                      </m:r>
                      <m:sSub>
                        <m:sSubPr>
                          <m:ctrlPr>
                            <w:rPr>
                              <w:rFonts w:hint="default" w:ascii="Cambria Math" w:hAnsi="Cambria Math" w:cs="Times New Roman"/>
                              <w:i/>
                              <w:color w:val="000000"/>
                            </w:rPr>
                          </m:ctrlPr>
                        </m:sSubPr>
                        <m:e>
                          <m:r>
                            <m:rPr>
                              <m:nor/>
                            </m:rPr>
                            <w:rPr>
                              <w:rFonts w:hint="default" w:ascii="Times New Roman" w:hAnsi="Times New Roman" w:cs="Times New Roman"/>
                              <w:i/>
                              <w:color w:val="000000"/>
                            </w:rPr>
                            <m:t>τ</m:t>
                          </m:r>
                          <m:ctrlPr>
                            <w:rPr>
                              <w:rFonts w:hint="default" w:ascii="Cambria Math" w:hAnsi="Cambria Math" w:cs="Times New Roman"/>
                              <w:i/>
                              <w:color w:val="000000"/>
                            </w:rPr>
                          </m:ctrlPr>
                        </m:e>
                        <m:sub>
                          <m:r>
                            <m:rPr>
                              <m:nor/>
                            </m:rPr>
                            <w:rPr>
                              <w:rFonts w:hint="default" w:ascii="Times New Roman" w:hAnsi="Times New Roman" w:cs="Times New Roman"/>
                              <w:i/>
                              <w:color w:val="000000"/>
                            </w:rPr>
                            <m:t>cd</m:t>
                          </m:r>
                          <m:ctrlPr>
                            <w:rPr>
                              <w:rFonts w:hint="default" w:ascii="Cambria Math" w:hAnsi="Cambria Math" w:cs="Times New Roman"/>
                              <w:i/>
                              <w:color w:val="000000"/>
                            </w:rPr>
                          </m:ctrlPr>
                        </m:sub>
                      </m:sSub>
                      <m:ctrlPr>
                        <w:rPr>
                          <w:rFonts w:hint="default" w:ascii="Cambria Math" w:hAnsi="Cambria Math" w:cs="Times New Roman"/>
                          <w:i/>
                          <w:color w:val="000000"/>
                        </w:rPr>
                      </m:ctrlPr>
                    </m:e>
                  </m:eqArr>
                  <m:ctrlPr>
                    <w:rPr>
                      <w:rFonts w:hint="default" w:ascii="Cambria Math" w:hAnsi="Cambria Math" w:cs="Times New Roman"/>
                      <w:i/>
                      <w:color w:val="000000"/>
                    </w:rPr>
                  </m:ctrlPr>
                </m:e>
              </m:d>
            </m:oMath>
            <w:r>
              <w:rPr>
                <w:rFonts w:hint="default" w:ascii="Times New Roman" w:hAnsi="Times New Roman" w:eastAsia="宋体" w:cs="Times New Roman"/>
                <w:color w:val="000000"/>
                <w:szCs w:val="28"/>
                <w:highlight w:val="none"/>
              </w:rPr>
              <w:t xml:space="preserve">                   </w:t>
            </w:r>
            <w:r>
              <w:rPr>
                <w:rFonts w:hint="default" w:ascii="Times New Roman" w:hAnsi="Times New Roman" w:eastAsia="宋体" w:cs="Times New Roman"/>
                <w:color w:val="000000"/>
                <w:position w:val="-30"/>
                <w:szCs w:val="24"/>
                <w:highlight w:val="none"/>
              </w:rPr>
              <w:t>（</w:t>
            </w:r>
            <w:r>
              <w:rPr>
                <w:rFonts w:hint="eastAsia" w:cs="Times New Roman"/>
                <w:color w:val="000000"/>
                <w:position w:val="-30"/>
                <w:szCs w:val="24"/>
                <w:highlight w:val="none"/>
                <w:lang w:val="en-US" w:eastAsia="zh-CN"/>
              </w:rPr>
              <w:t>4</w:t>
            </w:r>
            <w:r>
              <w:rPr>
                <w:rFonts w:hint="default" w:ascii="Times New Roman" w:hAnsi="Times New Roman" w:eastAsia="宋体" w:cs="Times New Roman"/>
                <w:color w:val="000000"/>
                <w:position w:val="-30"/>
                <w:szCs w:val="24"/>
                <w:highlight w:val="none"/>
                <w:lang w:eastAsia="zh-CN"/>
              </w:rPr>
              <w:t>.</w:t>
            </w:r>
            <w:r>
              <w:rPr>
                <w:rFonts w:hint="eastAsia" w:cs="Times New Roman"/>
                <w:color w:val="000000"/>
                <w:position w:val="-30"/>
                <w:szCs w:val="24"/>
                <w:highlight w:val="none"/>
                <w:lang w:val="en-US" w:eastAsia="zh-CN"/>
              </w:rPr>
              <w:t>3.2</w:t>
            </w:r>
            <w:r>
              <w:rPr>
                <w:rFonts w:hint="default" w:ascii="Times New Roman" w:hAnsi="Times New Roman" w:eastAsia="宋体" w:cs="Times New Roman"/>
                <w:color w:val="000000"/>
                <w:position w:val="-30"/>
                <w:szCs w:val="24"/>
                <w:highlight w:val="none"/>
              </w:rPr>
              <w:t>-2）</w:t>
            </w:r>
          </w:p>
          <w:p w14:paraId="3550D657">
            <w:pPr>
              <w:keepNext w:val="0"/>
              <w:keepLines w:val="0"/>
              <w:pageBreakBefore w:val="0"/>
              <w:widowControl w:val="0"/>
              <w:kinsoku/>
              <w:wordWrap/>
              <w:overflowPunct/>
              <w:topLinePunct w:val="0"/>
              <w:autoSpaceDE/>
              <w:autoSpaceDN/>
              <w:bidi w:val="0"/>
              <w:adjustRightInd w:val="0"/>
              <w:snapToGrid w:val="0"/>
              <w:ind w:firstLine="1200" w:firstLineChars="500"/>
              <w:textAlignment w:val="auto"/>
              <w:rPr>
                <w:rFonts w:hint="default" w:ascii="Times New Roman" w:hAnsi="Times New Roman" w:eastAsia="宋体" w:cs="Times New Roman"/>
                <w:color w:val="000000"/>
                <w:position w:val="-30"/>
                <w:szCs w:val="24"/>
                <w:highlight w:val="none"/>
              </w:rPr>
            </w:pPr>
            <m:oMath>
              <m:sSub>
                <m:sSubPr>
                  <m:ctrlPr>
                    <w:rPr>
                      <w:rFonts w:hint="default" w:ascii="Cambria Math" w:hAnsi="Cambria Math" w:cs="Times New Roman"/>
                      <w:i/>
                      <w:color w:val="000000"/>
                    </w:rPr>
                  </m:ctrlPr>
                </m:sSubPr>
                <m:e>
                  <m:r>
                    <m:rPr>
                      <m:nor/>
                    </m:rPr>
                    <w:rPr>
                      <w:rFonts w:hint="default" w:ascii="Times New Roman" w:hAnsi="Times New Roman" w:cs="Times New Roman"/>
                      <w:i/>
                      <w:color w:val="000000"/>
                    </w:rPr>
                    <m:t>τ</m:t>
                  </m:r>
                  <m:ctrlPr>
                    <w:rPr>
                      <w:rFonts w:hint="default" w:ascii="Cambria Math" w:hAnsi="Cambria Math" w:cs="Times New Roman"/>
                      <w:i/>
                      <w:color w:val="000000"/>
                    </w:rPr>
                  </m:ctrlPr>
                </m:e>
                <m:sub>
                  <m:r>
                    <m:rPr>
                      <m:nor/>
                    </m:rPr>
                    <w:rPr>
                      <w:rFonts w:hint="default" w:ascii="Times New Roman" w:hAnsi="Times New Roman" w:cs="Times New Roman"/>
                      <w:i/>
                      <w:color w:val="000000"/>
                    </w:rPr>
                    <m:t>b</m:t>
                  </m:r>
                  <m:ctrlPr>
                    <w:rPr>
                      <w:rFonts w:hint="default" w:ascii="Cambria Math" w:hAnsi="Cambria Math" w:cs="Times New Roman"/>
                      <w:i/>
                      <w:color w:val="000000"/>
                    </w:rPr>
                  </m:ctrlPr>
                </m:sub>
              </m:sSub>
            </m:oMath>
            <w:r>
              <w:rPr>
                <w:rFonts w:hint="default" w:ascii="Times New Roman" w:hAnsi="Times New Roman" w:eastAsia="宋体" w:cs="Times New Roman"/>
                <w:color w:val="000000"/>
                <w:szCs w:val="28"/>
                <w:highlight w:val="none"/>
              </w:rPr>
              <w:t>—海底剪切应力；</w:t>
            </w:r>
          </w:p>
          <w:p w14:paraId="7438ED95">
            <w:pPr>
              <w:keepNext w:val="0"/>
              <w:keepLines w:val="0"/>
              <w:pageBreakBefore w:val="0"/>
              <w:widowControl w:val="0"/>
              <w:kinsoku/>
              <w:wordWrap/>
              <w:overflowPunct/>
              <w:topLinePunct w:val="0"/>
              <w:autoSpaceDE/>
              <w:autoSpaceDN/>
              <w:bidi w:val="0"/>
              <w:adjustRightInd w:val="0"/>
              <w:snapToGrid w:val="0"/>
              <w:ind w:firstLine="1200" w:firstLineChars="500"/>
              <w:textAlignment w:val="auto"/>
              <w:rPr>
                <w:rFonts w:hint="default" w:ascii="Times New Roman" w:hAnsi="Times New Roman" w:eastAsia="宋体" w:cs="Times New Roman"/>
                <w:color w:val="000000"/>
                <w:szCs w:val="28"/>
                <w:highlight w:val="none"/>
              </w:rPr>
            </w:pPr>
            <m:oMath>
              <m:sSub>
                <m:sSubPr>
                  <m:ctrlPr>
                    <w:rPr>
                      <w:rFonts w:hint="default" w:ascii="Cambria Math" w:hAnsi="Cambria Math" w:cs="Times New Roman"/>
                      <w:i/>
                      <w:color w:val="000000"/>
                    </w:rPr>
                  </m:ctrlPr>
                </m:sSubPr>
                <m:e>
                  <m:r>
                    <m:rPr>
                      <m:nor/>
                    </m:rPr>
                    <w:rPr>
                      <w:rFonts w:hint="default" w:ascii="Times New Roman" w:hAnsi="Times New Roman" w:cs="Times New Roman"/>
                      <w:i/>
                      <w:color w:val="000000"/>
                    </w:rPr>
                    <m:t>τ</m:t>
                  </m:r>
                  <m:ctrlPr>
                    <w:rPr>
                      <w:rFonts w:hint="default" w:ascii="Cambria Math" w:hAnsi="Cambria Math" w:cs="Times New Roman"/>
                      <w:i/>
                      <w:color w:val="000000"/>
                    </w:rPr>
                  </m:ctrlPr>
                </m:e>
                <m:sub>
                  <m:r>
                    <m:rPr>
                      <m:nor/>
                    </m:rPr>
                    <w:rPr>
                      <w:rFonts w:hint="default" w:ascii="Times New Roman" w:hAnsi="Times New Roman" w:cs="Times New Roman"/>
                      <w:i/>
                      <w:color w:val="000000"/>
                    </w:rPr>
                    <m:t>cd</m:t>
                  </m:r>
                  <m:ctrlPr>
                    <w:rPr>
                      <w:rFonts w:hint="default" w:ascii="Cambria Math" w:hAnsi="Cambria Math" w:cs="Times New Roman"/>
                      <w:i/>
                      <w:color w:val="000000"/>
                    </w:rPr>
                  </m:ctrlPr>
                </m:sub>
              </m:sSub>
            </m:oMath>
            <w:r>
              <w:rPr>
                <w:rFonts w:hint="default" w:ascii="Times New Roman" w:hAnsi="Times New Roman" w:eastAsia="宋体" w:cs="Times New Roman"/>
                <w:color w:val="000000"/>
                <w:szCs w:val="28"/>
                <w:highlight w:val="none"/>
              </w:rPr>
              <w:t>—沉积临界剪切应力。</w:t>
            </w:r>
          </w:p>
          <w:p w14:paraId="4E5DDDC8">
            <w:pPr>
              <w:keepNext w:val="0"/>
              <w:keepLines w:val="0"/>
              <w:pageBreakBefore w:val="0"/>
              <w:widowControl w:val="0"/>
              <w:kinsoku/>
              <w:wordWrap/>
              <w:overflowPunct/>
              <w:topLinePunct w:val="0"/>
              <w:autoSpaceDE/>
              <w:autoSpaceDN/>
              <w:bidi w:val="0"/>
              <w:adjustRightInd w:val="0"/>
              <w:snapToGrid w:val="0"/>
              <w:ind w:firstLine="1200" w:firstLineChars="500"/>
              <w:textAlignment w:val="auto"/>
              <w:rPr>
                <w:rFonts w:hint="default" w:ascii="Times New Roman" w:hAnsi="Times New Roman" w:eastAsia="宋体" w:cs="Times New Roman"/>
                <w:color w:val="000000"/>
                <w:szCs w:val="28"/>
                <w:highlight w:val="none"/>
              </w:rPr>
            </w:pPr>
            <w:r>
              <w:rPr>
                <w:rFonts w:hint="default" w:ascii="Times New Roman" w:hAnsi="Times New Roman" w:cs="Times New Roman"/>
                <w:i/>
                <w:iCs/>
                <w:color w:val="000000"/>
                <w:highlight w:val="none"/>
              </w:rPr>
              <w:t>ω</w:t>
            </w:r>
            <w:r>
              <w:rPr>
                <w:rFonts w:hint="default" w:ascii="Times New Roman" w:hAnsi="Times New Roman" w:eastAsia="宋体" w:cs="Times New Roman"/>
                <w:color w:val="000000"/>
                <w:szCs w:val="28"/>
                <w:highlight w:val="none"/>
              </w:rPr>
              <w:t>—为悬沙沉降速度，可由张瑞瑾沉速公式进行估算：</w:t>
            </w:r>
          </w:p>
          <w:p w14:paraId="03219354">
            <w:pPr>
              <w:adjustRightInd w:val="0"/>
              <w:snapToGrid w:val="0"/>
              <w:ind w:firstLine="480" w:firstLineChars="200"/>
              <w:jc w:val="right"/>
              <w:rPr>
                <w:rFonts w:hint="default" w:ascii="Times New Roman" w:hAnsi="Times New Roman" w:eastAsia="宋体" w:cs="Times New Roman"/>
                <w:color w:val="000000"/>
                <w:szCs w:val="28"/>
                <w:highlight w:val="none"/>
              </w:rPr>
            </w:pPr>
            <m:oMath>
              <m:r>
                <m:rPr>
                  <m:nor/>
                </m:rPr>
                <w:rPr>
                  <w:rFonts w:hint="default" w:ascii="Times New Roman" w:hAnsi="Times New Roman" w:cs="Times New Roman"/>
                  <w:i/>
                  <w:color w:val="000000"/>
                </w:rPr>
                <m:t>ω</m:t>
              </m:r>
              <m:r>
                <m:rPr>
                  <m:nor/>
                  <m:sty m:val="p"/>
                </m:rPr>
                <w:rPr>
                  <w:rFonts w:hint="default" w:ascii="Times New Roman" w:hAnsi="Times New Roman" w:cs="Times New Roman"/>
                  <w:b w:val="0"/>
                  <w:i w:val="0"/>
                  <w:color w:val="000000"/>
                </w:rPr>
                <m:t>=</m:t>
              </m:r>
              <m:rad>
                <m:radPr>
                  <m:degHide m:val="1"/>
                  <m:ctrlPr>
                    <w:rPr>
                      <w:rFonts w:hint="default" w:ascii="Cambria Math" w:hAnsi="Cambria Math" w:cs="Times New Roman"/>
                      <w:color w:val="000000"/>
                    </w:rPr>
                  </m:ctrlPr>
                </m:radPr>
                <m:deg>
                  <m:ctrlPr>
                    <w:rPr>
                      <w:rFonts w:hint="default" w:ascii="Cambria Math" w:hAnsi="Cambria Math" w:cs="Times New Roman"/>
                      <w:color w:val="000000"/>
                    </w:rPr>
                  </m:ctrlPr>
                </m:deg>
                <m:e>
                  <m:r>
                    <m:rPr>
                      <m:nor/>
                      <m:sty m:val="p"/>
                    </m:rPr>
                    <w:rPr>
                      <w:rFonts w:hint="default" w:ascii="Times New Roman" w:hAnsi="Times New Roman" w:cs="Times New Roman"/>
                      <w:b w:val="0"/>
                      <w:i w:val="0"/>
                      <w:color w:val="000000"/>
                    </w:rPr>
                    <m:t>（13.95</m:t>
                  </m:r>
                  <m:sSup>
                    <m:sSupPr>
                      <m:ctrlPr>
                        <w:rPr>
                          <w:rFonts w:hint="default" w:ascii="Cambria Math" w:hAnsi="Cambria Math" w:cs="Times New Roman"/>
                          <w:color w:val="000000"/>
                        </w:rPr>
                      </m:ctrlPr>
                    </m:sSupPr>
                    <m:e>
                      <m:f>
                        <m:fPr>
                          <m:ctrlPr>
                            <w:rPr>
                              <w:rFonts w:hint="default" w:ascii="Cambria Math" w:hAnsi="Cambria Math" w:cs="Times New Roman"/>
                              <w:color w:val="000000"/>
                            </w:rPr>
                          </m:ctrlPr>
                        </m:fPr>
                        <m:num>
                          <m:r>
                            <m:rPr>
                              <m:nor/>
                            </m:rPr>
                            <w:rPr>
                              <w:rFonts w:hint="default" w:ascii="Times New Roman" w:hAnsi="Times New Roman" w:cs="Times New Roman"/>
                              <w:i/>
                              <w:color w:val="000000"/>
                            </w:rPr>
                            <m:t>v</m:t>
                          </m:r>
                          <m:ctrlPr>
                            <w:rPr>
                              <w:rFonts w:hint="default" w:ascii="Cambria Math" w:hAnsi="Cambria Math" w:cs="Times New Roman"/>
                              <w:color w:val="000000"/>
                            </w:rPr>
                          </m:ctrlPr>
                        </m:num>
                        <m:den>
                          <m:sSub>
                            <m:sSubPr>
                              <m:ctrlPr>
                                <w:rPr>
                                  <w:rFonts w:hint="default" w:ascii="Cambria Math" w:hAnsi="Cambria Math" w:cs="Times New Roman"/>
                                  <w:i/>
                                  <w:color w:val="000000"/>
                                </w:rPr>
                              </m:ctrlPr>
                            </m:sSubPr>
                            <m:e>
                              <m:r>
                                <m:rPr>
                                  <m:nor/>
                                </m:rPr>
                                <w:rPr>
                                  <w:rFonts w:hint="default" w:ascii="Times New Roman" w:hAnsi="Times New Roman" w:cs="Times New Roman"/>
                                  <w:i/>
                                  <w:color w:val="000000"/>
                                </w:rPr>
                                <m:t>d</m:t>
                              </m:r>
                              <m:ctrlPr>
                                <w:rPr>
                                  <w:rFonts w:hint="default" w:ascii="Cambria Math" w:hAnsi="Cambria Math" w:cs="Times New Roman"/>
                                  <w:i/>
                                  <w:color w:val="000000"/>
                                </w:rPr>
                              </m:ctrlPr>
                            </m:e>
                            <m:sub>
                              <m:r>
                                <m:rPr>
                                  <m:nor/>
                                  <m:sty m:val="p"/>
                                </m:rPr>
                                <w:rPr>
                                  <w:rFonts w:hint="default" w:ascii="Times New Roman" w:hAnsi="Times New Roman" w:cs="Times New Roman"/>
                                  <w:b w:val="0"/>
                                  <w:i w:val="0"/>
                                  <w:color w:val="000000"/>
                                </w:rPr>
                                <m:t>50</m:t>
                              </m:r>
                              <m:ctrlPr>
                                <w:rPr>
                                  <w:rFonts w:hint="default" w:ascii="Cambria Math" w:hAnsi="Cambria Math" w:cs="Times New Roman"/>
                                  <w:i/>
                                  <w:color w:val="000000"/>
                                </w:rPr>
                              </m:ctrlPr>
                            </m:sub>
                          </m:sSub>
                          <m:ctrlPr>
                            <w:rPr>
                              <w:rFonts w:hint="default" w:ascii="Cambria Math" w:hAnsi="Cambria Math" w:cs="Times New Roman"/>
                              <w:color w:val="000000"/>
                            </w:rPr>
                          </m:ctrlPr>
                        </m:den>
                      </m:f>
                      <m:r>
                        <m:rPr>
                          <m:nor/>
                          <m:sty m:val="p"/>
                        </m:rPr>
                        <w:rPr>
                          <w:rFonts w:hint="default" w:ascii="Times New Roman" w:hAnsi="Times New Roman" w:cs="Times New Roman"/>
                          <w:b w:val="0"/>
                          <w:i w:val="0"/>
                          <w:color w:val="000000"/>
                        </w:rPr>
                        <m:t>）</m:t>
                      </m:r>
                      <m:ctrlPr>
                        <w:rPr>
                          <w:rFonts w:hint="default" w:ascii="Cambria Math" w:hAnsi="Cambria Math" w:cs="Times New Roman"/>
                          <w:color w:val="000000"/>
                        </w:rPr>
                      </m:ctrlPr>
                    </m:e>
                    <m:sup>
                      <m:r>
                        <m:rPr>
                          <m:nor/>
                          <m:sty m:val="p"/>
                        </m:rPr>
                        <w:rPr>
                          <w:rFonts w:hint="default" w:ascii="Times New Roman" w:hAnsi="Times New Roman" w:cs="Times New Roman"/>
                          <w:b w:val="0"/>
                          <w:i w:val="0"/>
                          <w:color w:val="000000"/>
                        </w:rPr>
                        <m:t>2</m:t>
                      </m:r>
                      <m:ctrlPr>
                        <w:rPr>
                          <w:rFonts w:hint="default" w:ascii="Cambria Math" w:hAnsi="Cambria Math" w:cs="Times New Roman"/>
                          <w:color w:val="000000"/>
                        </w:rPr>
                      </m:ctrlPr>
                    </m:sup>
                  </m:sSup>
                  <m:r>
                    <m:rPr>
                      <m:nor/>
                      <m:sty m:val="p"/>
                    </m:rPr>
                    <w:rPr>
                      <w:rFonts w:hint="default" w:ascii="Times New Roman" w:hAnsi="Times New Roman" w:cs="Times New Roman"/>
                      <w:b w:val="0"/>
                      <w:i w:val="0"/>
                      <w:color w:val="000000"/>
                    </w:rPr>
                    <m:t>+1.09</m:t>
                  </m:r>
                  <m:f>
                    <m:fPr>
                      <m:ctrlPr>
                        <w:rPr>
                          <w:rFonts w:hint="default" w:ascii="Cambria Math" w:hAnsi="Cambria Math" w:cs="Times New Roman"/>
                          <w:i/>
                          <w:color w:val="000000"/>
                        </w:rPr>
                      </m:ctrlPr>
                    </m:fPr>
                    <m:num>
                      <m:sSub>
                        <m:sSubPr>
                          <m:ctrlPr>
                            <w:rPr>
                              <w:rFonts w:hint="default" w:ascii="Cambria Math" w:hAnsi="Cambria Math" w:cs="Times New Roman"/>
                              <w:i/>
                              <w:color w:val="000000"/>
                            </w:rPr>
                          </m:ctrlPr>
                        </m:sSubPr>
                        <m:e>
                          <m:r>
                            <m:rPr>
                              <m:nor/>
                            </m:rPr>
                            <w:rPr>
                              <w:rFonts w:hint="default" w:ascii="Times New Roman" w:hAnsi="Times New Roman" w:cs="Times New Roman"/>
                              <w:i/>
                              <w:color w:val="000000"/>
                            </w:rPr>
                            <m:t>γ</m:t>
                          </m:r>
                          <m:ctrlPr>
                            <w:rPr>
                              <w:rFonts w:hint="default" w:ascii="Cambria Math" w:hAnsi="Cambria Math" w:cs="Times New Roman"/>
                              <w:i/>
                              <w:color w:val="000000"/>
                            </w:rPr>
                          </m:ctrlPr>
                        </m:e>
                        <m:sub>
                          <m:r>
                            <m:rPr>
                              <m:nor/>
                            </m:rPr>
                            <w:rPr>
                              <w:rFonts w:hint="default" w:ascii="Times New Roman" w:hAnsi="Times New Roman" w:cs="Times New Roman"/>
                              <w:i/>
                              <w:color w:val="000000"/>
                            </w:rPr>
                            <m:t>s</m:t>
                          </m:r>
                          <m:ctrlPr>
                            <w:rPr>
                              <w:rFonts w:hint="default" w:ascii="Cambria Math" w:hAnsi="Cambria Math" w:cs="Times New Roman"/>
                              <w:i/>
                              <w:color w:val="000000"/>
                            </w:rPr>
                          </m:ctrlPr>
                        </m:sub>
                      </m:sSub>
                      <m:r>
                        <m:rPr>
                          <m:nor/>
                          <m:sty m:val="p"/>
                        </m:rPr>
                        <w:rPr>
                          <w:rFonts w:hint="default" w:ascii="Times New Roman" w:hAnsi="Times New Roman" w:cs="Times New Roman"/>
                          <w:b w:val="0"/>
                          <w:i w:val="0"/>
                          <w:color w:val="000000"/>
                        </w:rPr>
                        <m:t>−</m:t>
                      </m:r>
                      <m:r>
                        <m:rPr>
                          <m:nor/>
                        </m:rPr>
                        <w:rPr>
                          <w:rFonts w:hint="default" w:ascii="Times New Roman" w:hAnsi="Times New Roman" w:cs="Times New Roman"/>
                          <w:i/>
                          <w:color w:val="000000"/>
                        </w:rPr>
                        <m:t>γ</m:t>
                      </m:r>
                      <m:ctrlPr>
                        <w:rPr>
                          <w:rFonts w:hint="default" w:ascii="Cambria Math" w:hAnsi="Cambria Math" w:cs="Times New Roman"/>
                          <w:i/>
                          <w:color w:val="000000"/>
                        </w:rPr>
                      </m:ctrlPr>
                    </m:num>
                    <m:den>
                      <m:r>
                        <m:rPr>
                          <m:nor/>
                        </m:rPr>
                        <w:rPr>
                          <w:rFonts w:hint="default" w:ascii="Times New Roman" w:hAnsi="Times New Roman" w:cs="Times New Roman"/>
                          <w:i/>
                          <w:color w:val="000000"/>
                        </w:rPr>
                        <m:t>γ</m:t>
                      </m:r>
                      <m:ctrlPr>
                        <w:rPr>
                          <w:rFonts w:hint="default" w:ascii="Cambria Math" w:hAnsi="Cambria Math" w:cs="Times New Roman"/>
                          <w:i/>
                          <w:color w:val="000000"/>
                        </w:rPr>
                      </m:ctrlPr>
                    </m:den>
                  </m:f>
                  <m:r>
                    <m:rPr>
                      <m:nor/>
                    </m:rPr>
                    <w:rPr>
                      <w:rFonts w:hint="default" w:ascii="Times New Roman" w:hAnsi="Times New Roman" w:cs="Times New Roman"/>
                      <w:i/>
                      <w:color w:val="000000"/>
                    </w:rPr>
                    <m:t>g</m:t>
                  </m:r>
                  <m:sSub>
                    <m:sSubPr>
                      <m:ctrlPr>
                        <w:rPr>
                          <w:rFonts w:hint="default" w:ascii="Cambria Math" w:hAnsi="Cambria Math" w:cs="Times New Roman"/>
                          <w:i/>
                          <w:color w:val="000000"/>
                        </w:rPr>
                      </m:ctrlPr>
                    </m:sSubPr>
                    <m:e>
                      <m:r>
                        <m:rPr>
                          <m:nor/>
                        </m:rPr>
                        <w:rPr>
                          <w:rFonts w:hint="default" w:ascii="Times New Roman" w:hAnsi="Times New Roman" w:cs="Times New Roman"/>
                          <w:i/>
                          <w:color w:val="000000"/>
                        </w:rPr>
                        <m:t>d</m:t>
                      </m:r>
                      <m:ctrlPr>
                        <w:rPr>
                          <w:rFonts w:hint="default" w:ascii="Cambria Math" w:hAnsi="Cambria Math" w:cs="Times New Roman"/>
                          <w:i/>
                          <w:color w:val="000000"/>
                        </w:rPr>
                      </m:ctrlPr>
                    </m:e>
                    <m:sub>
                      <m:r>
                        <m:rPr>
                          <m:nor/>
                          <m:sty m:val="p"/>
                        </m:rPr>
                        <w:rPr>
                          <w:rFonts w:hint="default" w:ascii="Times New Roman" w:hAnsi="Times New Roman" w:cs="Times New Roman"/>
                          <w:b w:val="0"/>
                          <w:i w:val="0"/>
                          <w:color w:val="000000"/>
                        </w:rPr>
                        <m:t>50</m:t>
                      </m:r>
                      <m:ctrlPr>
                        <w:rPr>
                          <w:rFonts w:hint="default" w:ascii="Cambria Math" w:hAnsi="Cambria Math" w:cs="Times New Roman"/>
                          <w:i/>
                          <w:color w:val="000000"/>
                        </w:rPr>
                      </m:ctrlPr>
                    </m:sub>
                  </m:sSub>
                  <m:ctrlPr>
                    <w:rPr>
                      <w:rFonts w:hint="default" w:ascii="Cambria Math" w:hAnsi="Cambria Math" w:cs="Times New Roman"/>
                      <w:color w:val="000000"/>
                    </w:rPr>
                  </m:ctrlPr>
                </m:e>
              </m:rad>
              <m:r>
                <m:rPr>
                  <m:nor/>
                  <m:sty m:val="p"/>
                </m:rPr>
                <w:rPr>
                  <w:rFonts w:hint="default" w:ascii="Times New Roman" w:hAnsi="Times New Roman" w:cs="Times New Roman"/>
                  <w:b w:val="0"/>
                  <w:i w:val="0"/>
                  <w:color w:val="000000"/>
                </w:rPr>
                <m:t>−13.95</m:t>
              </m:r>
              <m:f>
                <m:fPr>
                  <m:ctrlPr>
                    <w:rPr>
                      <w:rFonts w:hint="default" w:ascii="Cambria Math" w:hAnsi="Cambria Math" w:cs="Times New Roman"/>
                      <w:color w:val="000000"/>
                    </w:rPr>
                  </m:ctrlPr>
                </m:fPr>
                <m:num>
                  <m:r>
                    <m:rPr>
                      <m:nor/>
                    </m:rPr>
                    <w:rPr>
                      <w:rFonts w:hint="default" w:ascii="Times New Roman" w:hAnsi="Times New Roman" w:cs="Times New Roman"/>
                      <w:i/>
                      <w:color w:val="000000"/>
                    </w:rPr>
                    <m:t>v</m:t>
                  </m:r>
                  <m:ctrlPr>
                    <w:rPr>
                      <w:rFonts w:hint="default" w:ascii="Cambria Math" w:hAnsi="Cambria Math" w:cs="Times New Roman"/>
                      <w:color w:val="000000"/>
                    </w:rPr>
                  </m:ctrlPr>
                </m:num>
                <m:den>
                  <m:sSub>
                    <m:sSubPr>
                      <m:ctrlPr>
                        <w:rPr>
                          <w:rFonts w:hint="default" w:ascii="Cambria Math" w:hAnsi="Cambria Math" w:cs="Times New Roman"/>
                          <w:i/>
                          <w:color w:val="000000"/>
                        </w:rPr>
                      </m:ctrlPr>
                    </m:sSubPr>
                    <m:e>
                      <m:r>
                        <m:rPr>
                          <m:nor/>
                        </m:rPr>
                        <w:rPr>
                          <w:rFonts w:hint="default" w:ascii="Times New Roman" w:hAnsi="Times New Roman" w:cs="Times New Roman"/>
                          <w:i/>
                          <w:color w:val="000000"/>
                        </w:rPr>
                        <m:t>d</m:t>
                      </m:r>
                      <m:ctrlPr>
                        <w:rPr>
                          <w:rFonts w:hint="default" w:ascii="Cambria Math" w:hAnsi="Cambria Math" w:cs="Times New Roman"/>
                          <w:i/>
                          <w:color w:val="000000"/>
                        </w:rPr>
                      </m:ctrlPr>
                    </m:e>
                    <m:sub>
                      <m:r>
                        <m:rPr>
                          <m:nor/>
                          <m:sty m:val="p"/>
                        </m:rPr>
                        <w:rPr>
                          <w:rFonts w:hint="default" w:ascii="Times New Roman" w:hAnsi="Times New Roman" w:cs="Times New Roman"/>
                          <w:b w:val="0"/>
                          <w:i w:val="0"/>
                          <w:color w:val="000000"/>
                        </w:rPr>
                        <m:t>50</m:t>
                      </m:r>
                      <m:ctrlPr>
                        <w:rPr>
                          <w:rFonts w:hint="default" w:ascii="Cambria Math" w:hAnsi="Cambria Math" w:cs="Times New Roman"/>
                          <w:i/>
                          <w:color w:val="000000"/>
                        </w:rPr>
                      </m:ctrlPr>
                    </m:sub>
                  </m:sSub>
                  <m:ctrlPr>
                    <w:rPr>
                      <w:rFonts w:hint="default" w:ascii="Cambria Math" w:hAnsi="Cambria Math" w:cs="Times New Roman"/>
                      <w:color w:val="000000"/>
                    </w:rPr>
                  </m:ctrlPr>
                </m:den>
              </m:f>
            </m:oMath>
            <w:r>
              <w:rPr>
                <w:rFonts w:hint="default" w:ascii="Times New Roman" w:hAnsi="Times New Roman" w:eastAsia="宋体" w:cs="Times New Roman"/>
                <w:color w:val="000000"/>
                <w:szCs w:val="28"/>
                <w:highlight w:val="none"/>
              </w:rPr>
              <w:t xml:space="preserve">       （</w:t>
            </w:r>
            <w:r>
              <w:rPr>
                <w:rFonts w:hint="eastAsia" w:cs="Times New Roman"/>
                <w:color w:val="000000"/>
                <w:szCs w:val="28"/>
                <w:highlight w:val="none"/>
                <w:lang w:val="en-US" w:eastAsia="zh-CN"/>
              </w:rPr>
              <w:t>4</w:t>
            </w:r>
            <w:r>
              <w:rPr>
                <w:rFonts w:hint="default" w:ascii="Times New Roman" w:hAnsi="Times New Roman" w:eastAsia="宋体" w:cs="Times New Roman"/>
                <w:color w:val="000000"/>
                <w:szCs w:val="28"/>
                <w:highlight w:val="none"/>
                <w:lang w:eastAsia="zh-CN"/>
              </w:rPr>
              <w:t>.</w:t>
            </w:r>
            <w:r>
              <w:rPr>
                <w:rFonts w:hint="eastAsia" w:cs="Times New Roman"/>
                <w:color w:val="000000"/>
                <w:szCs w:val="28"/>
                <w:highlight w:val="none"/>
                <w:lang w:val="en-US" w:eastAsia="zh-CN"/>
              </w:rPr>
              <w:t>3.2</w:t>
            </w:r>
            <w:r>
              <w:rPr>
                <w:rFonts w:hint="default" w:ascii="Times New Roman" w:hAnsi="Times New Roman" w:eastAsia="宋体" w:cs="Times New Roman"/>
                <w:color w:val="000000"/>
                <w:szCs w:val="28"/>
                <w:highlight w:val="none"/>
              </w:rPr>
              <w:t>-3）</w:t>
            </w:r>
          </w:p>
          <w:p w14:paraId="2C1E00DA">
            <w:pPr>
              <w:keepNext w:val="0"/>
              <w:keepLines w:val="0"/>
              <w:pageBreakBefore w:val="0"/>
              <w:widowControl w:val="0"/>
              <w:kinsoku/>
              <w:wordWrap/>
              <w:overflowPunct/>
              <w:topLinePunct w:val="0"/>
              <w:autoSpaceDE/>
              <w:autoSpaceDN/>
              <w:bidi w:val="0"/>
              <w:adjustRightInd w:val="0"/>
              <w:snapToGrid w:val="0"/>
              <w:spacing w:before="93"/>
              <w:ind w:firstLine="480" w:firstLineChars="200"/>
              <w:textAlignment w:val="auto"/>
              <w:rPr>
                <w:rFonts w:hint="default" w:ascii="Times New Roman" w:hAnsi="Times New Roman" w:cs="Times New Roman"/>
                <w:color w:val="000000"/>
                <w:szCs w:val="28"/>
                <w:highlight w:val="none"/>
              </w:rPr>
            </w:pPr>
            <w:r>
              <w:rPr>
                <w:rFonts w:hint="default" w:ascii="Times New Roman" w:hAnsi="Times New Roman" w:cs="Times New Roman"/>
                <w:color w:val="000000"/>
                <w:szCs w:val="28"/>
                <w:highlight w:val="none"/>
              </w:rPr>
              <w:t>式中：</w:t>
            </w:r>
            <m:oMath>
              <m:r>
                <m:rPr>
                  <m:nor/>
                </m:rPr>
                <w:rPr>
                  <w:rFonts w:hint="default" w:ascii="Times New Roman" w:hAnsi="Times New Roman" w:cs="Times New Roman"/>
                  <w:i/>
                  <w:color w:val="000000"/>
                </w:rPr>
                <m:t>v</m:t>
              </m:r>
            </m:oMath>
            <w:r>
              <w:rPr>
                <w:rFonts w:hint="default" w:ascii="Times New Roman" w:hAnsi="Times New Roman" w:cs="Times New Roman"/>
                <w:color w:val="000000"/>
                <w:szCs w:val="28"/>
                <w:highlight w:val="none"/>
              </w:rPr>
              <w:t>为水体流速，</w:t>
            </w:r>
            <m:oMath>
              <m:sSub>
                <m:sSubPr>
                  <m:ctrlPr>
                    <w:rPr>
                      <w:rFonts w:hint="default" w:ascii="Cambria Math" w:hAnsi="Cambria Math" w:cs="Times New Roman"/>
                      <w:i/>
                      <w:color w:val="000000"/>
                    </w:rPr>
                  </m:ctrlPr>
                </m:sSubPr>
                <m:e>
                  <m:r>
                    <m:rPr>
                      <m:nor/>
                    </m:rPr>
                    <w:rPr>
                      <w:rFonts w:hint="default" w:ascii="Times New Roman" w:hAnsi="Times New Roman" w:cs="Times New Roman"/>
                      <w:i/>
                      <w:color w:val="000000"/>
                    </w:rPr>
                    <m:t>γ</m:t>
                  </m:r>
                  <m:ctrlPr>
                    <w:rPr>
                      <w:rFonts w:hint="default" w:ascii="Cambria Math" w:hAnsi="Cambria Math" w:cs="Times New Roman"/>
                      <w:i/>
                      <w:color w:val="000000"/>
                    </w:rPr>
                  </m:ctrlPr>
                </m:e>
                <m:sub>
                  <m:r>
                    <m:rPr>
                      <m:nor/>
                    </m:rPr>
                    <w:rPr>
                      <w:rFonts w:hint="default" w:ascii="Times New Roman" w:hAnsi="Times New Roman" w:cs="Times New Roman"/>
                      <w:i/>
                      <w:color w:val="000000"/>
                    </w:rPr>
                    <m:t>s</m:t>
                  </m:r>
                  <m:ctrlPr>
                    <w:rPr>
                      <w:rFonts w:hint="default" w:ascii="Cambria Math" w:hAnsi="Cambria Math" w:cs="Times New Roman"/>
                      <w:i/>
                      <w:color w:val="000000"/>
                    </w:rPr>
                  </m:ctrlPr>
                </m:sub>
              </m:sSub>
            </m:oMath>
            <w:r>
              <w:rPr>
                <w:rFonts w:hint="default" w:ascii="Times New Roman" w:hAnsi="Times New Roman" w:cs="Times New Roman"/>
                <w:color w:val="000000"/>
                <w:szCs w:val="28"/>
                <w:highlight w:val="none"/>
              </w:rPr>
              <w:t>为淤积物干容重，根据经验公式</w:t>
            </w:r>
            <m:oMath>
              <m:sSub>
                <m:sSubPr>
                  <m:ctrlPr>
                    <w:rPr>
                      <w:rFonts w:hint="default" w:ascii="Cambria Math" w:hAnsi="Cambria Math" w:cs="Times New Roman"/>
                      <w:i/>
                      <w:color w:val="000000"/>
                    </w:rPr>
                  </m:ctrlPr>
                </m:sSubPr>
                <m:e>
                  <m:r>
                    <m:rPr>
                      <m:nor/>
                    </m:rPr>
                    <w:rPr>
                      <w:rFonts w:hint="default" w:ascii="Times New Roman" w:hAnsi="Times New Roman" w:cs="Times New Roman"/>
                      <w:i/>
                      <w:color w:val="000000"/>
                    </w:rPr>
                    <m:t>γ</m:t>
                  </m:r>
                  <m:ctrlPr>
                    <w:rPr>
                      <w:rFonts w:hint="default" w:ascii="Cambria Math" w:hAnsi="Cambria Math" w:cs="Times New Roman"/>
                      <w:i/>
                      <w:color w:val="000000"/>
                    </w:rPr>
                  </m:ctrlPr>
                </m:e>
                <m:sub>
                  <m:r>
                    <m:rPr>
                      <m:nor/>
                    </m:rPr>
                    <w:rPr>
                      <w:rFonts w:hint="default" w:ascii="Times New Roman" w:hAnsi="Times New Roman" w:cs="Times New Roman"/>
                      <w:i/>
                      <w:color w:val="000000"/>
                    </w:rPr>
                    <m:t>s</m:t>
                  </m:r>
                  <m:ctrlPr>
                    <w:rPr>
                      <w:rFonts w:hint="default" w:ascii="Cambria Math" w:hAnsi="Cambria Math" w:cs="Times New Roman"/>
                      <w:i/>
                      <w:color w:val="000000"/>
                    </w:rPr>
                  </m:ctrlPr>
                </m:sub>
              </m:sSub>
            </m:oMath>
            <w:r>
              <w:rPr>
                <w:rFonts w:hint="default" w:ascii="Times New Roman" w:hAnsi="Times New Roman" w:cs="Times New Roman"/>
                <w:color w:val="000000"/>
                <w:highlight w:val="none"/>
              </w:rPr>
              <w:t>＝1750</w:t>
            </w:r>
            <w:r>
              <w:rPr>
                <w:rFonts w:hint="default" w:ascii="Times New Roman" w:hAnsi="Times New Roman" w:cs="Times New Roman"/>
                <w:i/>
                <w:iCs/>
                <w:color w:val="000000"/>
                <w:highlight w:val="none"/>
              </w:rPr>
              <w:t>d</w:t>
            </w:r>
            <w:r>
              <w:rPr>
                <w:rFonts w:hint="default" w:ascii="Times New Roman" w:hAnsi="Times New Roman" w:cs="Times New Roman"/>
                <w:i/>
                <w:iCs/>
                <w:color w:val="000000"/>
                <w:highlight w:val="none"/>
                <w:vertAlign w:val="superscript"/>
              </w:rPr>
              <w:t>0.183</w:t>
            </w:r>
            <w:r>
              <w:rPr>
                <w:rFonts w:hint="default" w:ascii="Times New Roman" w:hAnsi="Times New Roman" w:cs="Times New Roman"/>
                <w:color w:val="000000"/>
                <w:szCs w:val="28"/>
                <w:highlight w:val="none"/>
              </w:rPr>
              <w:t>，</w:t>
            </w:r>
            <w:r>
              <w:rPr>
                <w:rFonts w:hint="default" w:ascii="Times New Roman" w:hAnsi="Times New Roman" w:cs="Times New Roman"/>
                <w:i/>
                <w:iCs/>
                <w:color w:val="000000"/>
                <w:szCs w:val="28"/>
                <w:highlight w:val="none"/>
              </w:rPr>
              <w:t>d</w:t>
            </w:r>
            <w:r>
              <w:rPr>
                <w:rFonts w:hint="default" w:ascii="Times New Roman" w:hAnsi="Times New Roman" w:cs="Times New Roman"/>
                <w:color w:val="000000"/>
                <w:szCs w:val="28"/>
                <w:highlight w:val="none"/>
              </w:rPr>
              <w:t>即</w:t>
            </w:r>
            <m:oMath>
              <m:sSub>
                <m:sSubPr>
                  <m:ctrlPr>
                    <w:rPr>
                      <w:rFonts w:hint="default" w:ascii="Cambria Math" w:hAnsi="Cambria Math" w:cs="Times New Roman"/>
                      <w:i/>
                      <w:color w:val="000000"/>
                    </w:rPr>
                  </m:ctrlPr>
                </m:sSubPr>
                <m:e>
                  <m:r>
                    <m:rPr>
                      <m:nor/>
                    </m:rPr>
                    <w:rPr>
                      <w:rFonts w:hint="default" w:ascii="Times New Roman" w:hAnsi="Times New Roman" w:cs="Times New Roman"/>
                      <w:i/>
                      <w:color w:val="000000"/>
                    </w:rPr>
                    <m:t>d</m:t>
                  </m:r>
                  <m:ctrlPr>
                    <w:rPr>
                      <w:rFonts w:hint="default" w:ascii="Cambria Math" w:hAnsi="Cambria Math" w:cs="Times New Roman"/>
                      <w:i/>
                      <w:color w:val="000000"/>
                    </w:rPr>
                  </m:ctrlPr>
                </m:e>
                <m:sub>
                  <m:r>
                    <m:rPr>
                      <m:nor/>
                      <m:sty m:val="p"/>
                    </m:rPr>
                    <w:rPr>
                      <w:rFonts w:hint="default" w:ascii="Times New Roman" w:hAnsi="Times New Roman" w:cs="Times New Roman"/>
                      <w:b w:val="0"/>
                      <w:i w:val="0"/>
                      <w:color w:val="000000"/>
                    </w:rPr>
                    <m:t>50</m:t>
                  </m:r>
                  <m:ctrlPr>
                    <w:rPr>
                      <w:rFonts w:hint="default" w:ascii="Cambria Math" w:hAnsi="Cambria Math" w:cs="Times New Roman"/>
                      <w:i/>
                      <w:color w:val="000000"/>
                    </w:rPr>
                  </m:ctrlPr>
                </m:sub>
              </m:sSub>
            </m:oMath>
            <w:r>
              <w:rPr>
                <w:rFonts w:hint="default" w:ascii="Times New Roman" w:hAnsi="Times New Roman" w:cs="Times New Roman"/>
                <w:color w:val="000000"/>
                <w:szCs w:val="28"/>
                <w:highlight w:val="none"/>
              </w:rPr>
              <w:t>中值粒径平均值（</w:t>
            </w:r>
            <w:r>
              <w:rPr>
                <w:rFonts w:hint="default" w:ascii="Times New Roman" w:hAnsi="Times New Roman" w:cs="Times New Roman"/>
                <w:i/>
                <w:iCs/>
                <w:color w:val="000000"/>
                <w:szCs w:val="28"/>
                <w:highlight w:val="none"/>
              </w:rPr>
              <w:t>mm</w:t>
            </w:r>
            <w:r>
              <w:rPr>
                <w:rFonts w:hint="default" w:ascii="Times New Roman" w:hAnsi="Times New Roman" w:cs="Times New Roman"/>
                <w:color w:val="000000"/>
                <w:szCs w:val="28"/>
                <w:highlight w:val="none"/>
              </w:rPr>
              <w:t>）。</w:t>
            </w:r>
            <m:oMath>
              <m:r>
                <m:rPr>
                  <m:nor/>
                </m:rPr>
                <w:rPr>
                  <w:rFonts w:hint="default" w:ascii="Times New Roman" w:hAnsi="Times New Roman" w:cs="Times New Roman"/>
                  <w:i/>
                  <w:color w:val="000000"/>
                </w:rPr>
                <m:t>γ</m:t>
              </m:r>
            </m:oMath>
            <w:r>
              <w:rPr>
                <w:rFonts w:hint="default" w:ascii="Times New Roman" w:hAnsi="Times New Roman" w:cs="Times New Roman"/>
                <w:color w:val="000000"/>
                <w:szCs w:val="28"/>
                <w:highlight w:val="none"/>
              </w:rPr>
              <w:t>为泥沙和水体湿容重，</w:t>
            </w:r>
            <m:oMath>
              <m:sSub>
                <m:sSubPr>
                  <m:ctrlPr>
                    <w:rPr>
                      <w:rFonts w:hint="default" w:ascii="Cambria Math" w:hAnsi="Cambria Math" w:cs="Times New Roman"/>
                      <w:i/>
                      <w:color w:val="000000"/>
                    </w:rPr>
                  </m:ctrlPr>
                </m:sSubPr>
                <m:e>
                  <m:r>
                    <m:rPr>
                      <m:nor/>
                    </m:rPr>
                    <w:rPr>
                      <w:rFonts w:hint="default" w:ascii="Times New Roman" w:hAnsi="Times New Roman" w:cs="Times New Roman"/>
                      <w:i/>
                      <w:color w:val="000000"/>
                    </w:rPr>
                    <m:t>d</m:t>
                  </m:r>
                  <m:ctrlPr>
                    <w:rPr>
                      <w:rFonts w:hint="default" w:ascii="Cambria Math" w:hAnsi="Cambria Math" w:cs="Times New Roman"/>
                      <w:i/>
                      <w:color w:val="000000"/>
                    </w:rPr>
                  </m:ctrlPr>
                </m:e>
                <m:sub>
                  <m:r>
                    <m:rPr>
                      <m:nor/>
                      <m:sty m:val="p"/>
                    </m:rPr>
                    <w:rPr>
                      <w:rFonts w:hint="default" w:ascii="Times New Roman" w:hAnsi="Times New Roman" w:cs="Times New Roman"/>
                      <w:b w:val="0"/>
                      <w:i w:val="0"/>
                      <w:color w:val="000000"/>
                    </w:rPr>
                    <m:t>50</m:t>
                  </m:r>
                  <m:ctrlPr>
                    <w:rPr>
                      <w:rFonts w:hint="default" w:ascii="Cambria Math" w:hAnsi="Cambria Math" w:cs="Times New Roman"/>
                      <w:i/>
                      <w:color w:val="000000"/>
                    </w:rPr>
                  </m:ctrlPr>
                </m:sub>
              </m:sSub>
            </m:oMath>
            <w:r>
              <w:rPr>
                <w:rFonts w:hint="default" w:ascii="Times New Roman" w:hAnsi="Times New Roman" w:cs="Times New Roman"/>
                <w:color w:val="000000"/>
                <w:szCs w:val="28"/>
                <w:highlight w:val="none"/>
              </w:rPr>
              <w:t>为泥沙中值粒径。</w:t>
            </w:r>
          </w:p>
          <w:p w14:paraId="7711D71B">
            <w:pPr>
              <w:adjustRightInd w:val="0"/>
              <w:snapToGrid w:val="0"/>
              <w:ind w:firstLine="480" w:firstLineChars="200"/>
              <w:rPr>
                <w:rFonts w:hint="default" w:ascii="Times New Roman" w:hAnsi="Times New Roman" w:eastAsia="宋体" w:cs="Times New Roman"/>
                <w:color w:val="000000"/>
                <w:szCs w:val="28"/>
                <w:highlight w:val="none"/>
              </w:rPr>
            </w:pPr>
            <w:r>
              <w:rPr>
                <w:rFonts w:hint="default" w:ascii="Times New Roman" w:hAnsi="Times New Roman" w:eastAsia="宋体" w:cs="Times New Roman"/>
                <w:color w:val="000000"/>
                <w:szCs w:val="28"/>
                <w:highlight w:val="none"/>
              </w:rPr>
              <w:t>然后根据泥沙运动理论中的输沙平衡原理，若只考虑潮流的挟沙能力，则可表示为：</w:t>
            </w:r>
          </w:p>
          <w:p w14:paraId="5D4339E0">
            <w:pPr>
              <w:adjustRightInd w:val="0"/>
              <w:snapToGrid w:val="0"/>
              <w:ind w:firstLine="480" w:firstLineChars="200"/>
              <w:jc w:val="right"/>
              <w:rPr>
                <w:rFonts w:hint="default" w:ascii="Times New Roman" w:hAnsi="Times New Roman" w:eastAsia="宋体" w:cs="Times New Roman"/>
                <w:color w:val="000000"/>
                <w:szCs w:val="28"/>
                <w:highlight w:val="none"/>
              </w:rPr>
            </w:pPr>
            <w:r>
              <w:rPr>
                <w:rFonts w:hint="default" w:ascii="Times New Roman" w:hAnsi="Times New Roman" w:eastAsia="宋体" w:cs="Times New Roman"/>
                <w:color w:val="000000"/>
                <w:szCs w:val="24"/>
                <w:highlight w:val="none"/>
              </w:rPr>
              <w:object>
                <v:shape id="_x0000_i1056" o:spt="75" type="#_x0000_t75" style="height:37.6pt;width:64.5pt;" o:ole="t" fillcolor="#FFFFFF" filled="t" o:preferrelative="t" stroked="f" coordsize="21600,21600">
                  <v:path/>
                  <v:fill on="t" color2="#FFFFFF" focussize="0,0"/>
                  <v:stroke on="f"/>
                  <v:imagedata r:id="rId93" o:title=""/>
                  <o:lock v:ext="edit" aspectratio="t"/>
                  <w10:wrap type="none"/>
                  <w10:anchorlock/>
                </v:shape>
                <o:OLEObject Type="Embed" ProgID="Equation.DSMT4" ShapeID="_x0000_i1056" DrawAspect="Content" ObjectID="_1468075757" r:id="rId92">
                  <o:LockedField>false</o:LockedField>
                </o:OLEObject>
              </w:object>
            </w:r>
            <w:r>
              <w:rPr>
                <w:rFonts w:hint="default" w:ascii="Times New Roman" w:hAnsi="Times New Roman" w:eastAsia="宋体" w:cs="Times New Roman"/>
                <w:color w:val="000000"/>
                <w:szCs w:val="24"/>
                <w:highlight w:val="none"/>
              </w:rPr>
              <w:t xml:space="preserve">                      （</w:t>
            </w:r>
            <w:r>
              <w:rPr>
                <w:rFonts w:hint="eastAsia" w:cs="Times New Roman"/>
                <w:color w:val="000000"/>
                <w:szCs w:val="24"/>
                <w:highlight w:val="none"/>
                <w:lang w:val="en-US" w:eastAsia="zh-CN"/>
              </w:rPr>
              <w:t>4</w:t>
            </w:r>
            <w:r>
              <w:rPr>
                <w:rFonts w:hint="default" w:ascii="Times New Roman" w:hAnsi="Times New Roman" w:eastAsia="宋体" w:cs="Times New Roman"/>
                <w:color w:val="000000"/>
                <w:szCs w:val="24"/>
                <w:highlight w:val="none"/>
                <w:lang w:eastAsia="zh-CN"/>
              </w:rPr>
              <w:t>.</w:t>
            </w:r>
            <w:r>
              <w:rPr>
                <w:rFonts w:hint="eastAsia" w:cs="Times New Roman"/>
                <w:color w:val="000000"/>
                <w:szCs w:val="24"/>
                <w:highlight w:val="none"/>
                <w:lang w:val="en-US" w:eastAsia="zh-CN"/>
              </w:rPr>
              <w:t>3.2</w:t>
            </w:r>
            <w:r>
              <w:rPr>
                <w:rFonts w:hint="default" w:ascii="Times New Roman" w:hAnsi="Times New Roman" w:eastAsia="宋体" w:cs="Times New Roman"/>
                <w:color w:val="000000"/>
                <w:szCs w:val="24"/>
                <w:highlight w:val="none"/>
              </w:rPr>
              <w:t>-4）</w:t>
            </w:r>
          </w:p>
          <w:p w14:paraId="653A655B">
            <w:pPr>
              <w:adjustRightInd w:val="0"/>
              <w:snapToGrid w:val="0"/>
              <w:ind w:firstLine="480" w:firstLineChars="200"/>
              <w:rPr>
                <w:rFonts w:hint="default" w:ascii="Times New Roman" w:hAnsi="Times New Roman" w:eastAsia="宋体" w:cs="Times New Roman"/>
                <w:color w:val="000000"/>
                <w:szCs w:val="28"/>
                <w:highlight w:val="none"/>
              </w:rPr>
            </w:pPr>
            <w:r>
              <w:rPr>
                <w:rFonts w:hint="default" w:ascii="Times New Roman" w:hAnsi="Times New Roman" w:eastAsia="宋体" w:cs="Times New Roman"/>
                <w:color w:val="000000"/>
                <w:szCs w:val="28"/>
                <w:highlight w:val="none"/>
              </w:rPr>
              <w:t>式中：</w:t>
            </w:r>
            <w:r>
              <w:rPr>
                <w:rFonts w:hint="default" w:ascii="Times New Roman" w:hAnsi="Times New Roman" w:eastAsia="宋体" w:cs="Times New Roman"/>
                <w:i/>
                <w:iCs/>
                <w:color w:val="000000"/>
                <w:szCs w:val="28"/>
                <w:highlight w:val="none"/>
              </w:rPr>
              <w:t>H</w:t>
            </w:r>
            <w:r>
              <w:rPr>
                <w:rFonts w:hint="default" w:ascii="Times New Roman" w:hAnsi="Times New Roman" w:eastAsia="宋体" w:cs="Times New Roman"/>
                <w:color w:val="000000"/>
                <w:szCs w:val="28"/>
                <w:highlight w:val="none"/>
              </w:rPr>
              <w:t>—为实际水深（m）；</w:t>
            </w:r>
          </w:p>
          <w:p w14:paraId="0CE6EDF6">
            <w:pPr>
              <w:adjustRightInd w:val="0"/>
              <w:snapToGrid w:val="0"/>
              <w:ind w:firstLine="1200" w:firstLineChars="500"/>
              <w:rPr>
                <w:rFonts w:hint="default" w:ascii="Times New Roman" w:hAnsi="Times New Roman" w:eastAsia="宋体" w:cs="Times New Roman"/>
                <w:color w:val="000000"/>
                <w:szCs w:val="28"/>
                <w:highlight w:val="none"/>
              </w:rPr>
            </w:pPr>
            <w:r>
              <w:rPr>
                <w:rFonts w:hint="default" w:ascii="Times New Roman" w:hAnsi="Times New Roman" w:eastAsia="宋体" w:cs="Times New Roman"/>
                <w:i/>
                <w:iCs/>
                <w:color w:val="000000"/>
                <w:szCs w:val="28"/>
                <w:highlight w:val="none"/>
              </w:rPr>
              <w:t>g</w:t>
            </w:r>
            <w:r>
              <w:rPr>
                <w:rFonts w:hint="default" w:ascii="Times New Roman" w:hAnsi="Times New Roman" w:eastAsia="宋体" w:cs="Times New Roman"/>
                <w:color w:val="000000"/>
                <w:szCs w:val="28"/>
                <w:highlight w:val="none"/>
              </w:rPr>
              <w:t>—为重力加速度（m/s</w:t>
            </w:r>
            <w:r>
              <w:rPr>
                <w:rFonts w:hint="default" w:ascii="Times New Roman" w:hAnsi="Times New Roman" w:eastAsia="宋体" w:cs="Times New Roman"/>
                <w:color w:val="000000"/>
                <w:szCs w:val="28"/>
                <w:highlight w:val="none"/>
                <w:vertAlign w:val="superscript"/>
              </w:rPr>
              <w:t>2</w:t>
            </w:r>
            <w:r>
              <w:rPr>
                <w:rFonts w:hint="default" w:ascii="Times New Roman" w:hAnsi="Times New Roman" w:eastAsia="宋体" w:cs="Times New Roman"/>
                <w:color w:val="000000"/>
                <w:szCs w:val="28"/>
                <w:highlight w:val="none"/>
              </w:rPr>
              <w:t>）；</w:t>
            </w:r>
          </w:p>
          <w:p w14:paraId="1117F281">
            <w:pPr>
              <w:adjustRightInd w:val="0"/>
              <w:snapToGrid w:val="0"/>
              <w:ind w:firstLine="1200" w:firstLineChars="500"/>
              <w:rPr>
                <w:rFonts w:hint="default" w:ascii="Times New Roman" w:hAnsi="Times New Roman" w:eastAsia="宋体" w:cs="Times New Roman"/>
                <w:color w:val="000000"/>
                <w:szCs w:val="28"/>
                <w:highlight w:val="none"/>
              </w:rPr>
            </w:pPr>
            <w:r>
              <w:rPr>
                <w:rFonts w:hint="default" w:ascii="Times New Roman" w:hAnsi="Times New Roman" w:eastAsia="宋体" w:cs="Times New Roman"/>
                <w:i/>
                <w:iCs/>
                <w:color w:val="000000"/>
                <w:szCs w:val="28"/>
                <w:highlight w:val="none"/>
              </w:rPr>
              <w:t>k</w:t>
            </w:r>
            <w:r>
              <w:rPr>
                <w:rFonts w:hint="default" w:ascii="Times New Roman" w:hAnsi="Times New Roman" w:eastAsia="宋体" w:cs="Times New Roman"/>
                <w:color w:val="000000"/>
                <w:szCs w:val="28"/>
                <w:highlight w:val="none"/>
              </w:rPr>
              <w:t>—为挟沙系数取0.2~0.6之间；</w:t>
            </w:r>
          </w:p>
          <w:p w14:paraId="75F8F869">
            <w:pPr>
              <w:adjustRightInd w:val="0"/>
              <w:snapToGrid w:val="0"/>
              <w:ind w:firstLine="1200" w:firstLineChars="500"/>
              <w:rPr>
                <w:rFonts w:hint="default" w:ascii="Times New Roman" w:hAnsi="Times New Roman" w:eastAsia="宋体" w:cs="Times New Roman"/>
                <w:color w:val="000000"/>
                <w:szCs w:val="28"/>
                <w:highlight w:val="none"/>
              </w:rPr>
            </w:pPr>
            <w:r>
              <w:rPr>
                <w:rFonts w:hint="default" w:ascii="Times New Roman" w:hAnsi="Times New Roman" w:eastAsia="宋体" w:cs="Times New Roman"/>
                <w:i/>
                <w:iCs/>
                <w:color w:val="000000"/>
                <w:szCs w:val="28"/>
                <w:highlight w:val="none"/>
              </w:rPr>
              <w:t>V</w:t>
            </w:r>
            <w:r>
              <w:rPr>
                <w:rFonts w:hint="default" w:ascii="Times New Roman" w:hAnsi="Times New Roman" w:eastAsia="宋体" w:cs="Times New Roman"/>
                <w:color w:val="000000"/>
                <w:szCs w:val="28"/>
                <w:highlight w:val="none"/>
              </w:rPr>
              <w:t>—为流速（m/s）；</w:t>
            </w:r>
          </w:p>
          <w:p w14:paraId="7622CD00">
            <w:pPr>
              <w:adjustRightInd w:val="0"/>
              <w:snapToGrid w:val="0"/>
              <w:ind w:firstLine="1200" w:firstLineChars="500"/>
              <w:rPr>
                <w:rFonts w:hint="default" w:ascii="Times New Roman" w:hAnsi="Times New Roman" w:eastAsia="宋体" w:cs="Times New Roman"/>
                <w:color w:val="000000"/>
                <w:szCs w:val="28"/>
                <w:highlight w:val="none"/>
              </w:rPr>
            </w:pPr>
            <w:r>
              <w:rPr>
                <w:rFonts w:hint="default" w:ascii="Times New Roman" w:hAnsi="Times New Roman" w:eastAsia="宋体" w:cs="Times New Roman"/>
                <w:color w:val="000000"/>
                <w:szCs w:val="24"/>
                <w:highlight w:val="none"/>
              </w:rPr>
              <w:object>
                <v:shape id="_x0000_i1057" o:spt="75" type="#_x0000_t75" style="height:12.35pt;width:11.8pt;" o:ole="t" filled="f" o:preferrelative="t" stroked="f" coordsize="21600,21600">
                  <v:path/>
                  <v:fill on="f" focussize="0,0"/>
                  <v:stroke on="f" joinstyle="miter"/>
                  <v:imagedata r:id="rId95" o:title=""/>
                  <o:lock v:ext="edit" aspectratio="t"/>
                  <w10:wrap type="none"/>
                  <w10:anchorlock/>
                </v:shape>
                <o:OLEObject Type="Embed" ProgID="Equation.DSMT4" ShapeID="_x0000_i1057" DrawAspect="Content" ObjectID="_1468075758" r:id="rId94">
                  <o:LockedField>false</o:LockedField>
                </o:OLEObject>
              </w:object>
            </w:r>
            <w:r>
              <w:rPr>
                <w:rFonts w:hint="default" w:ascii="Times New Roman" w:hAnsi="Times New Roman" w:eastAsia="宋体" w:cs="Times New Roman"/>
                <w:color w:val="000000"/>
                <w:szCs w:val="28"/>
                <w:highlight w:val="none"/>
              </w:rPr>
              <w:t>—为水体密度（kg/m</w:t>
            </w:r>
            <w:r>
              <w:rPr>
                <w:rFonts w:hint="default" w:ascii="Times New Roman" w:hAnsi="Times New Roman" w:eastAsia="宋体" w:cs="Times New Roman"/>
                <w:color w:val="000000"/>
                <w:szCs w:val="28"/>
                <w:highlight w:val="none"/>
                <w:vertAlign w:val="superscript"/>
              </w:rPr>
              <w:t>3</w:t>
            </w:r>
            <w:r>
              <w:rPr>
                <w:rFonts w:hint="default" w:ascii="Times New Roman" w:hAnsi="Times New Roman" w:eastAsia="宋体" w:cs="Times New Roman"/>
                <w:color w:val="000000"/>
                <w:szCs w:val="28"/>
                <w:highlight w:val="none"/>
              </w:rPr>
              <w:t>）。</w:t>
            </w:r>
          </w:p>
          <w:p w14:paraId="04D53041">
            <w:pPr>
              <w:adjustRightInd w:val="0"/>
              <w:snapToGrid w:val="0"/>
              <w:ind w:firstLine="480" w:firstLineChars="200"/>
              <w:rPr>
                <w:rFonts w:hint="default" w:ascii="Times New Roman" w:hAnsi="Times New Roman" w:eastAsia="宋体" w:cs="Times New Roman"/>
                <w:color w:val="000000"/>
                <w:szCs w:val="28"/>
                <w:highlight w:val="none"/>
              </w:rPr>
            </w:pPr>
            <w:r>
              <w:rPr>
                <w:rFonts w:hint="default" w:ascii="Times New Roman" w:hAnsi="Times New Roman" w:eastAsia="宋体" w:cs="Times New Roman"/>
                <w:color w:val="000000"/>
                <w:szCs w:val="28"/>
                <w:highlight w:val="none"/>
              </w:rPr>
              <w:t>在实际悬浮浓度大于</w:t>
            </w:r>
            <w:r>
              <w:rPr>
                <w:rFonts w:hint="default" w:ascii="Times New Roman" w:hAnsi="Times New Roman" w:eastAsia="宋体" w:cs="Times New Roman"/>
                <w:i/>
                <w:color w:val="000000"/>
                <w:szCs w:val="28"/>
                <w:highlight w:val="none"/>
              </w:rPr>
              <w:t>S</w:t>
            </w:r>
            <w:r>
              <w:rPr>
                <w:rFonts w:hint="default" w:ascii="Times New Roman" w:hAnsi="Times New Roman" w:eastAsia="宋体" w:cs="Times New Roman"/>
                <w:color w:val="000000"/>
                <w:szCs w:val="28"/>
                <w:highlight w:val="none"/>
              </w:rPr>
              <w:t>*时，则发生泥沙沉降过程。若工程前泥沙处于冲淤平衡状态，那么由于工程后使部分水域流速衰减，导致挟沙能力的减弱而发生沉降。根据这一原理我们可以估算工程后泥沙冲淤厚度。</w:t>
            </w:r>
          </w:p>
          <w:p w14:paraId="51A6D607">
            <w:pPr>
              <w:adjustRightInd w:val="0"/>
              <w:snapToGrid w:val="0"/>
              <w:ind w:firstLine="480" w:firstLineChars="200"/>
              <w:rPr>
                <w:rFonts w:hint="default" w:ascii="Times New Roman" w:hAnsi="Times New Roman" w:eastAsia="宋体" w:cs="Times New Roman"/>
                <w:color w:val="000000"/>
                <w:szCs w:val="28"/>
                <w:highlight w:val="none"/>
              </w:rPr>
            </w:pPr>
            <w:r>
              <w:rPr>
                <w:rFonts w:hint="default" w:ascii="Times New Roman" w:hAnsi="Times New Roman" w:eastAsia="宋体" w:cs="Times New Roman"/>
                <w:color w:val="000000"/>
                <w:szCs w:val="28"/>
                <w:highlight w:val="none"/>
              </w:rPr>
              <w:t>对（</w:t>
            </w:r>
            <w:r>
              <w:rPr>
                <w:rFonts w:hint="eastAsia" w:cs="Times New Roman"/>
                <w:color w:val="000000"/>
                <w:szCs w:val="28"/>
                <w:highlight w:val="none"/>
                <w:lang w:val="en-US" w:eastAsia="zh-CN"/>
              </w:rPr>
              <w:t>4</w:t>
            </w:r>
            <w:r>
              <w:rPr>
                <w:rFonts w:hint="default" w:ascii="Times New Roman" w:hAnsi="Times New Roman" w:eastAsia="宋体" w:cs="Times New Roman"/>
                <w:color w:val="000000"/>
                <w:szCs w:val="28"/>
                <w:highlight w:val="none"/>
                <w:lang w:eastAsia="zh-CN"/>
              </w:rPr>
              <w:t>.</w:t>
            </w:r>
            <w:r>
              <w:rPr>
                <w:rFonts w:hint="eastAsia" w:cs="Times New Roman"/>
                <w:color w:val="000000"/>
                <w:szCs w:val="28"/>
                <w:highlight w:val="none"/>
                <w:lang w:val="en-US" w:eastAsia="zh-CN"/>
              </w:rPr>
              <w:t>3.2</w:t>
            </w:r>
            <w:r>
              <w:rPr>
                <w:rFonts w:hint="default" w:ascii="Times New Roman" w:hAnsi="Times New Roman" w:eastAsia="宋体" w:cs="Times New Roman"/>
                <w:color w:val="000000"/>
                <w:szCs w:val="28"/>
                <w:highlight w:val="none"/>
              </w:rPr>
              <w:t>-1）式在一个潮周期T时段积分，并经差分变换后，可得到一个潮周期</w:t>
            </w:r>
            <w:r>
              <w:rPr>
                <w:rFonts w:hint="default" w:ascii="Times New Roman" w:hAnsi="Times New Roman" w:eastAsia="宋体" w:cs="Times New Roman"/>
                <w:i/>
                <w:iCs/>
                <w:color w:val="000000"/>
                <w:szCs w:val="28"/>
                <w:highlight w:val="none"/>
              </w:rPr>
              <w:t>T</w:t>
            </w:r>
            <w:r>
              <w:rPr>
                <w:rFonts w:hint="default" w:ascii="Times New Roman" w:hAnsi="Times New Roman" w:eastAsia="宋体" w:cs="Times New Roman"/>
                <w:color w:val="000000"/>
                <w:szCs w:val="28"/>
                <w:highlight w:val="none"/>
              </w:rPr>
              <w:t>时段内的海床淤积强度：</w:t>
            </w:r>
          </w:p>
          <w:p w14:paraId="7A5290F5">
            <w:pPr>
              <w:adjustRightInd/>
              <w:snapToGrid/>
              <w:jc w:val="right"/>
              <w:rPr>
                <w:rFonts w:hint="default" w:ascii="Times New Roman" w:hAnsi="Times New Roman" w:eastAsia="宋体" w:cs="Times New Roman"/>
                <w:color w:val="000000"/>
                <w:szCs w:val="28"/>
                <w:highlight w:val="none"/>
              </w:rPr>
            </w:pPr>
            <m:oMath>
              <m:r>
                <m:rPr>
                  <m:nor/>
                  <m:sty m:val="p"/>
                </m:rPr>
                <w:rPr>
                  <w:rFonts w:hint="default" w:ascii="Times New Roman" w:hAnsi="Times New Roman" w:cs="Times New Roman"/>
                  <w:b w:val="0"/>
                  <w:i w:val="0"/>
                  <w:color w:val="000000"/>
                </w:rPr>
                <m:t>△</m:t>
              </m:r>
              <m:r>
                <m:rPr>
                  <m:nor/>
                </m:rPr>
                <w:rPr>
                  <w:rFonts w:hint="default" w:ascii="Times New Roman" w:hAnsi="Times New Roman" w:cs="Times New Roman"/>
                  <w:i/>
                  <w:color w:val="000000"/>
                </w:rPr>
                <m:t>H</m:t>
              </m:r>
              <m:r>
                <m:rPr>
                  <m:nor/>
                  <m:sty m:val="p"/>
                </m:rPr>
                <w:rPr>
                  <w:rFonts w:hint="default" w:ascii="Times New Roman" w:hAnsi="Times New Roman" w:cs="Times New Roman"/>
                  <w:b w:val="0"/>
                  <w:i w:val="0"/>
                  <w:color w:val="000000"/>
                </w:rPr>
                <m:t>=</m:t>
              </m:r>
              <m:f>
                <m:fPr>
                  <m:ctrlPr>
                    <w:rPr>
                      <w:rFonts w:hint="default" w:ascii="Cambria Math" w:hAnsi="Cambria Math" w:cs="Times New Roman"/>
                      <w:iCs/>
                      <w:color w:val="000000"/>
                    </w:rPr>
                  </m:ctrlPr>
                </m:fPr>
                <m:num>
                  <m:d>
                    <m:dPr>
                      <m:begChr m:val="（"/>
                      <m:endChr m:val="）"/>
                      <m:ctrlPr>
                        <w:rPr>
                          <w:rFonts w:hint="default" w:ascii="Cambria Math" w:hAnsi="Cambria Math" w:cs="Times New Roman"/>
                          <w:iCs/>
                          <w:color w:val="000000"/>
                        </w:rPr>
                      </m:ctrlPr>
                    </m:dPr>
                    <m:e>
                      <m:r>
                        <m:rPr>
                          <m:nor/>
                          <m:sty m:val="p"/>
                        </m:rPr>
                        <w:rPr>
                          <w:rFonts w:hint="default" w:ascii="Times New Roman" w:hAnsi="Times New Roman" w:cs="Times New Roman"/>
                          <w:b w:val="0"/>
                          <w:i w:val="0"/>
                          <w:color w:val="000000"/>
                        </w:rPr>
                        <m:t>△</m:t>
                      </m:r>
                      <m:sSub>
                        <m:sSubPr>
                          <m:ctrlPr>
                            <w:rPr>
                              <w:rFonts w:hint="default" w:ascii="Cambria Math" w:hAnsi="Cambria Math" w:cs="Times New Roman"/>
                              <w:iCs/>
                              <w:color w:val="000000"/>
                            </w:rPr>
                          </m:ctrlPr>
                        </m:sSubPr>
                        <m:e>
                          <m:r>
                            <m:rPr>
                              <m:nor/>
                            </m:rPr>
                            <w:rPr>
                              <w:rFonts w:hint="default" w:ascii="Times New Roman" w:hAnsi="Times New Roman" w:cs="Times New Roman"/>
                              <w:i/>
                              <w:color w:val="000000"/>
                            </w:rPr>
                            <m:t>q</m:t>
                          </m:r>
                          <m:ctrlPr>
                            <w:rPr>
                              <w:rFonts w:hint="default" w:ascii="Cambria Math" w:hAnsi="Cambria Math" w:cs="Times New Roman"/>
                              <w:iCs/>
                              <w:color w:val="000000"/>
                            </w:rPr>
                          </m:ctrlPr>
                        </m:e>
                        <m:sub>
                          <m:r>
                            <m:rPr>
                              <m:nor/>
                              <m:sty m:val="p"/>
                            </m:rPr>
                            <w:rPr>
                              <w:rFonts w:hint="default" w:ascii="Times New Roman" w:hAnsi="Times New Roman" w:cs="Times New Roman"/>
                              <w:b w:val="0"/>
                              <w:i w:val="0"/>
                              <w:color w:val="000000"/>
                            </w:rPr>
                            <m:t>2</m:t>
                          </m:r>
                          <m:ctrlPr>
                            <w:rPr>
                              <w:rFonts w:hint="default" w:ascii="Cambria Math" w:hAnsi="Cambria Math" w:cs="Times New Roman"/>
                              <w:iCs/>
                              <w:color w:val="000000"/>
                            </w:rPr>
                          </m:ctrlPr>
                        </m:sub>
                      </m:sSub>
                      <m:sSub>
                        <m:sSubPr>
                          <m:ctrlPr>
                            <w:rPr>
                              <w:rFonts w:hint="default" w:ascii="Cambria Math" w:hAnsi="Cambria Math" w:cs="Times New Roman"/>
                              <w:iCs/>
                              <w:color w:val="000000"/>
                            </w:rPr>
                          </m:ctrlPr>
                        </m:sSubPr>
                        <m:e>
                          <m:r>
                            <m:rPr>
                              <m:nor/>
                            </m:rPr>
                            <w:rPr>
                              <w:rFonts w:hint="default" w:ascii="Times New Roman" w:hAnsi="Times New Roman" w:cs="Times New Roman"/>
                              <w:i/>
                              <w:color w:val="000000"/>
                            </w:rPr>
                            <m:t>S</m:t>
                          </m:r>
                          <m:ctrlPr>
                            <w:rPr>
                              <w:rFonts w:hint="default" w:ascii="Cambria Math" w:hAnsi="Cambria Math" w:cs="Times New Roman"/>
                              <w:iCs/>
                              <w:color w:val="000000"/>
                            </w:rPr>
                          </m:ctrlPr>
                        </m:e>
                        <m:sub>
                          <m:r>
                            <m:rPr>
                              <m:nor/>
                              <m:sty m:val="p"/>
                            </m:rPr>
                            <w:rPr>
                              <w:rFonts w:hint="default" w:ascii="Times New Roman" w:hAnsi="Times New Roman" w:cs="Times New Roman"/>
                              <w:b w:val="0"/>
                              <w:i w:val="0"/>
                              <w:color w:val="000000"/>
                            </w:rPr>
                            <m:t>2</m:t>
                          </m:r>
                          <m:ctrlPr>
                            <w:rPr>
                              <w:rFonts w:hint="default" w:ascii="Cambria Math" w:hAnsi="Cambria Math" w:cs="Times New Roman"/>
                              <w:iCs/>
                              <w:color w:val="000000"/>
                            </w:rPr>
                          </m:ctrlPr>
                        </m:sub>
                      </m:sSub>
                      <m:r>
                        <m:rPr>
                          <m:nor/>
                          <m:sty m:val="p"/>
                        </m:rPr>
                        <w:rPr>
                          <w:rFonts w:hint="default" w:ascii="Times New Roman" w:hAnsi="Times New Roman" w:cs="Times New Roman"/>
                          <w:b w:val="0"/>
                          <w:i w:val="0"/>
                          <w:color w:val="000000"/>
                        </w:rPr>
                        <m:t>−△</m:t>
                      </m:r>
                      <m:sSub>
                        <m:sSubPr>
                          <m:ctrlPr>
                            <w:rPr>
                              <w:rFonts w:hint="default" w:ascii="Cambria Math" w:hAnsi="Cambria Math" w:cs="Times New Roman"/>
                              <w:iCs/>
                              <w:color w:val="000000"/>
                            </w:rPr>
                          </m:ctrlPr>
                        </m:sSubPr>
                        <m:e>
                          <m:r>
                            <m:rPr>
                              <m:nor/>
                            </m:rPr>
                            <w:rPr>
                              <w:rFonts w:hint="default" w:ascii="Times New Roman" w:hAnsi="Times New Roman" w:cs="Times New Roman"/>
                              <w:i/>
                              <w:color w:val="000000"/>
                            </w:rPr>
                            <m:t>q</m:t>
                          </m:r>
                          <m:ctrlPr>
                            <w:rPr>
                              <w:rFonts w:hint="default" w:ascii="Cambria Math" w:hAnsi="Cambria Math" w:cs="Times New Roman"/>
                              <w:iCs/>
                              <w:color w:val="000000"/>
                            </w:rPr>
                          </m:ctrlPr>
                        </m:e>
                        <m:sub>
                          <m:r>
                            <m:rPr>
                              <m:nor/>
                              <m:sty m:val="p"/>
                            </m:rPr>
                            <w:rPr>
                              <w:rFonts w:hint="default" w:ascii="Times New Roman" w:hAnsi="Times New Roman" w:cs="Times New Roman"/>
                              <w:b w:val="0"/>
                              <w:i w:val="0"/>
                              <w:color w:val="000000"/>
                            </w:rPr>
                            <m:t>1</m:t>
                          </m:r>
                          <m:ctrlPr>
                            <w:rPr>
                              <w:rFonts w:hint="default" w:ascii="Cambria Math" w:hAnsi="Cambria Math" w:cs="Times New Roman"/>
                              <w:iCs/>
                              <w:color w:val="000000"/>
                            </w:rPr>
                          </m:ctrlPr>
                        </m:sub>
                      </m:sSub>
                      <m:sSub>
                        <m:sSubPr>
                          <m:ctrlPr>
                            <w:rPr>
                              <w:rFonts w:hint="default" w:ascii="Cambria Math" w:hAnsi="Cambria Math" w:cs="Times New Roman"/>
                              <w:iCs/>
                              <w:color w:val="000000"/>
                            </w:rPr>
                          </m:ctrlPr>
                        </m:sSubPr>
                        <m:e>
                          <m:r>
                            <m:rPr>
                              <m:nor/>
                            </m:rPr>
                            <w:rPr>
                              <w:rFonts w:hint="default" w:ascii="Times New Roman" w:hAnsi="Times New Roman" w:cs="Times New Roman"/>
                              <w:i/>
                              <w:color w:val="000000"/>
                            </w:rPr>
                            <m:t>S</m:t>
                          </m:r>
                          <m:ctrlPr>
                            <w:rPr>
                              <w:rFonts w:hint="default" w:ascii="Cambria Math" w:hAnsi="Cambria Math" w:cs="Times New Roman"/>
                              <w:iCs/>
                              <w:color w:val="000000"/>
                            </w:rPr>
                          </m:ctrlPr>
                        </m:e>
                        <m:sub>
                          <m:r>
                            <m:rPr>
                              <m:nor/>
                              <m:sty m:val="p"/>
                            </m:rPr>
                            <w:rPr>
                              <w:rFonts w:hint="default" w:ascii="Times New Roman" w:hAnsi="Times New Roman" w:cs="Times New Roman"/>
                              <w:b w:val="0"/>
                              <w:i w:val="0"/>
                              <w:color w:val="000000"/>
                            </w:rPr>
                            <m:t>1</m:t>
                          </m:r>
                          <m:ctrlPr>
                            <w:rPr>
                              <w:rFonts w:hint="default" w:ascii="Cambria Math" w:hAnsi="Cambria Math" w:cs="Times New Roman"/>
                              <w:iCs/>
                              <w:color w:val="000000"/>
                            </w:rPr>
                          </m:ctrlPr>
                        </m:sub>
                      </m:sSub>
                      <m:ctrlPr>
                        <w:rPr>
                          <w:rFonts w:hint="default" w:ascii="Cambria Math" w:hAnsi="Cambria Math" w:cs="Times New Roman"/>
                          <w:iCs/>
                          <w:color w:val="000000"/>
                        </w:rPr>
                      </m:ctrlPr>
                    </m:e>
                  </m:d>
                  <m:r>
                    <m:rPr>
                      <m:nor/>
                    </m:rPr>
                    <w:rPr>
                      <w:rFonts w:hint="default" w:ascii="Times New Roman" w:hAnsi="Times New Roman" w:cs="Times New Roman"/>
                      <w:i/>
                      <w:color w:val="000000"/>
                    </w:rPr>
                    <m:t>T</m:t>
                  </m:r>
                  <m:ctrlPr>
                    <w:rPr>
                      <w:rFonts w:hint="default" w:ascii="Cambria Math" w:hAnsi="Cambria Math" w:cs="Times New Roman"/>
                      <w:iCs/>
                      <w:color w:val="000000"/>
                    </w:rPr>
                  </m:ctrlPr>
                </m:num>
                <m:den>
                  <m:sSub>
                    <m:sSubPr>
                      <m:ctrlPr>
                        <w:rPr>
                          <w:rFonts w:hint="default" w:ascii="Cambria Math" w:hAnsi="Cambria Math" w:cs="Times New Roman"/>
                          <w:iCs/>
                          <w:color w:val="000000"/>
                        </w:rPr>
                      </m:ctrlPr>
                    </m:sSubPr>
                    <m:e>
                      <m:r>
                        <m:rPr>
                          <m:nor/>
                        </m:rPr>
                        <w:rPr>
                          <w:rFonts w:hint="default" w:ascii="Times New Roman" w:hAnsi="Times New Roman" w:cs="Times New Roman"/>
                          <w:i/>
                          <w:color w:val="000000"/>
                        </w:rPr>
                        <m:t>γ</m:t>
                      </m:r>
                      <m:ctrlPr>
                        <w:rPr>
                          <w:rFonts w:hint="default" w:ascii="Cambria Math" w:hAnsi="Cambria Math" w:cs="Times New Roman"/>
                          <w:iCs/>
                          <w:color w:val="000000"/>
                        </w:rPr>
                      </m:ctrlPr>
                    </m:e>
                    <m:sub>
                      <m:r>
                        <m:rPr>
                          <m:nor/>
                        </m:rPr>
                        <w:rPr>
                          <w:rFonts w:hint="default" w:ascii="Times New Roman" w:hAnsi="Times New Roman" w:cs="Times New Roman"/>
                          <w:i/>
                          <w:color w:val="000000"/>
                        </w:rPr>
                        <m:t>c</m:t>
                      </m:r>
                      <m:ctrlPr>
                        <w:rPr>
                          <w:rFonts w:hint="default" w:ascii="Cambria Math" w:hAnsi="Cambria Math" w:cs="Times New Roman"/>
                          <w:iCs/>
                          <w:color w:val="000000"/>
                        </w:rPr>
                      </m:ctrlPr>
                    </m:sub>
                  </m:sSub>
                  <m:ctrlPr>
                    <w:rPr>
                      <w:rFonts w:hint="default" w:ascii="Cambria Math" w:hAnsi="Cambria Math" w:cs="Times New Roman"/>
                      <w:iCs/>
                      <w:color w:val="000000"/>
                    </w:rPr>
                  </m:ctrlPr>
                </m:den>
              </m:f>
              <m:r>
                <m:rPr>
                  <m:nor/>
                  <m:sty m:val="p"/>
                </m:rPr>
                <w:rPr>
                  <w:rFonts w:hint="default" w:ascii="Times New Roman" w:hAnsi="Times New Roman" w:cs="Times New Roman"/>
                  <w:b w:val="0"/>
                  <w:i w:val="0"/>
                  <w:color w:val="000000"/>
                </w:rPr>
                <m:t>=</m:t>
              </m:r>
              <m:f>
                <m:fPr>
                  <m:ctrlPr>
                    <w:rPr>
                      <w:rFonts w:hint="default" w:ascii="Cambria Math" w:hAnsi="Cambria Math" w:cs="Times New Roman"/>
                      <w:iCs/>
                      <w:color w:val="000000"/>
                    </w:rPr>
                  </m:ctrlPr>
                </m:fPr>
                <m:num>
                  <m:r>
                    <m:rPr>
                      <m:nor/>
                    </m:rPr>
                    <w:rPr>
                      <w:rFonts w:hint="default" w:ascii="Times New Roman" w:hAnsi="Times New Roman" w:cs="Times New Roman"/>
                      <w:i/>
                      <w:color w:val="000000"/>
                    </w:rPr>
                    <m:t>αω</m:t>
                  </m:r>
                  <m:ctrlPr>
                    <w:rPr>
                      <w:rFonts w:hint="default" w:ascii="Cambria Math" w:hAnsi="Cambria Math" w:cs="Times New Roman"/>
                      <w:iCs/>
                      <w:color w:val="000000"/>
                    </w:rPr>
                  </m:ctrlPr>
                </m:num>
                <m:den>
                  <m:sSub>
                    <m:sSubPr>
                      <m:ctrlPr>
                        <w:rPr>
                          <w:rFonts w:hint="default" w:ascii="Cambria Math" w:hAnsi="Cambria Math" w:cs="Times New Roman"/>
                          <w:iCs/>
                          <w:color w:val="000000"/>
                        </w:rPr>
                      </m:ctrlPr>
                    </m:sSubPr>
                    <m:e>
                      <m:r>
                        <m:rPr>
                          <m:nor/>
                        </m:rPr>
                        <w:rPr>
                          <w:rFonts w:hint="default" w:ascii="Times New Roman" w:hAnsi="Times New Roman" w:cs="Times New Roman"/>
                          <w:i/>
                          <w:color w:val="000000"/>
                        </w:rPr>
                        <m:t>γ</m:t>
                      </m:r>
                      <m:ctrlPr>
                        <w:rPr>
                          <w:rFonts w:hint="default" w:ascii="Cambria Math" w:hAnsi="Cambria Math" w:cs="Times New Roman"/>
                          <w:iCs/>
                          <w:color w:val="000000"/>
                        </w:rPr>
                      </m:ctrlPr>
                    </m:e>
                    <m:sub>
                      <m:r>
                        <m:rPr>
                          <m:nor/>
                        </m:rPr>
                        <w:rPr>
                          <w:rFonts w:hint="default" w:ascii="Times New Roman" w:hAnsi="Times New Roman" w:cs="Times New Roman"/>
                          <w:i/>
                          <w:color w:val="000000"/>
                        </w:rPr>
                        <m:t>c</m:t>
                      </m:r>
                      <m:ctrlPr>
                        <w:rPr>
                          <w:rFonts w:hint="default" w:ascii="Cambria Math" w:hAnsi="Cambria Math" w:cs="Times New Roman"/>
                          <w:iCs/>
                          <w:color w:val="000000"/>
                        </w:rPr>
                      </m:ctrlPr>
                    </m:sub>
                  </m:sSub>
                  <m:ctrlPr>
                    <w:rPr>
                      <w:rFonts w:hint="default" w:ascii="Cambria Math" w:hAnsi="Cambria Math" w:cs="Times New Roman"/>
                      <w:iCs/>
                      <w:color w:val="000000"/>
                    </w:rPr>
                  </m:ctrlPr>
                </m:den>
              </m:f>
              <m:d>
                <m:dPr>
                  <m:begChr m:val="["/>
                  <m:endChr m:val="]"/>
                  <m:ctrlPr>
                    <w:rPr>
                      <w:rFonts w:hint="default" w:ascii="Cambria Math" w:hAnsi="Cambria Math" w:cs="Times New Roman"/>
                      <w:iCs/>
                      <w:color w:val="000000"/>
                    </w:rPr>
                  </m:ctrlPr>
                </m:dPr>
                <m:e>
                  <m:d>
                    <m:dPr>
                      <m:ctrlPr>
                        <w:rPr>
                          <w:rFonts w:hint="default" w:ascii="Cambria Math" w:hAnsi="Cambria Math" w:cs="Times New Roman"/>
                          <w:iCs/>
                          <w:color w:val="000000"/>
                        </w:rPr>
                      </m:ctrlPr>
                    </m:dPr>
                    <m:e>
                      <m:sSub>
                        <m:sSubPr>
                          <m:ctrlPr>
                            <w:rPr>
                              <w:rFonts w:hint="default" w:ascii="Cambria Math" w:hAnsi="Cambria Math" w:cs="Times New Roman"/>
                              <w:iCs/>
                              <w:color w:val="000000"/>
                            </w:rPr>
                          </m:ctrlPr>
                        </m:sSubPr>
                        <m:e>
                          <m:r>
                            <m:rPr>
                              <m:nor/>
                            </m:rPr>
                            <w:rPr>
                              <w:rFonts w:hint="default" w:ascii="Times New Roman" w:hAnsi="Times New Roman" w:cs="Times New Roman"/>
                              <w:i/>
                              <w:color w:val="000000"/>
                            </w:rPr>
                            <m:t>S</m:t>
                          </m:r>
                          <m:ctrlPr>
                            <w:rPr>
                              <w:rFonts w:hint="default" w:ascii="Cambria Math" w:hAnsi="Cambria Math" w:cs="Times New Roman"/>
                              <w:iCs/>
                              <w:color w:val="000000"/>
                            </w:rPr>
                          </m:ctrlPr>
                        </m:e>
                        <m:sub>
                          <m:r>
                            <m:rPr>
                              <m:nor/>
                              <m:sty m:val="p"/>
                            </m:rPr>
                            <w:rPr>
                              <w:rFonts w:hint="default" w:ascii="Times New Roman" w:hAnsi="Times New Roman" w:cs="Times New Roman"/>
                              <w:b w:val="0"/>
                              <w:i w:val="0"/>
                              <w:color w:val="000000"/>
                            </w:rPr>
                            <m:t>2</m:t>
                          </m:r>
                          <m:ctrlPr>
                            <w:rPr>
                              <w:rFonts w:hint="default" w:ascii="Cambria Math" w:hAnsi="Cambria Math" w:cs="Times New Roman"/>
                              <w:iCs/>
                              <w:color w:val="000000"/>
                            </w:rPr>
                          </m:ctrlPr>
                        </m:sub>
                      </m:sSub>
                      <m:r>
                        <m:rPr>
                          <m:nor/>
                          <m:sty m:val="p"/>
                        </m:rPr>
                        <w:rPr>
                          <w:rFonts w:hint="default" w:ascii="Times New Roman" w:hAnsi="Times New Roman" w:cs="Times New Roman"/>
                          <w:b w:val="0"/>
                          <w:i w:val="0"/>
                          <w:color w:val="000000"/>
                        </w:rPr>
                        <m:t>−</m:t>
                      </m:r>
                      <m:sSub>
                        <m:sSubPr>
                          <m:ctrlPr>
                            <w:rPr>
                              <w:rFonts w:hint="default" w:ascii="Cambria Math" w:hAnsi="Cambria Math" w:cs="Times New Roman"/>
                              <w:iCs/>
                              <w:color w:val="000000"/>
                            </w:rPr>
                          </m:ctrlPr>
                        </m:sSubPr>
                        <m:e>
                          <m:r>
                            <m:rPr>
                              <m:nor/>
                            </m:rPr>
                            <w:rPr>
                              <w:rFonts w:hint="default" w:ascii="Times New Roman" w:hAnsi="Times New Roman" w:cs="Times New Roman"/>
                              <w:i/>
                              <w:color w:val="000000"/>
                            </w:rPr>
                            <m:t>S</m:t>
                          </m:r>
                          <m:ctrlPr>
                            <w:rPr>
                              <w:rFonts w:hint="default" w:ascii="Cambria Math" w:hAnsi="Cambria Math" w:cs="Times New Roman"/>
                              <w:iCs/>
                              <w:color w:val="000000"/>
                            </w:rPr>
                          </m:ctrlPr>
                        </m:e>
                        <m:sub>
                          <m:r>
                            <m:rPr>
                              <m:nor/>
                              <m:sty m:val="p"/>
                            </m:rPr>
                            <w:rPr>
                              <w:rFonts w:hint="default" w:ascii="Times New Roman" w:hAnsi="Times New Roman" w:cs="Times New Roman"/>
                              <w:b w:val="0"/>
                              <w:i w:val="0"/>
                              <w:color w:val="000000"/>
                            </w:rPr>
                            <m:t>1</m:t>
                          </m:r>
                          <m:ctrlPr>
                            <w:rPr>
                              <w:rFonts w:hint="default" w:ascii="Cambria Math" w:hAnsi="Cambria Math" w:cs="Times New Roman"/>
                              <w:iCs/>
                              <w:color w:val="000000"/>
                            </w:rPr>
                          </m:ctrlPr>
                        </m:sub>
                      </m:sSub>
                      <m:ctrlPr>
                        <w:rPr>
                          <w:rFonts w:hint="default" w:ascii="Cambria Math" w:hAnsi="Cambria Math" w:cs="Times New Roman"/>
                          <w:iCs/>
                          <w:color w:val="000000"/>
                        </w:rPr>
                      </m:ctrlPr>
                    </m:e>
                  </m:d>
                  <m:r>
                    <m:rPr>
                      <m:nor/>
                      <m:sty m:val="p"/>
                    </m:rPr>
                    <w:rPr>
                      <w:rFonts w:hint="default" w:ascii="Times New Roman" w:hAnsi="Times New Roman" w:cs="Times New Roman"/>
                      <w:b w:val="0"/>
                      <w:i w:val="0"/>
                      <w:color w:val="000000"/>
                    </w:rPr>
                    <m:t>+</m:t>
                  </m:r>
                  <m:d>
                    <m:dPr>
                      <m:ctrlPr>
                        <w:rPr>
                          <w:rFonts w:hint="default" w:ascii="Cambria Math" w:hAnsi="Cambria Math" w:cs="Times New Roman"/>
                          <w:iCs/>
                          <w:color w:val="000000"/>
                        </w:rPr>
                      </m:ctrlPr>
                    </m:dPr>
                    <m:e>
                      <m:sSubSup>
                        <m:sSubSupPr>
                          <m:ctrlPr>
                            <w:rPr>
                              <w:rFonts w:hint="default" w:ascii="Cambria Math" w:hAnsi="Cambria Math" w:cs="Times New Roman"/>
                              <w:iCs/>
                              <w:color w:val="000000"/>
                            </w:rPr>
                          </m:ctrlPr>
                        </m:sSubSupPr>
                        <m:e>
                          <m:r>
                            <m:rPr>
                              <m:nor/>
                            </m:rPr>
                            <w:rPr>
                              <w:rFonts w:hint="default" w:ascii="Times New Roman" w:hAnsi="Times New Roman" w:cs="Times New Roman"/>
                              <w:i/>
                              <w:color w:val="000000"/>
                            </w:rPr>
                            <m:t>S</m:t>
                          </m:r>
                          <m:ctrlPr>
                            <w:rPr>
                              <w:rFonts w:hint="default" w:ascii="Cambria Math" w:hAnsi="Cambria Math" w:cs="Times New Roman"/>
                              <w:iCs/>
                              <w:color w:val="000000"/>
                            </w:rPr>
                          </m:ctrlPr>
                        </m:e>
                        <m:sub>
                          <m:r>
                            <m:rPr>
                              <m:nor/>
                              <m:sty m:val="p"/>
                            </m:rPr>
                            <w:rPr>
                              <w:rFonts w:hint="default" w:ascii="Times New Roman" w:hAnsi="Times New Roman" w:cs="Times New Roman"/>
                              <w:b w:val="0"/>
                              <w:i w:val="0"/>
                              <w:color w:val="000000"/>
                            </w:rPr>
                            <m:t>1</m:t>
                          </m:r>
                          <m:ctrlPr>
                            <w:rPr>
                              <w:rFonts w:hint="default" w:ascii="Cambria Math" w:hAnsi="Cambria Math" w:cs="Times New Roman"/>
                              <w:iCs/>
                              <w:color w:val="000000"/>
                            </w:rPr>
                          </m:ctrlPr>
                        </m:sub>
                        <m:sup>
                          <m:r>
                            <m:rPr>
                              <m:nor/>
                              <m:sty m:val="p"/>
                            </m:rPr>
                            <w:rPr>
                              <w:rFonts w:hint="default" w:ascii="Times New Roman" w:hAnsi="Times New Roman" w:cs="Times New Roman"/>
                              <w:b w:val="0"/>
                              <w:i w:val="0"/>
                              <w:color w:val="000000"/>
                            </w:rPr>
                            <m:t>∗</m:t>
                          </m:r>
                          <m:ctrlPr>
                            <w:rPr>
                              <w:rFonts w:hint="default" w:ascii="Cambria Math" w:hAnsi="Cambria Math" w:cs="Times New Roman"/>
                              <w:iCs/>
                              <w:color w:val="000000"/>
                            </w:rPr>
                          </m:ctrlPr>
                        </m:sup>
                      </m:sSubSup>
                      <m:r>
                        <m:rPr>
                          <m:nor/>
                          <m:sty m:val="p"/>
                        </m:rPr>
                        <w:rPr>
                          <w:rFonts w:hint="default" w:ascii="Times New Roman" w:hAnsi="Times New Roman" w:cs="Times New Roman"/>
                          <w:b w:val="0"/>
                          <w:i w:val="0"/>
                          <w:color w:val="000000"/>
                        </w:rPr>
                        <m:t>−</m:t>
                      </m:r>
                      <m:sSubSup>
                        <m:sSubSupPr>
                          <m:ctrlPr>
                            <w:rPr>
                              <w:rFonts w:hint="default" w:ascii="Cambria Math" w:hAnsi="Cambria Math" w:cs="Times New Roman"/>
                              <w:iCs/>
                              <w:color w:val="000000"/>
                            </w:rPr>
                          </m:ctrlPr>
                        </m:sSubSupPr>
                        <m:e>
                          <m:r>
                            <m:rPr>
                              <m:nor/>
                            </m:rPr>
                            <w:rPr>
                              <w:rFonts w:hint="default" w:ascii="Times New Roman" w:hAnsi="Times New Roman" w:cs="Times New Roman"/>
                              <w:i/>
                              <w:color w:val="000000"/>
                            </w:rPr>
                            <m:t>S</m:t>
                          </m:r>
                          <m:ctrlPr>
                            <w:rPr>
                              <w:rFonts w:hint="default" w:ascii="Cambria Math" w:hAnsi="Cambria Math" w:cs="Times New Roman"/>
                              <w:iCs/>
                              <w:color w:val="000000"/>
                            </w:rPr>
                          </m:ctrlPr>
                        </m:e>
                        <m:sub>
                          <m:r>
                            <m:rPr>
                              <m:nor/>
                              <m:sty m:val="p"/>
                            </m:rPr>
                            <w:rPr>
                              <w:rFonts w:hint="default" w:ascii="Times New Roman" w:hAnsi="Times New Roman" w:cs="Times New Roman"/>
                              <w:b w:val="0"/>
                              <w:i w:val="0"/>
                              <w:color w:val="000000"/>
                            </w:rPr>
                            <m:t>2</m:t>
                          </m:r>
                          <m:ctrlPr>
                            <w:rPr>
                              <w:rFonts w:hint="default" w:ascii="Cambria Math" w:hAnsi="Cambria Math" w:cs="Times New Roman"/>
                              <w:iCs/>
                              <w:color w:val="000000"/>
                            </w:rPr>
                          </m:ctrlPr>
                        </m:sub>
                        <m:sup>
                          <m:r>
                            <m:rPr>
                              <m:nor/>
                              <m:sty m:val="p"/>
                            </m:rPr>
                            <w:rPr>
                              <w:rFonts w:hint="default" w:ascii="Times New Roman" w:hAnsi="Times New Roman" w:cs="Times New Roman"/>
                              <w:b w:val="0"/>
                              <w:i w:val="0"/>
                              <w:color w:val="000000"/>
                            </w:rPr>
                            <m:t>∗</m:t>
                          </m:r>
                          <m:ctrlPr>
                            <w:rPr>
                              <w:rFonts w:hint="default" w:ascii="Cambria Math" w:hAnsi="Cambria Math" w:cs="Times New Roman"/>
                              <w:iCs/>
                              <w:color w:val="000000"/>
                            </w:rPr>
                          </m:ctrlPr>
                        </m:sup>
                      </m:sSubSup>
                      <m:ctrlPr>
                        <w:rPr>
                          <w:rFonts w:hint="default" w:ascii="Cambria Math" w:hAnsi="Cambria Math" w:cs="Times New Roman"/>
                          <w:iCs/>
                          <w:color w:val="000000"/>
                        </w:rPr>
                      </m:ctrlPr>
                    </m:e>
                  </m:d>
                  <m:ctrlPr>
                    <w:rPr>
                      <w:rFonts w:hint="default" w:ascii="Cambria Math" w:hAnsi="Cambria Math" w:cs="Times New Roman"/>
                      <w:iCs/>
                      <w:color w:val="000000"/>
                    </w:rPr>
                  </m:ctrlPr>
                </m:e>
              </m:d>
              <m:r>
                <m:rPr>
                  <m:nor/>
                </m:rPr>
                <w:rPr>
                  <w:rFonts w:hint="default" w:ascii="Times New Roman" w:hAnsi="Times New Roman" w:cs="Times New Roman"/>
                  <w:i/>
                  <w:color w:val="000000"/>
                </w:rPr>
                <m:t>T</m:t>
              </m:r>
            </m:oMath>
            <w:r>
              <w:rPr>
                <w:rFonts w:hint="default" w:ascii="Times New Roman" w:hAnsi="Times New Roman" w:eastAsia="宋体" w:cs="Times New Roman"/>
                <w:iCs/>
                <w:color w:val="000000"/>
                <w:szCs w:val="28"/>
                <w:highlight w:val="none"/>
              </w:rPr>
              <w:t xml:space="preserve">    </w:t>
            </w:r>
            <w:r>
              <w:rPr>
                <w:rFonts w:hint="default" w:ascii="Times New Roman" w:hAnsi="Times New Roman" w:eastAsia="宋体" w:cs="Times New Roman"/>
                <w:color w:val="000000"/>
                <w:szCs w:val="28"/>
                <w:highlight w:val="none"/>
              </w:rPr>
              <w:t>（</w:t>
            </w:r>
            <w:r>
              <w:rPr>
                <w:rFonts w:hint="eastAsia" w:cs="Times New Roman"/>
                <w:color w:val="000000"/>
                <w:szCs w:val="28"/>
                <w:highlight w:val="none"/>
                <w:lang w:val="en-US" w:eastAsia="zh-CN"/>
              </w:rPr>
              <w:t>4</w:t>
            </w:r>
            <w:r>
              <w:rPr>
                <w:rFonts w:hint="default" w:ascii="Times New Roman" w:hAnsi="Times New Roman" w:eastAsia="宋体" w:cs="Times New Roman"/>
                <w:color w:val="000000"/>
                <w:szCs w:val="28"/>
                <w:highlight w:val="none"/>
                <w:lang w:eastAsia="zh-CN"/>
              </w:rPr>
              <w:t>.</w:t>
            </w:r>
            <w:r>
              <w:rPr>
                <w:rFonts w:hint="eastAsia" w:cs="Times New Roman"/>
                <w:color w:val="000000"/>
                <w:szCs w:val="28"/>
                <w:highlight w:val="none"/>
                <w:lang w:val="en-US" w:eastAsia="zh-CN"/>
              </w:rPr>
              <w:t>3.2</w:t>
            </w:r>
            <w:r>
              <w:rPr>
                <w:rFonts w:hint="default" w:ascii="Times New Roman" w:hAnsi="Times New Roman" w:eastAsia="宋体" w:cs="Times New Roman"/>
                <w:color w:val="000000"/>
                <w:szCs w:val="28"/>
                <w:highlight w:val="none"/>
              </w:rPr>
              <w:t>-5）</w:t>
            </w:r>
          </w:p>
          <w:p w14:paraId="14AE3E04">
            <w:pPr>
              <w:adjustRightInd/>
              <w:snapToGrid/>
              <w:spacing w:before="93" w:line="460" w:lineRule="exact"/>
              <w:ind w:firstLine="720" w:firstLineChars="300"/>
              <w:rPr>
                <w:rFonts w:hint="default" w:ascii="Times New Roman" w:hAnsi="Times New Roman" w:eastAsia="宋体" w:cs="Times New Roman"/>
                <w:color w:val="000000"/>
                <w:szCs w:val="28"/>
                <w:highlight w:val="none"/>
              </w:rPr>
            </w:pPr>
            <w:r>
              <w:rPr>
                <w:rFonts w:hint="default" w:ascii="Times New Roman" w:hAnsi="Times New Roman" w:eastAsia="宋体" w:cs="Times New Roman"/>
                <w:color w:val="000000"/>
                <w:szCs w:val="28"/>
                <w:highlight w:val="none"/>
              </w:rPr>
              <w:t>如果工程前后来沙量不发生变化，即</w:t>
            </w:r>
            <w:r>
              <w:rPr>
                <w:rFonts w:hint="default" w:ascii="Times New Roman" w:hAnsi="Times New Roman" w:eastAsia="宋体" w:cs="Times New Roman"/>
                <w:color w:val="000000"/>
                <w:szCs w:val="28"/>
                <w:highlight w:val="none"/>
                <w:lang w:val="en-US" w:eastAsia="zh-CN"/>
              </w:rPr>
              <w:t>S</w:t>
            </w:r>
            <w:r>
              <w:rPr>
                <w:rFonts w:hint="default" w:ascii="Times New Roman" w:hAnsi="Times New Roman" w:eastAsia="宋体" w:cs="Times New Roman"/>
                <w:color w:val="000000"/>
                <w:szCs w:val="28"/>
                <w:highlight w:val="none"/>
                <w:vertAlign w:val="subscript"/>
                <w:lang w:val="en-US" w:eastAsia="zh-CN"/>
              </w:rPr>
              <w:t>2</w:t>
            </w:r>
            <w:r>
              <w:rPr>
                <w:rFonts w:hint="default" w:ascii="Times New Roman" w:hAnsi="Times New Roman" w:eastAsia="宋体" w:cs="Times New Roman"/>
                <w:color w:val="000000"/>
                <w:szCs w:val="28"/>
                <w:highlight w:val="none"/>
              </w:rPr>
              <w:t>=</w:t>
            </w:r>
            <w:r>
              <w:rPr>
                <w:rFonts w:hint="default" w:ascii="Times New Roman" w:hAnsi="Times New Roman" w:eastAsia="宋体" w:cs="Times New Roman"/>
                <w:color w:val="000000"/>
                <w:szCs w:val="28"/>
                <w:highlight w:val="none"/>
                <w:lang w:val="en-US" w:eastAsia="zh-CN"/>
              </w:rPr>
              <w:t>S</w:t>
            </w:r>
            <w:r>
              <w:rPr>
                <w:rFonts w:hint="default" w:ascii="Times New Roman" w:hAnsi="Times New Roman" w:eastAsia="宋体" w:cs="Times New Roman"/>
                <w:color w:val="000000"/>
                <w:szCs w:val="28"/>
                <w:highlight w:val="none"/>
                <w:vertAlign w:val="subscript"/>
                <w:lang w:val="en-US" w:eastAsia="zh-CN"/>
              </w:rPr>
              <w:t>1</w:t>
            </w:r>
            <w:r>
              <w:rPr>
                <w:rFonts w:hint="default" w:ascii="Times New Roman" w:hAnsi="Times New Roman" w:eastAsia="宋体" w:cs="Times New Roman"/>
                <w:color w:val="000000"/>
                <w:szCs w:val="28"/>
                <w:highlight w:val="none"/>
              </w:rPr>
              <w:t>，则有</w:t>
            </w:r>
          </w:p>
          <w:p w14:paraId="60943515">
            <w:pPr>
              <w:adjustRightInd/>
              <w:snapToGrid/>
              <w:spacing w:before="93"/>
              <w:ind w:firstLine="720" w:firstLineChars="300"/>
              <w:jc w:val="right"/>
              <w:rPr>
                <w:rFonts w:hint="default" w:ascii="Times New Roman" w:hAnsi="Times New Roman" w:eastAsia="宋体" w:cs="Times New Roman"/>
                <w:i/>
                <w:color w:val="000000"/>
                <w:szCs w:val="28"/>
                <w:highlight w:val="none"/>
              </w:rPr>
            </w:pPr>
            <m:oMath>
              <m:r>
                <m:rPr>
                  <m:nor/>
                  <m:sty m:val="p"/>
                </m:rPr>
                <w:rPr>
                  <w:rFonts w:hint="default" w:ascii="Times New Roman" w:hAnsi="Times New Roman" w:cs="Times New Roman"/>
                  <w:b w:val="0"/>
                  <w:i w:val="0"/>
                  <w:color w:val="000000"/>
                </w:rPr>
                <m:t>△</m:t>
              </m:r>
              <m:r>
                <m:rPr>
                  <m:nor/>
                </m:rPr>
                <w:rPr>
                  <w:rFonts w:hint="default" w:ascii="Times New Roman" w:hAnsi="Times New Roman" w:cs="Times New Roman"/>
                  <w:i/>
                  <w:color w:val="000000"/>
                </w:rPr>
                <m:t>H</m:t>
              </m:r>
              <m:r>
                <m:rPr>
                  <m:nor/>
                  <m:sty m:val="p"/>
                </m:rPr>
                <w:rPr>
                  <w:rFonts w:hint="default" w:ascii="Times New Roman" w:hAnsi="Times New Roman" w:cs="Times New Roman"/>
                  <w:b w:val="0"/>
                  <w:i w:val="0"/>
                  <w:color w:val="000000"/>
                </w:rPr>
                <m:t>=</m:t>
              </m:r>
              <m:f>
                <m:fPr>
                  <m:ctrlPr>
                    <w:rPr>
                      <w:rFonts w:hint="default" w:ascii="Cambria Math" w:hAnsi="Cambria Math" w:cs="Times New Roman"/>
                      <w:i/>
                      <w:iCs/>
                      <w:color w:val="000000"/>
                    </w:rPr>
                  </m:ctrlPr>
                </m:fPr>
                <m:num>
                  <m:r>
                    <m:rPr>
                      <m:nor/>
                    </m:rPr>
                    <w:rPr>
                      <w:rFonts w:hint="default" w:ascii="Times New Roman" w:hAnsi="Times New Roman" w:cs="Times New Roman"/>
                      <w:i/>
                      <w:color w:val="000000"/>
                    </w:rPr>
                    <m:t>αωT</m:t>
                  </m:r>
                  <m:sSubSup>
                    <m:sSubSupPr>
                      <m:ctrlPr>
                        <w:rPr>
                          <w:rFonts w:hint="default" w:ascii="Cambria Math" w:hAnsi="Cambria Math" w:cs="Times New Roman"/>
                          <w:i/>
                          <w:iCs/>
                          <w:color w:val="000000"/>
                        </w:rPr>
                      </m:ctrlPr>
                    </m:sSubSupPr>
                    <m:e>
                      <m:r>
                        <m:rPr>
                          <m:nor/>
                        </m:rPr>
                        <w:rPr>
                          <w:rFonts w:hint="default" w:ascii="Times New Roman" w:hAnsi="Times New Roman" w:cs="Times New Roman"/>
                          <w:i/>
                          <w:color w:val="000000"/>
                        </w:rPr>
                        <m:t>S</m:t>
                      </m:r>
                      <m:ctrlPr>
                        <w:rPr>
                          <w:rFonts w:hint="default" w:ascii="Cambria Math" w:hAnsi="Cambria Math" w:cs="Times New Roman"/>
                          <w:i/>
                          <w:iCs/>
                          <w:color w:val="000000"/>
                        </w:rPr>
                      </m:ctrlPr>
                    </m:e>
                    <m:sub>
                      <m:r>
                        <m:rPr>
                          <m:nor/>
                          <m:sty m:val="p"/>
                        </m:rPr>
                        <w:rPr>
                          <w:rFonts w:hint="default" w:ascii="Times New Roman" w:hAnsi="Times New Roman" w:cs="Times New Roman"/>
                          <w:b w:val="0"/>
                          <w:i w:val="0"/>
                          <w:color w:val="000000"/>
                        </w:rPr>
                        <m:t>1</m:t>
                      </m:r>
                      <m:ctrlPr>
                        <w:rPr>
                          <w:rFonts w:hint="default" w:ascii="Cambria Math" w:hAnsi="Cambria Math" w:cs="Times New Roman"/>
                          <w:i/>
                          <w:iCs/>
                          <w:color w:val="000000"/>
                        </w:rPr>
                      </m:ctrlPr>
                    </m:sub>
                    <m:sup>
                      <m:r>
                        <m:rPr>
                          <m:nor/>
                          <m:sty m:val="p"/>
                        </m:rPr>
                        <w:rPr>
                          <w:rFonts w:hint="default" w:ascii="Times New Roman" w:hAnsi="Times New Roman" w:cs="Times New Roman"/>
                          <w:b w:val="0"/>
                          <w:i w:val="0"/>
                          <w:color w:val="000000"/>
                        </w:rPr>
                        <m:t>∗</m:t>
                      </m:r>
                      <m:ctrlPr>
                        <w:rPr>
                          <w:rFonts w:hint="default" w:ascii="Cambria Math" w:hAnsi="Cambria Math" w:cs="Times New Roman"/>
                          <w:i/>
                          <w:iCs/>
                          <w:color w:val="000000"/>
                        </w:rPr>
                      </m:ctrlPr>
                    </m:sup>
                  </m:sSubSup>
                  <m:ctrlPr>
                    <w:rPr>
                      <w:rFonts w:hint="default" w:ascii="Cambria Math" w:hAnsi="Cambria Math" w:cs="Times New Roman"/>
                      <w:i/>
                      <w:iCs/>
                      <w:color w:val="000000"/>
                    </w:rPr>
                  </m:ctrlPr>
                </m:num>
                <m:den>
                  <m:sSub>
                    <m:sSubPr>
                      <m:ctrlPr>
                        <w:rPr>
                          <w:rFonts w:hint="default" w:ascii="Cambria Math" w:hAnsi="Cambria Math" w:cs="Times New Roman"/>
                          <w:i/>
                          <w:iCs/>
                          <w:color w:val="000000"/>
                        </w:rPr>
                      </m:ctrlPr>
                    </m:sSubPr>
                    <m:e>
                      <m:r>
                        <m:rPr>
                          <m:nor/>
                        </m:rPr>
                        <w:rPr>
                          <w:rFonts w:hint="default" w:ascii="Times New Roman" w:hAnsi="Times New Roman" w:cs="Times New Roman"/>
                          <w:i/>
                          <w:color w:val="000000"/>
                        </w:rPr>
                        <m:t>γ</m:t>
                      </m:r>
                      <m:ctrlPr>
                        <w:rPr>
                          <w:rFonts w:hint="default" w:ascii="Cambria Math" w:hAnsi="Cambria Math" w:cs="Times New Roman"/>
                          <w:i/>
                          <w:iCs/>
                          <w:color w:val="000000"/>
                        </w:rPr>
                      </m:ctrlPr>
                    </m:e>
                    <m:sub>
                      <m:r>
                        <m:rPr>
                          <m:nor/>
                        </m:rPr>
                        <w:rPr>
                          <w:rFonts w:hint="default" w:ascii="Times New Roman" w:hAnsi="Times New Roman" w:cs="Times New Roman"/>
                          <w:i/>
                          <w:color w:val="000000"/>
                        </w:rPr>
                        <m:t>c</m:t>
                      </m:r>
                      <m:ctrlPr>
                        <w:rPr>
                          <w:rFonts w:hint="default" w:ascii="Cambria Math" w:hAnsi="Cambria Math" w:cs="Times New Roman"/>
                          <w:i/>
                          <w:iCs/>
                          <w:color w:val="000000"/>
                        </w:rPr>
                      </m:ctrlPr>
                    </m:sub>
                  </m:sSub>
                  <m:ctrlPr>
                    <w:rPr>
                      <w:rFonts w:hint="default" w:ascii="Cambria Math" w:hAnsi="Cambria Math" w:cs="Times New Roman"/>
                      <w:i/>
                      <w:iCs/>
                      <w:color w:val="000000"/>
                    </w:rPr>
                  </m:ctrlPr>
                </m:den>
              </m:f>
              <m:r>
                <m:rPr>
                  <m:nor/>
                  <m:sty m:val="p"/>
                </m:rPr>
                <w:rPr>
                  <w:rFonts w:hint="default" w:ascii="Times New Roman" w:hAnsi="Times New Roman" w:cs="Times New Roman"/>
                  <w:b w:val="0"/>
                  <w:i w:val="0"/>
                  <w:color w:val="000000"/>
                </w:rPr>
                <m:t>(1−</m:t>
              </m:r>
              <m:f>
                <m:fPr>
                  <m:ctrlPr>
                    <w:rPr>
                      <w:rFonts w:hint="default" w:ascii="Cambria Math" w:hAnsi="Cambria Math" w:cs="Times New Roman"/>
                      <w:i/>
                      <w:iCs/>
                      <w:color w:val="000000"/>
                    </w:rPr>
                  </m:ctrlPr>
                </m:fPr>
                <m:num>
                  <m:sSubSup>
                    <m:sSubSupPr>
                      <m:ctrlPr>
                        <w:rPr>
                          <w:rFonts w:hint="default" w:ascii="Cambria Math" w:hAnsi="Cambria Math" w:cs="Times New Roman"/>
                          <w:i/>
                          <w:iCs/>
                          <w:color w:val="000000"/>
                        </w:rPr>
                      </m:ctrlPr>
                    </m:sSubSupPr>
                    <m:e>
                      <m:r>
                        <m:rPr>
                          <m:nor/>
                        </m:rPr>
                        <w:rPr>
                          <w:rFonts w:hint="default" w:ascii="Times New Roman" w:hAnsi="Times New Roman" w:cs="Times New Roman"/>
                          <w:i/>
                          <w:color w:val="000000"/>
                        </w:rPr>
                        <m:t>S</m:t>
                      </m:r>
                      <m:ctrlPr>
                        <w:rPr>
                          <w:rFonts w:hint="default" w:ascii="Cambria Math" w:hAnsi="Cambria Math" w:cs="Times New Roman"/>
                          <w:i/>
                          <w:iCs/>
                          <w:color w:val="000000"/>
                        </w:rPr>
                      </m:ctrlPr>
                    </m:e>
                    <m:sub>
                      <m:r>
                        <m:rPr>
                          <m:nor/>
                          <m:sty m:val="p"/>
                        </m:rPr>
                        <w:rPr>
                          <w:rFonts w:hint="default" w:ascii="Times New Roman" w:hAnsi="Times New Roman" w:cs="Times New Roman"/>
                          <w:b w:val="0"/>
                          <w:i w:val="0"/>
                          <w:color w:val="000000"/>
                        </w:rPr>
                        <m:t>2</m:t>
                      </m:r>
                      <m:ctrlPr>
                        <w:rPr>
                          <w:rFonts w:hint="default" w:ascii="Cambria Math" w:hAnsi="Cambria Math" w:cs="Times New Roman"/>
                          <w:i/>
                          <w:iCs/>
                          <w:color w:val="000000"/>
                        </w:rPr>
                      </m:ctrlPr>
                    </m:sub>
                    <m:sup>
                      <m:r>
                        <m:rPr>
                          <m:nor/>
                          <m:sty m:val="p"/>
                        </m:rPr>
                        <w:rPr>
                          <w:rFonts w:hint="default" w:ascii="Times New Roman" w:hAnsi="Times New Roman" w:cs="Times New Roman"/>
                          <w:b w:val="0"/>
                          <w:i w:val="0"/>
                          <w:color w:val="000000"/>
                        </w:rPr>
                        <m:t>∗</m:t>
                      </m:r>
                      <m:ctrlPr>
                        <w:rPr>
                          <w:rFonts w:hint="default" w:ascii="Cambria Math" w:hAnsi="Cambria Math" w:cs="Times New Roman"/>
                          <w:i/>
                          <w:iCs/>
                          <w:color w:val="000000"/>
                        </w:rPr>
                      </m:ctrlPr>
                    </m:sup>
                  </m:sSubSup>
                  <m:ctrlPr>
                    <w:rPr>
                      <w:rFonts w:hint="default" w:ascii="Cambria Math" w:hAnsi="Cambria Math" w:cs="Times New Roman"/>
                      <w:i/>
                      <w:iCs/>
                      <w:color w:val="000000"/>
                    </w:rPr>
                  </m:ctrlPr>
                </m:num>
                <m:den>
                  <m:sSubSup>
                    <m:sSubSupPr>
                      <m:ctrlPr>
                        <w:rPr>
                          <w:rFonts w:hint="default" w:ascii="Cambria Math" w:hAnsi="Cambria Math" w:cs="Times New Roman"/>
                          <w:i/>
                          <w:iCs/>
                          <w:color w:val="000000"/>
                        </w:rPr>
                      </m:ctrlPr>
                    </m:sSubSupPr>
                    <m:e>
                      <m:r>
                        <m:rPr>
                          <m:nor/>
                        </m:rPr>
                        <w:rPr>
                          <w:rFonts w:hint="default" w:ascii="Times New Roman" w:hAnsi="Times New Roman" w:cs="Times New Roman"/>
                          <w:i/>
                          <w:color w:val="000000"/>
                        </w:rPr>
                        <m:t>S</m:t>
                      </m:r>
                      <m:ctrlPr>
                        <w:rPr>
                          <w:rFonts w:hint="default" w:ascii="Cambria Math" w:hAnsi="Cambria Math" w:cs="Times New Roman"/>
                          <w:i/>
                          <w:iCs/>
                          <w:color w:val="000000"/>
                        </w:rPr>
                      </m:ctrlPr>
                    </m:e>
                    <m:sub>
                      <m:r>
                        <m:rPr>
                          <m:nor/>
                          <m:sty m:val="p"/>
                        </m:rPr>
                        <w:rPr>
                          <w:rFonts w:hint="default" w:ascii="Times New Roman" w:hAnsi="Times New Roman" w:cs="Times New Roman"/>
                          <w:b w:val="0"/>
                          <w:i w:val="0"/>
                          <w:color w:val="000000"/>
                        </w:rPr>
                        <m:t>1</m:t>
                      </m:r>
                      <m:ctrlPr>
                        <w:rPr>
                          <w:rFonts w:hint="default" w:ascii="Cambria Math" w:hAnsi="Cambria Math" w:cs="Times New Roman"/>
                          <w:i/>
                          <w:iCs/>
                          <w:color w:val="000000"/>
                        </w:rPr>
                      </m:ctrlPr>
                    </m:sub>
                    <m:sup>
                      <m:r>
                        <m:rPr>
                          <m:nor/>
                          <m:sty m:val="p"/>
                        </m:rPr>
                        <w:rPr>
                          <w:rFonts w:hint="default" w:ascii="Times New Roman" w:hAnsi="Times New Roman" w:cs="Times New Roman"/>
                          <w:b w:val="0"/>
                          <w:i w:val="0"/>
                          <w:color w:val="000000"/>
                        </w:rPr>
                        <m:t>∗</m:t>
                      </m:r>
                      <m:ctrlPr>
                        <w:rPr>
                          <w:rFonts w:hint="default" w:ascii="Cambria Math" w:hAnsi="Cambria Math" w:cs="Times New Roman"/>
                          <w:i/>
                          <w:iCs/>
                          <w:color w:val="000000"/>
                        </w:rPr>
                      </m:ctrlPr>
                    </m:sup>
                  </m:sSubSup>
                  <m:ctrlPr>
                    <w:rPr>
                      <w:rFonts w:hint="default" w:ascii="Cambria Math" w:hAnsi="Cambria Math" w:cs="Times New Roman"/>
                      <w:i/>
                      <w:iCs/>
                      <w:color w:val="000000"/>
                    </w:rPr>
                  </m:ctrlPr>
                </m:den>
              </m:f>
              <m:r>
                <m:rPr>
                  <m:nor/>
                  <m:sty m:val="p"/>
                </m:rPr>
                <w:rPr>
                  <w:rFonts w:hint="default" w:ascii="Times New Roman" w:hAnsi="Times New Roman" w:cs="Times New Roman"/>
                  <w:b w:val="0"/>
                  <w:i w:val="0"/>
                  <w:color w:val="000000"/>
                </w:rPr>
                <m:t>)</m:t>
              </m:r>
            </m:oMath>
            <w:r>
              <w:rPr>
                <w:rFonts w:hint="default" w:ascii="Times New Roman" w:hAnsi="Times New Roman" w:eastAsia="宋体" w:cs="Times New Roman"/>
                <w:color w:val="000000"/>
                <w:position w:val="-30"/>
                <w:szCs w:val="24"/>
                <w:highlight w:val="none"/>
              </w:rPr>
              <w:t xml:space="preserve">                   （</w:t>
            </w:r>
            <w:r>
              <w:rPr>
                <w:rFonts w:hint="eastAsia" w:cs="Times New Roman"/>
                <w:color w:val="000000"/>
                <w:position w:val="-30"/>
                <w:szCs w:val="24"/>
                <w:highlight w:val="none"/>
                <w:lang w:val="en-US" w:eastAsia="zh-CN"/>
              </w:rPr>
              <w:t>4</w:t>
            </w:r>
            <w:r>
              <w:rPr>
                <w:rFonts w:hint="default" w:ascii="Times New Roman" w:hAnsi="Times New Roman" w:eastAsia="宋体" w:cs="Times New Roman"/>
                <w:color w:val="000000"/>
                <w:position w:val="-30"/>
                <w:szCs w:val="24"/>
                <w:highlight w:val="none"/>
                <w:lang w:eastAsia="zh-CN"/>
              </w:rPr>
              <w:t>.</w:t>
            </w:r>
            <w:r>
              <w:rPr>
                <w:rFonts w:hint="eastAsia" w:cs="Times New Roman"/>
                <w:color w:val="000000"/>
                <w:position w:val="-30"/>
                <w:szCs w:val="24"/>
                <w:highlight w:val="none"/>
                <w:lang w:val="en-US" w:eastAsia="zh-CN"/>
              </w:rPr>
              <w:t>3.2</w:t>
            </w:r>
            <w:r>
              <w:rPr>
                <w:rFonts w:hint="default" w:ascii="Times New Roman" w:hAnsi="Times New Roman" w:eastAsia="宋体" w:cs="Times New Roman"/>
                <w:color w:val="000000"/>
                <w:position w:val="-30"/>
                <w:szCs w:val="24"/>
                <w:highlight w:val="none"/>
              </w:rPr>
              <w:t>-6）</w:t>
            </w:r>
          </w:p>
          <w:p w14:paraId="68873F5F">
            <w:pPr>
              <w:adjustRightInd/>
              <w:snapToGrid/>
              <w:spacing w:before="93"/>
              <w:ind w:firstLine="720" w:firstLineChars="300"/>
              <w:rPr>
                <w:rFonts w:hint="default" w:ascii="Times New Roman" w:hAnsi="Times New Roman" w:eastAsia="宋体" w:cs="Times New Roman"/>
                <w:iCs/>
                <w:color w:val="000000"/>
                <w:szCs w:val="28"/>
                <w:highlight w:val="none"/>
              </w:rPr>
            </w:pPr>
            <w:r>
              <w:rPr>
                <w:rFonts w:hint="default" w:ascii="Times New Roman" w:hAnsi="Times New Roman" w:eastAsia="宋体" w:cs="Times New Roman"/>
                <w:iCs/>
                <w:color w:val="000000"/>
                <w:szCs w:val="28"/>
                <w:highlight w:val="none"/>
              </w:rPr>
              <w:t>则1年冲淤强度为</w:t>
            </w:r>
          </w:p>
          <w:p w14:paraId="700E2C0A">
            <w:pPr>
              <w:adjustRightInd/>
              <w:snapToGrid/>
              <w:spacing w:before="93"/>
              <w:ind w:firstLine="720" w:firstLineChars="300"/>
              <w:jc w:val="right"/>
              <w:rPr>
                <w:rFonts w:hint="default" w:ascii="Times New Roman" w:hAnsi="Times New Roman" w:eastAsia="宋体" w:cs="Times New Roman"/>
                <w:color w:val="000000"/>
                <w:szCs w:val="28"/>
                <w:highlight w:val="none"/>
              </w:rPr>
            </w:pPr>
            <m:oMath>
              <m:r>
                <m:rPr>
                  <m:nor/>
                </m:rPr>
                <w:rPr>
                  <w:rFonts w:hint="default" w:ascii="Times New Roman" w:hAnsi="Times New Roman" w:cs="Times New Roman"/>
                  <w:i/>
                  <w:color w:val="000000"/>
                </w:rPr>
                <m:t>p</m:t>
              </m:r>
              <m:r>
                <m:rPr>
                  <m:nor/>
                  <m:sty m:val="p"/>
                </m:rPr>
                <w:rPr>
                  <w:rFonts w:hint="default" w:ascii="Times New Roman" w:hAnsi="Times New Roman" w:cs="Times New Roman"/>
                  <w:b w:val="0"/>
                  <w:i w:val="0"/>
                  <w:color w:val="000000"/>
                </w:rPr>
                <m:t>=</m:t>
              </m:r>
              <m:r>
                <m:rPr>
                  <m:nor/>
                </m:rPr>
                <w:rPr>
                  <w:rFonts w:hint="default" w:ascii="Times New Roman" w:hAnsi="Times New Roman" w:cs="Times New Roman"/>
                  <w:i/>
                  <w:color w:val="000000"/>
                </w:rPr>
                <m:t>n</m:t>
              </m:r>
              <m:r>
                <m:rPr>
                  <m:nor/>
                  <m:sty m:val="p"/>
                </m:rPr>
                <w:rPr>
                  <w:rFonts w:hint="default" w:ascii="Times New Roman" w:hAnsi="Times New Roman" w:cs="Times New Roman"/>
                  <w:b w:val="0"/>
                  <w:i w:val="0"/>
                  <w:color w:val="000000"/>
                </w:rPr>
                <m:t>△</m:t>
              </m:r>
              <m:r>
                <m:rPr>
                  <m:nor/>
                </m:rPr>
                <w:rPr>
                  <w:rFonts w:hint="default" w:ascii="Times New Roman" w:hAnsi="Times New Roman" w:cs="Times New Roman"/>
                  <w:i/>
                  <w:color w:val="000000"/>
                </w:rPr>
                <m:t>H</m:t>
              </m:r>
              <m:r>
                <m:rPr>
                  <m:nor/>
                  <m:sty m:val="p"/>
                </m:rPr>
                <w:rPr>
                  <w:rFonts w:hint="default" w:ascii="Times New Roman" w:hAnsi="Times New Roman" w:cs="Times New Roman"/>
                  <w:b w:val="0"/>
                  <w:i w:val="0"/>
                  <w:color w:val="000000"/>
                </w:rPr>
                <m:t>=</m:t>
              </m:r>
              <m:f>
                <m:fPr>
                  <m:ctrlPr>
                    <w:rPr>
                      <w:rFonts w:hint="default" w:ascii="Cambria Math" w:hAnsi="Cambria Math" w:cs="Times New Roman"/>
                      <w:i/>
                      <w:color w:val="000000"/>
                    </w:rPr>
                  </m:ctrlPr>
                </m:fPr>
                <m:num>
                  <m:r>
                    <m:rPr>
                      <m:nor/>
                    </m:rPr>
                    <w:rPr>
                      <w:rFonts w:hint="default" w:ascii="Times New Roman" w:hAnsi="Times New Roman" w:cs="Times New Roman"/>
                      <w:i/>
                      <w:color w:val="000000"/>
                    </w:rPr>
                    <m:t>nαωT</m:t>
                  </m:r>
                  <m:sSubSup>
                    <m:sSubSupPr>
                      <m:ctrlPr>
                        <w:rPr>
                          <w:rFonts w:hint="default" w:ascii="Cambria Math" w:hAnsi="Cambria Math" w:cs="Times New Roman"/>
                          <w:i/>
                          <w:iCs/>
                          <w:color w:val="000000"/>
                        </w:rPr>
                      </m:ctrlPr>
                    </m:sSubSupPr>
                    <m:e>
                      <m:r>
                        <m:rPr>
                          <m:nor/>
                        </m:rPr>
                        <w:rPr>
                          <w:rFonts w:hint="default" w:ascii="Times New Roman" w:hAnsi="Times New Roman" w:cs="Times New Roman"/>
                          <w:i/>
                          <w:color w:val="000000"/>
                        </w:rPr>
                        <m:t>S</m:t>
                      </m:r>
                      <m:ctrlPr>
                        <w:rPr>
                          <w:rFonts w:hint="default" w:ascii="Cambria Math" w:hAnsi="Cambria Math" w:cs="Times New Roman"/>
                          <w:i/>
                          <w:iCs/>
                          <w:color w:val="000000"/>
                        </w:rPr>
                      </m:ctrlPr>
                    </m:e>
                    <m:sub>
                      <m:r>
                        <m:rPr>
                          <m:nor/>
                          <m:sty m:val="p"/>
                        </m:rPr>
                        <w:rPr>
                          <w:rFonts w:hint="default" w:ascii="Times New Roman" w:hAnsi="Times New Roman" w:cs="Times New Roman"/>
                          <w:b w:val="0"/>
                          <w:i w:val="0"/>
                          <w:color w:val="000000"/>
                        </w:rPr>
                        <m:t>1</m:t>
                      </m:r>
                      <m:ctrlPr>
                        <w:rPr>
                          <w:rFonts w:hint="default" w:ascii="Cambria Math" w:hAnsi="Cambria Math" w:cs="Times New Roman"/>
                          <w:i/>
                          <w:iCs/>
                          <w:color w:val="000000"/>
                        </w:rPr>
                      </m:ctrlPr>
                    </m:sub>
                    <m:sup>
                      <m:r>
                        <m:rPr>
                          <m:nor/>
                          <m:sty m:val="p"/>
                        </m:rPr>
                        <w:rPr>
                          <w:rFonts w:hint="default" w:ascii="Times New Roman" w:hAnsi="Times New Roman" w:cs="Times New Roman"/>
                          <w:b w:val="0"/>
                          <w:i w:val="0"/>
                          <w:color w:val="000000"/>
                        </w:rPr>
                        <m:t>∗</m:t>
                      </m:r>
                      <m:ctrlPr>
                        <w:rPr>
                          <w:rFonts w:hint="default" w:ascii="Cambria Math" w:hAnsi="Cambria Math" w:cs="Times New Roman"/>
                          <w:i/>
                          <w:iCs/>
                          <w:color w:val="000000"/>
                        </w:rPr>
                      </m:ctrlPr>
                    </m:sup>
                  </m:sSubSup>
                  <m:ctrlPr>
                    <w:rPr>
                      <w:rFonts w:hint="default" w:ascii="Cambria Math" w:hAnsi="Cambria Math" w:cs="Times New Roman"/>
                      <w:i/>
                      <w:color w:val="000000"/>
                    </w:rPr>
                  </m:ctrlPr>
                </m:num>
                <m:den>
                  <m:sSub>
                    <m:sSubPr>
                      <m:ctrlPr>
                        <w:rPr>
                          <w:rFonts w:hint="default" w:ascii="Cambria Math" w:hAnsi="Cambria Math" w:cs="Times New Roman"/>
                          <w:i/>
                          <w:color w:val="000000"/>
                        </w:rPr>
                      </m:ctrlPr>
                    </m:sSubPr>
                    <m:e>
                      <m:r>
                        <m:rPr>
                          <m:nor/>
                        </m:rPr>
                        <w:rPr>
                          <w:rFonts w:hint="default" w:ascii="Times New Roman" w:hAnsi="Times New Roman" w:cs="Times New Roman"/>
                          <w:i/>
                          <w:color w:val="000000"/>
                        </w:rPr>
                        <m:t>γ</m:t>
                      </m:r>
                      <m:ctrlPr>
                        <w:rPr>
                          <w:rFonts w:hint="default" w:ascii="Cambria Math" w:hAnsi="Cambria Math" w:cs="Times New Roman"/>
                          <w:i/>
                          <w:color w:val="000000"/>
                        </w:rPr>
                      </m:ctrlPr>
                    </m:e>
                    <m:sub>
                      <m:r>
                        <m:rPr>
                          <m:nor/>
                        </m:rPr>
                        <w:rPr>
                          <w:rFonts w:hint="default" w:ascii="Times New Roman" w:hAnsi="Times New Roman" w:cs="Times New Roman"/>
                          <w:i/>
                          <w:color w:val="000000"/>
                        </w:rPr>
                        <m:t>c</m:t>
                      </m:r>
                      <m:ctrlPr>
                        <w:rPr>
                          <w:rFonts w:hint="default" w:ascii="Cambria Math" w:hAnsi="Cambria Math" w:cs="Times New Roman"/>
                          <w:i/>
                          <w:color w:val="000000"/>
                        </w:rPr>
                      </m:ctrlPr>
                    </m:sub>
                  </m:sSub>
                  <m:ctrlPr>
                    <w:rPr>
                      <w:rFonts w:hint="default" w:ascii="Cambria Math" w:hAnsi="Cambria Math" w:cs="Times New Roman"/>
                      <w:i/>
                      <w:color w:val="000000"/>
                    </w:rPr>
                  </m:ctrlPr>
                </m:den>
              </m:f>
              <m:r>
                <m:rPr>
                  <m:nor/>
                  <m:sty m:val="p"/>
                </m:rPr>
                <w:rPr>
                  <w:rFonts w:hint="default" w:ascii="Times New Roman" w:hAnsi="Times New Roman" w:cs="Times New Roman"/>
                  <w:b w:val="0"/>
                  <w:i w:val="0"/>
                  <w:color w:val="000000"/>
                </w:rPr>
                <m:t>(1−</m:t>
              </m:r>
              <m:f>
                <m:fPr>
                  <m:ctrlPr>
                    <w:rPr>
                      <w:rFonts w:hint="default" w:ascii="Cambria Math" w:hAnsi="Cambria Math" w:cs="Times New Roman"/>
                      <w:i/>
                      <w:color w:val="000000"/>
                    </w:rPr>
                  </m:ctrlPr>
                </m:fPr>
                <m:num>
                  <m:sSubSup>
                    <m:sSubSupPr>
                      <m:ctrlPr>
                        <w:rPr>
                          <w:rFonts w:hint="default" w:ascii="Cambria Math" w:hAnsi="Cambria Math" w:cs="Times New Roman"/>
                          <w:i/>
                          <w:color w:val="000000"/>
                        </w:rPr>
                      </m:ctrlPr>
                    </m:sSubSupPr>
                    <m:e>
                      <m:r>
                        <m:rPr>
                          <m:nor/>
                        </m:rPr>
                        <w:rPr>
                          <w:rFonts w:hint="default" w:ascii="Times New Roman" w:hAnsi="Times New Roman" w:cs="Times New Roman"/>
                          <w:i/>
                          <w:color w:val="000000"/>
                        </w:rPr>
                        <m:t>S</m:t>
                      </m:r>
                      <m:ctrlPr>
                        <w:rPr>
                          <w:rFonts w:hint="default" w:ascii="Cambria Math" w:hAnsi="Cambria Math" w:cs="Times New Roman"/>
                          <w:i/>
                          <w:color w:val="000000"/>
                        </w:rPr>
                      </m:ctrlPr>
                    </m:e>
                    <m:sub>
                      <m:r>
                        <m:rPr>
                          <m:nor/>
                          <m:sty m:val="p"/>
                        </m:rPr>
                        <w:rPr>
                          <w:rFonts w:hint="default" w:ascii="Times New Roman" w:hAnsi="Times New Roman" w:cs="Times New Roman"/>
                          <w:b w:val="0"/>
                          <w:i w:val="0"/>
                          <w:color w:val="000000"/>
                        </w:rPr>
                        <m:t>2</m:t>
                      </m:r>
                      <m:ctrlPr>
                        <w:rPr>
                          <w:rFonts w:hint="default" w:ascii="Cambria Math" w:hAnsi="Cambria Math" w:cs="Times New Roman"/>
                          <w:i/>
                          <w:color w:val="000000"/>
                        </w:rPr>
                      </m:ctrlPr>
                    </m:sub>
                    <m:sup>
                      <m:r>
                        <m:rPr>
                          <m:nor/>
                          <m:sty m:val="p"/>
                        </m:rPr>
                        <w:rPr>
                          <w:rFonts w:hint="default" w:ascii="Times New Roman" w:hAnsi="Times New Roman" w:cs="Times New Roman"/>
                          <w:b w:val="0"/>
                          <w:i w:val="0"/>
                          <w:color w:val="000000"/>
                        </w:rPr>
                        <m:t>∗</m:t>
                      </m:r>
                      <m:ctrlPr>
                        <w:rPr>
                          <w:rFonts w:hint="default" w:ascii="Cambria Math" w:hAnsi="Cambria Math" w:cs="Times New Roman"/>
                          <w:i/>
                          <w:color w:val="000000"/>
                        </w:rPr>
                      </m:ctrlPr>
                    </m:sup>
                  </m:sSubSup>
                  <m:ctrlPr>
                    <w:rPr>
                      <w:rFonts w:hint="default" w:ascii="Cambria Math" w:hAnsi="Cambria Math" w:cs="Times New Roman"/>
                      <w:i/>
                      <w:color w:val="000000"/>
                    </w:rPr>
                  </m:ctrlPr>
                </m:num>
                <m:den>
                  <m:sSubSup>
                    <m:sSubSupPr>
                      <m:ctrlPr>
                        <w:rPr>
                          <w:rFonts w:hint="default" w:ascii="Cambria Math" w:hAnsi="Cambria Math" w:cs="Times New Roman"/>
                          <w:i/>
                          <w:color w:val="000000"/>
                        </w:rPr>
                      </m:ctrlPr>
                    </m:sSubSupPr>
                    <m:e>
                      <m:r>
                        <m:rPr>
                          <m:nor/>
                        </m:rPr>
                        <w:rPr>
                          <w:rFonts w:hint="default" w:ascii="Times New Roman" w:hAnsi="Times New Roman" w:cs="Times New Roman"/>
                          <w:i/>
                          <w:color w:val="000000"/>
                        </w:rPr>
                        <m:t>S</m:t>
                      </m:r>
                      <m:ctrlPr>
                        <w:rPr>
                          <w:rFonts w:hint="default" w:ascii="Cambria Math" w:hAnsi="Cambria Math" w:cs="Times New Roman"/>
                          <w:i/>
                          <w:color w:val="000000"/>
                        </w:rPr>
                      </m:ctrlPr>
                    </m:e>
                    <m:sub>
                      <m:r>
                        <m:rPr>
                          <m:nor/>
                          <m:sty m:val="p"/>
                        </m:rPr>
                        <w:rPr>
                          <w:rFonts w:hint="default" w:ascii="Times New Roman" w:hAnsi="Times New Roman" w:cs="Times New Roman"/>
                          <w:b w:val="0"/>
                          <w:i w:val="0"/>
                          <w:color w:val="000000"/>
                        </w:rPr>
                        <m:t>1</m:t>
                      </m:r>
                      <m:ctrlPr>
                        <w:rPr>
                          <w:rFonts w:hint="default" w:ascii="Cambria Math" w:hAnsi="Cambria Math" w:cs="Times New Roman"/>
                          <w:i/>
                          <w:color w:val="000000"/>
                        </w:rPr>
                      </m:ctrlPr>
                    </m:sub>
                    <m:sup>
                      <m:r>
                        <m:rPr>
                          <m:nor/>
                          <m:sty m:val="p"/>
                        </m:rPr>
                        <w:rPr>
                          <w:rFonts w:hint="default" w:ascii="Times New Roman" w:hAnsi="Times New Roman" w:cs="Times New Roman"/>
                          <w:b w:val="0"/>
                          <w:i w:val="0"/>
                          <w:color w:val="000000"/>
                        </w:rPr>
                        <m:t>∗</m:t>
                      </m:r>
                      <m:ctrlPr>
                        <w:rPr>
                          <w:rFonts w:hint="default" w:ascii="Cambria Math" w:hAnsi="Cambria Math" w:cs="Times New Roman"/>
                          <w:i/>
                          <w:color w:val="000000"/>
                        </w:rPr>
                      </m:ctrlPr>
                    </m:sup>
                  </m:sSubSup>
                  <m:ctrlPr>
                    <w:rPr>
                      <w:rFonts w:hint="default" w:ascii="Cambria Math" w:hAnsi="Cambria Math" w:cs="Times New Roman"/>
                      <w:i/>
                      <w:color w:val="000000"/>
                    </w:rPr>
                  </m:ctrlPr>
                </m:den>
              </m:f>
              <m:r>
                <m:rPr>
                  <m:nor/>
                  <m:sty m:val="p"/>
                </m:rPr>
                <w:rPr>
                  <w:rFonts w:hint="default" w:ascii="Times New Roman" w:hAnsi="Times New Roman" w:cs="Times New Roman"/>
                  <w:b w:val="0"/>
                  <w:i w:val="0"/>
                  <w:color w:val="000000"/>
                </w:rPr>
                <m:t>)</m:t>
              </m:r>
            </m:oMath>
            <w:r>
              <w:rPr>
                <w:rFonts w:hint="default" w:ascii="Times New Roman" w:hAnsi="Times New Roman" w:eastAsia="宋体" w:cs="Times New Roman"/>
                <w:i/>
                <w:color w:val="000000"/>
                <w:position w:val="-30"/>
                <w:szCs w:val="24"/>
                <w:highlight w:val="none"/>
              </w:rPr>
              <w:t xml:space="preserve"> </w:t>
            </w:r>
            <w:r>
              <w:rPr>
                <w:rFonts w:hint="default" w:ascii="Times New Roman" w:hAnsi="Times New Roman" w:eastAsia="宋体" w:cs="Times New Roman"/>
                <w:color w:val="000000"/>
                <w:position w:val="-30"/>
                <w:szCs w:val="24"/>
                <w:highlight w:val="none"/>
              </w:rPr>
              <w:t xml:space="preserve">              （</w:t>
            </w:r>
            <w:r>
              <w:rPr>
                <w:rFonts w:hint="eastAsia" w:cs="Times New Roman"/>
                <w:color w:val="000000"/>
                <w:position w:val="-30"/>
                <w:szCs w:val="24"/>
                <w:highlight w:val="none"/>
                <w:lang w:val="en-US" w:eastAsia="zh-CN"/>
              </w:rPr>
              <w:t>4</w:t>
            </w:r>
            <w:r>
              <w:rPr>
                <w:rFonts w:hint="default" w:ascii="Times New Roman" w:hAnsi="Times New Roman" w:eastAsia="宋体" w:cs="Times New Roman"/>
                <w:color w:val="000000"/>
                <w:position w:val="-30"/>
                <w:szCs w:val="24"/>
                <w:highlight w:val="none"/>
                <w:lang w:eastAsia="zh-CN"/>
              </w:rPr>
              <w:t>.</w:t>
            </w:r>
            <w:r>
              <w:rPr>
                <w:rFonts w:hint="eastAsia" w:cs="Times New Roman"/>
                <w:color w:val="000000"/>
                <w:position w:val="-30"/>
                <w:szCs w:val="24"/>
                <w:highlight w:val="none"/>
                <w:lang w:val="en-US" w:eastAsia="zh-CN"/>
              </w:rPr>
              <w:t>3.2</w:t>
            </w:r>
            <w:r>
              <w:rPr>
                <w:rFonts w:hint="default" w:ascii="Times New Roman" w:hAnsi="Times New Roman" w:eastAsia="宋体" w:cs="Times New Roman"/>
                <w:color w:val="000000"/>
                <w:position w:val="-30"/>
                <w:szCs w:val="24"/>
                <w:highlight w:val="none"/>
              </w:rPr>
              <w:t>-7）</w:t>
            </w:r>
          </w:p>
          <w:p w14:paraId="158163E4">
            <w:pPr>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T—潮周期，n为一年中的潮周期数，</w:t>
            </w:r>
            <m:oMath>
              <m:sSubSup>
                <m:sSubSupPr>
                  <m:ctrlPr>
                    <w:rPr>
                      <w:rFonts w:hint="default" w:ascii="Cambria Math" w:hAnsi="Cambria Math" w:cs="Times New Roman"/>
                      <w:i/>
                      <w:iCs/>
                      <w:color w:val="000000"/>
                    </w:rPr>
                  </m:ctrlPr>
                </m:sSubSupPr>
                <m:e>
                  <m:r>
                    <m:rPr>
                      <m:nor/>
                    </m:rPr>
                    <w:rPr>
                      <w:rFonts w:hint="default" w:ascii="Times New Roman" w:hAnsi="Times New Roman" w:cs="Times New Roman"/>
                      <w:i/>
                      <w:color w:val="000000"/>
                    </w:rPr>
                    <m:t>S</m:t>
                  </m:r>
                  <m:ctrlPr>
                    <w:rPr>
                      <w:rFonts w:hint="default" w:ascii="Cambria Math" w:hAnsi="Cambria Math" w:cs="Times New Roman"/>
                      <w:i/>
                      <w:iCs/>
                      <w:color w:val="000000"/>
                    </w:rPr>
                  </m:ctrlPr>
                </m:e>
                <m:sub>
                  <m:r>
                    <m:rPr>
                      <m:nor/>
                      <m:sty m:val="p"/>
                    </m:rPr>
                    <w:rPr>
                      <w:rFonts w:hint="default" w:ascii="Times New Roman" w:hAnsi="Times New Roman" w:cs="Times New Roman"/>
                      <w:b w:val="0"/>
                      <w:i w:val="0"/>
                      <w:color w:val="000000"/>
                    </w:rPr>
                    <m:t>1</m:t>
                  </m:r>
                  <m:ctrlPr>
                    <w:rPr>
                      <w:rFonts w:hint="default" w:ascii="Cambria Math" w:hAnsi="Cambria Math" w:cs="Times New Roman"/>
                      <w:i/>
                      <w:iCs/>
                      <w:color w:val="000000"/>
                    </w:rPr>
                  </m:ctrlPr>
                </m:sub>
                <m:sup>
                  <m:r>
                    <m:rPr>
                      <m:nor/>
                      <m:sty m:val="p"/>
                    </m:rPr>
                    <w:rPr>
                      <w:rFonts w:hint="default" w:ascii="Times New Roman" w:hAnsi="Times New Roman" w:cs="Times New Roman"/>
                      <w:b w:val="0"/>
                      <w:i w:val="0"/>
                      <w:color w:val="000000"/>
                    </w:rPr>
                    <m:t>∗</m:t>
                  </m:r>
                  <m:ctrlPr>
                    <w:rPr>
                      <w:rFonts w:hint="default" w:ascii="Cambria Math" w:hAnsi="Cambria Math" w:cs="Times New Roman"/>
                      <w:i/>
                      <w:iCs/>
                      <w:color w:val="000000"/>
                    </w:rPr>
                  </m:ctrlPr>
                </m:sup>
              </m:sSubSup>
              <m:r>
                <m:rPr>
                  <m:nor/>
                  <m:sty m:val="p"/>
                </m:rPr>
                <w:rPr>
                  <w:rFonts w:hint="default" w:ascii="Times New Roman" w:hAnsi="Times New Roman" w:cs="Times New Roman"/>
                  <w:b w:val="0"/>
                  <w:i w:val="0"/>
                  <w:color w:val="000000"/>
                </w:rPr>
                <m:t>、</m:t>
              </m:r>
              <m:sSubSup>
                <m:sSubSupPr>
                  <m:ctrlPr>
                    <w:rPr>
                      <w:rFonts w:hint="default" w:ascii="Cambria Math" w:hAnsi="Cambria Math" w:cs="Times New Roman"/>
                      <w:i/>
                      <w:iCs/>
                      <w:color w:val="000000"/>
                    </w:rPr>
                  </m:ctrlPr>
                </m:sSubSupPr>
                <m:e>
                  <m:r>
                    <m:rPr>
                      <m:nor/>
                    </m:rPr>
                    <w:rPr>
                      <w:rFonts w:hint="default" w:ascii="Times New Roman" w:hAnsi="Times New Roman" w:cs="Times New Roman"/>
                      <w:i/>
                      <w:color w:val="000000"/>
                    </w:rPr>
                    <m:t>S</m:t>
                  </m:r>
                  <m:ctrlPr>
                    <w:rPr>
                      <w:rFonts w:hint="default" w:ascii="Cambria Math" w:hAnsi="Cambria Math" w:cs="Times New Roman"/>
                      <w:i/>
                      <w:iCs/>
                      <w:color w:val="000000"/>
                    </w:rPr>
                  </m:ctrlPr>
                </m:e>
                <m:sub>
                  <m:r>
                    <m:rPr>
                      <m:nor/>
                      <m:sty m:val="p"/>
                    </m:rPr>
                    <w:rPr>
                      <w:rFonts w:hint="default" w:ascii="Times New Roman" w:hAnsi="Times New Roman" w:cs="Times New Roman"/>
                      <w:b w:val="0"/>
                      <w:i w:val="0"/>
                      <w:color w:val="000000"/>
                    </w:rPr>
                    <m:t>2</m:t>
                  </m:r>
                  <m:ctrlPr>
                    <w:rPr>
                      <w:rFonts w:hint="default" w:ascii="Cambria Math" w:hAnsi="Cambria Math" w:cs="Times New Roman"/>
                      <w:i/>
                      <w:iCs/>
                      <w:color w:val="000000"/>
                    </w:rPr>
                  </m:ctrlPr>
                </m:sub>
                <m:sup>
                  <m:r>
                    <m:rPr>
                      <m:nor/>
                      <m:sty m:val="p"/>
                    </m:rPr>
                    <w:rPr>
                      <w:rFonts w:hint="default" w:ascii="Times New Roman" w:hAnsi="Times New Roman" w:cs="Times New Roman"/>
                      <w:b w:val="0"/>
                      <w:i w:val="0"/>
                      <w:color w:val="000000"/>
                    </w:rPr>
                    <m:t>∗</m:t>
                  </m:r>
                  <m:ctrlPr>
                    <w:rPr>
                      <w:rFonts w:hint="default" w:ascii="Cambria Math" w:hAnsi="Cambria Math" w:cs="Times New Roman"/>
                      <w:i/>
                      <w:iCs/>
                      <w:color w:val="000000"/>
                    </w:rPr>
                  </m:ctrlPr>
                </m:sup>
              </m:sSubSup>
            </m:oMath>
            <w:r>
              <w:rPr>
                <w:rFonts w:hint="default" w:ascii="Times New Roman" w:hAnsi="Times New Roman" w:cs="Times New Roman"/>
                <w:color w:val="000000"/>
                <w:highlight w:val="none"/>
              </w:rPr>
              <w:t>为工程前后的挟沙能力（单位为kg/m</w:t>
            </w:r>
            <w:r>
              <w:rPr>
                <w:rFonts w:hint="default" w:ascii="Times New Roman" w:hAnsi="Times New Roman" w:cs="Times New Roman"/>
                <w:color w:val="000000"/>
                <w:highlight w:val="none"/>
                <w:vertAlign w:val="superscript"/>
              </w:rPr>
              <w:t>3</w:t>
            </w:r>
            <w:r>
              <w:rPr>
                <w:rFonts w:hint="default" w:ascii="Times New Roman" w:hAnsi="Times New Roman" w:cs="Times New Roman"/>
                <w:color w:val="000000"/>
                <w:highlight w:val="none"/>
              </w:rPr>
              <w:t>）。将挟沙公式</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5</w:t>
            </w:r>
            <w:r>
              <w:rPr>
                <w:rFonts w:hint="default" w:ascii="Times New Roman" w:hAnsi="Times New Roman" w:cs="Times New Roman"/>
                <w:color w:val="000000"/>
                <w:highlight w:val="none"/>
                <w:lang w:eastAsia="zh-CN"/>
              </w:rPr>
              <w:t>.2.1</w:t>
            </w:r>
            <w:r>
              <w:rPr>
                <w:rFonts w:hint="default" w:ascii="Times New Roman" w:hAnsi="Times New Roman" w:cs="Times New Roman"/>
                <w:color w:val="000000"/>
                <w:highlight w:val="none"/>
              </w:rPr>
              <w:t>-</w:t>
            </w:r>
            <w:r>
              <w:rPr>
                <w:rFonts w:hint="default" w:ascii="Times New Roman" w:hAnsi="Times New Roman" w:cs="Times New Roman"/>
                <w:color w:val="000000"/>
                <w:highlight w:val="none"/>
                <w:lang w:val="en-US" w:eastAsia="zh-CN"/>
              </w:rPr>
              <w:t>4</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代入</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5</w:t>
            </w:r>
            <w:r>
              <w:rPr>
                <w:rFonts w:hint="default" w:ascii="Times New Roman" w:hAnsi="Times New Roman" w:cs="Times New Roman"/>
                <w:color w:val="000000"/>
                <w:highlight w:val="none"/>
                <w:lang w:eastAsia="zh-CN"/>
              </w:rPr>
              <w:t>.2.1</w:t>
            </w:r>
            <w:r>
              <w:rPr>
                <w:rFonts w:hint="default" w:ascii="Times New Roman" w:hAnsi="Times New Roman" w:cs="Times New Roman"/>
                <w:color w:val="000000"/>
                <w:highlight w:val="none"/>
              </w:rPr>
              <w:t>-7</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可得：</w:t>
            </w:r>
          </w:p>
          <w:p w14:paraId="1358E2F1">
            <w:pPr>
              <w:adjustRightInd/>
              <w:snapToGrid/>
              <w:spacing w:before="93"/>
              <w:ind w:firstLine="720" w:firstLineChars="300"/>
              <w:jc w:val="right"/>
              <w:rPr>
                <w:rFonts w:hint="default" w:ascii="Times New Roman" w:hAnsi="Times New Roman" w:eastAsia="宋体" w:cs="Times New Roman"/>
                <w:color w:val="000000"/>
                <w:position w:val="-30"/>
                <w:szCs w:val="24"/>
                <w:highlight w:val="none"/>
              </w:rPr>
            </w:pPr>
            <m:oMath>
              <m:r>
                <m:rPr>
                  <m:nor/>
                </m:rPr>
                <w:rPr>
                  <w:rFonts w:hint="default" w:ascii="Times New Roman" w:hAnsi="Times New Roman" w:cs="Times New Roman"/>
                  <w:i/>
                  <w:color w:val="000000"/>
                </w:rPr>
                <m:t>p</m:t>
              </m:r>
              <m:r>
                <m:rPr>
                  <m:nor/>
                  <m:sty m:val="p"/>
                </m:rPr>
                <w:rPr>
                  <w:rFonts w:hint="default" w:ascii="Times New Roman" w:hAnsi="Times New Roman" w:cs="Times New Roman"/>
                  <w:b w:val="0"/>
                  <w:i w:val="0"/>
                  <w:color w:val="000000"/>
                </w:rPr>
                <m:t>=</m:t>
              </m:r>
              <m:r>
                <m:rPr>
                  <m:nor/>
                </m:rPr>
                <w:rPr>
                  <w:rFonts w:hint="default" w:ascii="Times New Roman" w:hAnsi="Times New Roman" w:cs="Times New Roman"/>
                  <w:i/>
                  <w:color w:val="000000"/>
                </w:rPr>
                <m:t>n</m:t>
              </m:r>
              <m:r>
                <m:rPr>
                  <m:nor/>
                  <m:sty m:val="p"/>
                </m:rPr>
                <w:rPr>
                  <w:rFonts w:hint="default" w:ascii="Times New Roman" w:hAnsi="Times New Roman" w:cs="Times New Roman"/>
                  <w:b w:val="0"/>
                  <w:i w:val="0"/>
                  <w:color w:val="000000"/>
                </w:rPr>
                <m:t>△</m:t>
              </m:r>
              <m:r>
                <m:rPr>
                  <m:nor/>
                </m:rPr>
                <w:rPr>
                  <w:rFonts w:hint="default" w:ascii="Times New Roman" w:hAnsi="Times New Roman" w:cs="Times New Roman"/>
                  <w:i/>
                  <w:color w:val="000000"/>
                </w:rPr>
                <m:t>H</m:t>
              </m:r>
              <m:r>
                <m:rPr>
                  <m:nor/>
                  <m:sty m:val="p"/>
                </m:rPr>
                <w:rPr>
                  <w:rFonts w:hint="default" w:ascii="Times New Roman" w:hAnsi="Times New Roman" w:cs="Times New Roman"/>
                  <w:b w:val="0"/>
                  <w:i w:val="0"/>
                  <w:color w:val="000000"/>
                </w:rPr>
                <m:t>=</m:t>
              </m:r>
              <m:f>
                <m:fPr>
                  <m:ctrlPr>
                    <w:rPr>
                      <w:rFonts w:hint="default" w:ascii="Cambria Math" w:hAnsi="Cambria Math" w:cs="Times New Roman"/>
                      <w:i/>
                      <w:color w:val="000000"/>
                    </w:rPr>
                  </m:ctrlPr>
                </m:fPr>
                <m:num>
                  <m:r>
                    <m:rPr>
                      <m:nor/>
                    </m:rPr>
                    <w:rPr>
                      <w:rFonts w:hint="default" w:ascii="Times New Roman" w:hAnsi="Times New Roman" w:cs="Times New Roman"/>
                      <w:i/>
                      <w:color w:val="000000"/>
                    </w:rPr>
                    <m:t>nαωT</m:t>
                  </m:r>
                  <m:sSubSup>
                    <m:sSubSupPr>
                      <m:ctrlPr>
                        <w:rPr>
                          <w:rFonts w:hint="default" w:ascii="Cambria Math" w:hAnsi="Cambria Math" w:cs="Times New Roman"/>
                          <w:i/>
                          <w:iCs/>
                          <w:color w:val="000000"/>
                        </w:rPr>
                      </m:ctrlPr>
                    </m:sSubSupPr>
                    <m:e>
                      <m:r>
                        <m:rPr>
                          <m:nor/>
                        </m:rPr>
                        <w:rPr>
                          <w:rFonts w:hint="default" w:ascii="Times New Roman" w:hAnsi="Times New Roman" w:cs="Times New Roman"/>
                          <w:i/>
                          <w:color w:val="000000"/>
                        </w:rPr>
                        <m:t>S</m:t>
                      </m:r>
                      <m:ctrlPr>
                        <w:rPr>
                          <w:rFonts w:hint="default" w:ascii="Cambria Math" w:hAnsi="Cambria Math" w:cs="Times New Roman"/>
                          <w:i/>
                          <w:iCs/>
                          <w:color w:val="000000"/>
                        </w:rPr>
                      </m:ctrlPr>
                    </m:e>
                    <m:sub>
                      <m:r>
                        <m:rPr>
                          <m:nor/>
                          <m:sty m:val="p"/>
                        </m:rPr>
                        <w:rPr>
                          <w:rFonts w:hint="default" w:ascii="Times New Roman" w:hAnsi="Times New Roman" w:cs="Times New Roman"/>
                          <w:b w:val="0"/>
                          <w:i w:val="0"/>
                          <w:color w:val="000000"/>
                        </w:rPr>
                        <m:t>1</m:t>
                      </m:r>
                      <m:ctrlPr>
                        <w:rPr>
                          <w:rFonts w:hint="default" w:ascii="Cambria Math" w:hAnsi="Cambria Math" w:cs="Times New Roman"/>
                          <w:i/>
                          <w:iCs/>
                          <w:color w:val="000000"/>
                        </w:rPr>
                      </m:ctrlPr>
                    </m:sub>
                    <m:sup>
                      <m:r>
                        <m:rPr>
                          <m:nor/>
                          <m:sty m:val="p"/>
                        </m:rPr>
                        <w:rPr>
                          <w:rFonts w:hint="default" w:ascii="Times New Roman" w:hAnsi="Times New Roman" w:cs="Times New Roman"/>
                          <w:b w:val="0"/>
                          <w:i w:val="0"/>
                          <w:color w:val="000000"/>
                        </w:rPr>
                        <m:t>∗</m:t>
                      </m:r>
                      <m:ctrlPr>
                        <w:rPr>
                          <w:rFonts w:hint="default" w:ascii="Cambria Math" w:hAnsi="Cambria Math" w:cs="Times New Roman"/>
                          <w:i/>
                          <w:iCs/>
                          <w:color w:val="000000"/>
                        </w:rPr>
                      </m:ctrlPr>
                    </m:sup>
                  </m:sSubSup>
                  <m:ctrlPr>
                    <w:rPr>
                      <w:rFonts w:hint="default" w:ascii="Cambria Math" w:hAnsi="Cambria Math" w:cs="Times New Roman"/>
                      <w:i/>
                      <w:color w:val="000000"/>
                    </w:rPr>
                  </m:ctrlPr>
                </m:num>
                <m:den>
                  <m:sSub>
                    <m:sSubPr>
                      <m:ctrlPr>
                        <w:rPr>
                          <w:rFonts w:hint="default" w:ascii="Cambria Math" w:hAnsi="Cambria Math" w:cs="Times New Roman"/>
                          <w:i/>
                          <w:color w:val="000000"/>
                        </w:rPr>
                      </m:ctrlPr>
                    </m:sSubPr>
                    <m:e>
                      <m:r>
                        <m:rPr>
                          <m:nor/>
                        </m:rPr>
                        <w:rPr>
                          <w:rFonts w:hint="default" w:ascii="Times New Roman" w:hAnsi="Times New Roman" w:cs="Times New Roman"/>
                          <w:i/>
                          <w:color w:val="000000"/>
                        </w:rPr>
                        <m:t>γ</m:t>
                      </m:r>
                      <m:ctrlPr>
                        <w:rPr>
                          <w:rFonts w:hint="default" w:ascii="Cambria Math" w:hAnsi="Cambria Math" w:cs="Times New Roman"/>
                          <w:i/>
                          <w:color w:val="000000"/>
                        </w:rPr>
                      </m:ctrlPr>
                    </m:e>
                    <m:sub>
                      <m:r>
                        <m:rPr>
                          <m:nor/>
                        </m:rPr>
                        <w:rPr>
                          <w:rFonts w:hint="default" w:ascii="Times New Roman" w:hAnsi="Times New Roman" w:cs="Times New Roman"/>
                          <w:i/>
                          <w:color w:val="000000"/>
                        </w:rPr>
                        <m:t>c</m:t>
                      </m:r>
                      <m:ctrlPr>
                        <w:rPr>
                          <w:rFonts w:hint="default" w:ascii="Cambria Math" w:hAnsi="Cambria Math" w:cs="Times New Roman"/>
                          <w:i/>
                          <w:color w:val="000000"/>
                        </w:rPr>
                      </m:ctrlPr>
                    </m:sub>
                  </m:sSub>
                  <m:ctrlPr>
                    <w:rPr>
                      <w:rFonts w:hint="default" w:ascii="Cambria Math" w:hAnsi="Cambria Math" w:cs="Times New Roman"/>
                      <w:i/>
                      <w:color w:val="000000"/>
                    </w:rPr>
                  </m:ctrlPr>
                </m:den>
              </m:f>
              <m:r>
                <m:rPr>
                  <m:nor/>
                  <m:sty m:val="p"/>
                </m:rPr>
                <w:rPr>
                  <w:rFonts w:hint="default" w:ascii="Times New Roman" w:hAnsi="Times New Roman" w:cs="Times New Roman"/>
                  <w:b w:val="0"/>
                  <w:i w:val="0"/>
                  <w:color w:val="000000"/>
                </w:rPr>
                <m:t>[1−</m:t>
              </m:r>
              <m:d>
                <m:dPr>
                  <m:ctrlPr>
                    <w:rPr>
                      <w:rFonts w:hint="default" w:ascii="Cambria Math" w:hAnsi="Cambria Math" w:cs="Times New Roman"/>
                      <w:i/>
                      <w:color w:val="000000"/>
                    </w:rPr>
                  </m:ctrlPr>
                </m:dPr>
                <m:e>
                  <m:f>
                    <m:fPr>
                      <m:ctrlPr>
                        <w:rPr>
                          <w:rFonts w:hint="default" w:ascii="Cambria Math" w:hAnsi="Cambria Math" w:cs="Times New Roman"/>
                          <w:i/>
                          <w:color w:val="000000"/>
                        </w:rPr>
                      </m:ctrlPr>
                    </m:fPr>
                    <m:num>
                      <m:sSub>
                        <m:sSubPr>
                          <m:ctrlPr>
                            <w:rPr>
                              <w:rFonts w:hint="default" w:ascii="Cambria Math" w:hAnsi="Cambria Math" w:cs="Times New Roman"/>
                              <w:i/>
                              <w:color w:val="000000"/>
                            </w:rPr>
                          </m:ctrlPr>
                        </m:sSubPr>
                        <m:e>
                          <m:r>
                            <m:rPr>
                              <m:nor/>
                            </m:rPr>
                            <w:rPr>
                              <w:rFonts w:hint="default" w:ascii="Times New Roman" w:hAnsi="Times New Roman" w:cs="Times New Roman"/>
                              <w:i/>
                              <w:color w:val="000000"/>
                            </w:rPr>
                            <m:t>v</m:t>
                          </m:r>
                          <m:ctrlPr>
                            <w:rPr>
                              <w:rFonts w:hint="default" w:ascii="Cambria Math" w:hAnsi="Cambria Math" w:cs="Times New Roman"/>
                              <w:i/>
                              <w:color w:val="000000"/>
                            </w:rPr>
                          </m:ctrlPr>
                        </m:e>
                        <m:sub>
                          <m:r>
                            <m:rPr>
                              <m:nor/>
                              <m:sty m:val="p"/>
                            </m:rPr>
                            <w:rPr>
                              <w:rFonts w:hint="default" w:ascii="Times New Roman" w:hAnsi="Times New Roman" w:cs="Times New Roman"/>
                              <w:b w:val="0"/>
                              <w:i w:val="0"/>
                              <w:color w:val="000000"/>
                            </w:rPr>
                            <m:t>2</m:t>
                          </m:r>
                          <m:ctrlPr>
                            <w:rPr>
                              <w:rFonts w:hint="default" w:ascii="Cambria Math" w:hAnsi="Cambria Math" w:cs="Times New Roman"/>
                              <w:i/>
                              <w:color w:val="000000"/>
                            </w:rPr>
                          </m:ctrlPr>
                        </m:sub>
                      </m:sSub>
                      <m:ctrlPr>
                        <w:rPr>
                          <w:rFonts w:hint="default" w:ascii="Cambria Math" w:hAnsi="Cambria Math" w:cs="Times New Roman"/>
                          <w:i/>
                          <w:color w:val="000000"/>
                        </w:rPr>
                      </m:ctrlPr>
                    </m:num>
                    <m:den>
                      <m:sSub>
                        <m:sSubPr>
                          <m:ctrlPr>
                            <w:rPr>
                              <w:rFonts w:hint="default" w:ascii="Cambria Math" w:hAnsi="Cambria Math" w:cs="Times New Roman"/>
                              <w:i/>
                              <w:color w:val="000000"/>
                            </w:rPr>
                          </m:ctrlPr>
                        </m:sSubPr>
                        <m:e>
                          <m:r>
                            <m:rPr>
                              <m:nor/>
                            </m:rPr>
                            <w:rPr>
                              <w:rFonts w:hint="default" w:ascii="Times New Roman" w:hAnsi="Times New Roman" w:cs="Times New Roman"/>
                              <w:i/>
                              <w:color w:val="000000"/>
                            </w:rPr>
                            <m:t>v</m:t>
                          </m:r>
                          <m:ctrlPr>
                            <w:rPr>
                              <w:rFonts w:hint="default" w:ascii="Cambria Math" w:hAnsi="Cambria Math" w:cs="Times New Roman"/>
                              <w:i/>
                              <w:color w:val="000000"/>
                            </w:rPr>
                          </m:ctrlPr>
                        </m:e>
                        <m:sub>
                          <m:r>
                            <m:rPr>
                              <m:nor/>
                              <m:sty m:val="p"/>
                            </m:rPr>
                            <w:rPr>
                              <w:rFonts w:hint="default" w:ascii="Times New Roman" w:hAnsi="Times New Roman" w:cs="Times New Roman"/>
                              <w:b w:val="0"/>
                              <w:i w:val="0"/>
                              <w:color w:val="000000"/>
                            </w:rPr>
                            <m:t>1</m:t>
                          </m:r>
                          <m:ctrlPr>
                            <w:rPr>
                              <w:rFonts w:hint="default" w:ascii="Cambria Math" w:hAnsi="Cambria Math" w:cs="Times New Roman"/>
                              <w:i/>
                              <w:color w:val="000000"/>
                            </w:rPr>
                          </m:ctrlPr>
                        </m:sub>
                      </m:sSub>
                      <m:ctrlPr>
                        <w:rPr>
                          <w:rFonts w:hint="default" w:ascii="Cambria Math" w:hAnsi="Cambria Math" w:cs="Times New Roman"/>
                          <w:i/>
                          <w:color w:val="000000"/>
                        </w:rPr>
                      </m:ctrlPr>
                    </m:den>
                  </m:f>
                  <m:ctrlPr>
                    <w:rPr>
                      <w:rFonts w:hint="default" w:ascii="Cambria Math" w:hAnsi="Cambria Math" w:cs="Times New Roman"/>
                      <w:i/>
                      <w:color w:val="000000"/>
                    </w:rPr>
                  </m:ctrlPr>
                </m:e>
              </m:d>
              <m:f>
                <m:fPr>
                  <m:ctrlPr>
                    <w:rPr>
                      <w:rFonts w:hint="default" w:ascii="Cambria Math" w:hAnsi="Cambria Math" w:cs="Times New Roman"/>
                      <w:i/>
                      <w:color w:val="000000"/>
                    </w:rPr>
                  </m:ctrlPr>
                </m:fPr>
                <m:num>
                  <m:sSub>
                    <m:sSubPr>
                      <m:ctrlPr>
                        <w:rPr>
                          <w:rFonts w:hint="default" w:ascii="Cambria Math" w:hAnsi="Cambria Math" w:cs="Times New Roman"/>
                          <w:i/>
                          <w:color w:val="000000"/>
                        </w:rPr>
                      </m:ctrlPr>
                    </m:sSubPr>
                    <m:e>
                      <m:r>
                        <m:rPr>
                          <m:nor/>
                        </m:rPr>
                        <w:rPr>
                          <w:rFonts w:hint="default" w:ascii="Times New Roman" w:hAnsi="Times New Roman" w:cs="Times New Roman"/>
                          <w:i/>
                          <w:color w:val="000000"/>
                        </w:rPr>
                        <m:t>H</m:t>
                      </m:r>
                      <m:ctrlPr>
                        <w:rPr>
                          <w:rFonts w:hint="default" w:ascii="Cambria Math" w:hAnsi="Cambria Math" w:cs="Times New Roman"/>
                          <w:i/>
                          <w:color w:val="000000"/>
                        </w:rPr>
                      </m:ctrlPr>
                    </m:e>
                    <m:sub>
                      <m:r>
                        <m:rPr>
                          <m:nor/>
                          <m:sty m:val="p"/>
                        </m:rPr>
                        <w:rPr>
                          <w:rFonts w:hint="default" w:ascii="Times New Roman" w:hAnsi="Times New Roman" w:cs="Times New Roman"/>
                          <w:b w:val="0"/>
                          <w:i w:val="0"/>
                          <w:color w:val="000000"/>
                        </w:rPr>
                        <m:t>1</m:t>
                      </m:r>
                      <m:ctrlPr>
                        <w:rPr>
                          <w:rFonts w:hint="default" w:ascii="Cambria Math" w:hAnsi="Cambria Math" w:cs="Times New Roman"/>
                          <w:i/>
                          <w:color w:val="000000"/>
                        </w:rPr>
                      </m:ctrlPr>
                    </m:sub>
                  </m:sSub>
                  <m:ctrlPr>
                    <w:rPr>
                      <w:rFonts w:hint="default" w:ascii="Cambria Math" w:hAnsi="Cambria Math" w:cs="Times New Roman"/>
                      <w:i/>
                      <w:color w:val="000000"/>
                    </w:rPr>
                  </m:ctrlPr>
                </m:num>
                <m:den>
                  <m:sSub>
                    <m:sSubPr>
                      <m:ctrlPr>
                        <w:rPr>
                          <w:rFonts w:hint="default" w:ascii="Cambria Math" w:hAnsi="Cambria Math" w:cs="Times New Roman"/>
                          <w:i/>
                          <w:color w:val="000000"/>
                        </w:rPr>
                      </m:ctrlPr>
                    </m:sSubPr>
                    <m:e>
                      <m:r>
                        <m:rPr>
                          <m:nor/>
                        </m:rPr>
                        <w:rPr>
                          <w:rFonts w:hint="default" w:ascii="Times New Roman" w:hAnsi="Times New Roman" w:cs="Times New Roman"/>
                          <w:i/>
                          <w:color w:val="000000"/>
                        </w:rPr>
                        <m:t>H</m:t>
                      </m:r>
                      <m:ctrlPr>
                        <w:rPr>
                          <w:rFonts w:hint="default" w:ascii="Cambria Math" w:hAnsi="Cambria Math" w:cs="Times New Roman"/>
                          <w:i/>
                          <w:color w:val="000000"/>
                        </w:rPr>
                      </m:ctrlPr>
                    </m:e>
                    <m:sub>
                      <m:r>
                        <m:rPr>
                          <m:nor/>
                          <m:sty m:val="p"/>
                        </m:rPr>
                        <w:rPr>
                          <w:rFonts w:hint="default" w:ascii="Times New Roman" w:hAnsi="Times New Roman" w:cs="Times New Roman"/>
                          <w:b w:val="0"/>
                          <w:i w:val="0"/>
                          <w:color w:val="000000"/>
                        </w:rPr>
                        <m:t>2</m:t>
                      </m:r>
                      <m:ctrlPr>
                        <w:rPr>
                          <w:rFonts w:hint="default" w:ascii="Cambria Math" w:hAnsi="Cambria Math" w:cs="Times New Roman"/>
                          <w:i/>
                          <w:color w:val="000000"/>
                        </w:rPr>
                      </m:ctrlPr>
                    </m:sub>
                  </m:sSub>
                  <m:ctrlPr>
                    <w:rPr>
                      <w:rFonts w:hint="default" w:ascii="Cambria Math" w:hAnsi="Cambria Math" w:cs="Times New Roman"/>
                      <w:i/>
                      <w:color w:val="000000"/>
                    </w:rPr>
                  </m:ctrlPr>
                </m:den>
              </m:f>
              <m:r>
                <m:rPr>
                  <m:nor/>
                  <m:sty m:val="p"/>
                </m:rPr>
                <w:rPr>
                  <w:rFonts w:hint="default" w:ascii="Times New Roman" w:hAnsi="Times New Roman" w:cs="Times New Roman"/>
                  <w:b w:val="0"/>
                  <w:i w:val="0"/>
                  <w:color w:val="000000"/>
                </w:rPr>
                <m:t>]</m:t>
              </m:r>
            </m:oMath>
            <w:r>
              <w:rPr>
                <w:rFonts w:hint="default" w:ascii="Times New Roman" w:hAnsi="Times New Roman" w:eastAsia="宋体" w:cs="Times New Roman"/>
                <w:color w:val="000000"/>
                <w:position w:val="-30"/>
                <w:szCs w:val="24"/>
                <w:highlight w:val="none"/>
              </w:rPr>
              <w:t xml:space="preserve">             （</w:t>
            </w:r>
            <w:r>
              <w:rPr>
                <w:rFonts w:hint="eastAsia" w:cs="Times New Roman"/>
                <w:color w:val="000000"/>
                <w:position w:val="-30"/>
                <w:szCs w:val="24"/>
                <w:highlight w:val="none"/>
                <w:lang w:val="en-US" w:eastAsia="zh-CN"/>
              </w:rPr>
              <w:t>4</w:t>
            </w:r>
            <w:r>
              <w:rPr>
                <w:rFonts w:hint="default" w:ascii="Times New Roman" w:hAnsi="Times New Roman" w:eastAsia="宋体" w:cs="Times New Roman"/>
                <w:color w:val="000000"/>
                <w:position w:val="-30"/>
                <w:szCs w:val="24"/>
                <w:highlight w:val="none"/>
                <w:lang w:eastAsia="zh-CN"/>
              </w:rPr>
              <w:t>.</w:t>
            </w:r>
            <w:r>
              <w:rPr>
                <w:rFonts w:hint="eastAsia" w:cs="Times New Roman"/>
                <w:color w:val="000000"/>
                <w:position w:val="-30"/>
                <w:szCs w:val="24"/>
                <w:highlight w:val="none"/>
                <w:lang w:val="en-US" w:eastAsia="zh-CN"/>
              </w:rPr>
              <w:t>3.2</w:t>
            </w:r>
            <w:r>
              <w:rPr>
                <w:rFonts w:hint="default" w:ascii="Times New Roman" w:hAnsi="Times New Roman" w:eastAsia="宋体" w:cs="Times New Roman"/>
                <w:color w:val="000000"/>
                <w:position w:val="-30"/>
                <w:szCs w:val="24"/>
                <w:highlight w:val="none"/>
              </w:rPr>
              <w:t>-8）</w:t>
            </w:r>
          </w:p>
          <w:p w14:paraId="34C13B00">
            <w:pPr>
              <w:keepNext w:val="0"/>
              <w:keepLines w:val="0"/>
              <w:pageBreakBefore w:val="0"/>
              <w:widowControl w:val="0"/>
              <w:kinsoku/>
              <w:wordWrap/>
              <w:overflowPunct/>
              <w:topLinePunct w:val="0"/>
              <w:autoSpaceDE/>
              <w:autoSpaceDN/>
              <w:bidi w:val="0"/>
              <w:adjustRightInd w:val="0"/>
              <w:snapToGrid w:val="0"/>
              <w:spacing w:before="93" w:line="460" w:lineRule="exact"/>
              <w:ind w:firstLine="720" w:firstLineChars="300"/>
              <w:textAlignment w:val="auto"/>
              <w:rPr>
                <w:rFonts w:hint="default" w:ascii="Times New Roman" w:hAnsi="Times New Roman" w:eastAsia="宋体" w:cs="Times New Roman"/>
                <w:color w:val="000000"/>
                <w:szCs w:val="28"/>
                <w:highlight w:val="none"/>
              </w:rPr>
            </w:pPr>
            <w:r>
              <w:rPr>
                <w:rFonts w:hint="default" w:ascii="Times New Roman" w:hAnsi="Times New Roman" w:cs="Times New Roman"/>
                <w:i/>
                <w:iCs/>
                <w:color w:val="000000"/>
                <w:highlight w:val="none"/>
                <w:lang w:val="en-US" w:eastAsia="zh-CN"/>
              </w:rPr>
              <w:t>v</w:t>
            </w:r>
            <w:r>
              <w:rPr>
                <w:rFonts w:hint="default" w:ascii="Times New Roman" w:hAnsi="Times New Roman" w:cs="Times New Roman"/>
                <w:i/>
                <w:iCs/>
                <w:color w:val="000000"/>
                <w:highlight w:val="none"/>
                <w:vertAlign w:val="subscript"/>
                <w:lang w:val="en-US" w:eastAsia="zh-CN"/>
              </w:rPr>
              <w:t>2</w:t>
            </w:r>
            <w:r>
              <w:rPr>
                <w:rFonts w:hint="default" w:ascii="Times New Roman" w:hAnsi="Times New Roman" w:cs="Times New Roman"/>
                <w:i/>
                <w:iCs/>
                <w:color w:val="000000"/>
                <w:highlight w:val="none"/>
              </w:rPr>
              <w:t>、</w:t>
            </w:r>
            <w:r>
              <w:rPr>
                <w:rFonts w:hint="default" w:ascii="Times New Roman" w:hAnsi="Times New Roman" w:cs="Times New Roman"/>
                <w:i/>
                <w:iCs/>
                <w:color w:val="000000"/>
                <w:highlight w:val="none"/>
                <w:lang w:val="en-US" w:eastAsia="zh-CN"/>
              </w:rPr>
              <w:t>v</w:t>
            </w:r>
            <w:r>
              <w:rPr>
                <w:rFonts w:hint="default" w:ascii="Times New Roman" w:hAnsi="Times New Roman" w:cs="Times New Roman"/>
                <w:i/>
                <w:iCs/>
                <w:color w:val="000000"/>
                <w:highlight w:val="none"/>
                <w:vertAlign w:val="subscript"/>
                <w:lang w:val="en-US" w:eastAsia="zh-CN"/>
              </w:rPr>
              <w:t>1</w:t>
            </w:r>
            <w:r>
              <w:rPr>
                <w:rFonts w:hint="default" w:ascii="Times New Roman" w:hAnsi="Times New Roman" w:eastAsia="宋体" w:cs="Times New Roman"/>
                <w:color w:val="000000"/>
                <w:szCs w:val="28"/>
                <w:highlight w:val="none"/>
              </w:rPr>
              <w:t>—分别为工程前、后平均流速；</w:t>
            </w:r>
          </w:p>
          <w:p w14:paraId="006D20DC">
            <w:pPr>
              <w:keepNext w:val="0"/>
              <w:keepLines w:val="0"/>
              <w:pageBreakBefore w:val="0"/>
              <w:widowControl w:val="0"/>
              <w:kinsoku/>
              <w:wordWrap/>
              <w:overflowPunct/>
              <w:topLinePunct w:val="0"/>
              <w:autoSpaceDE/>
              <w:autoSpaceDN/>
              <w:bidi w:val="0"/>
              <w:adjustRightInd w:val="0"/>
              <w:snapToGrid w:val="0"/>
              <w:spacing w:before="93"/>
              <w:ind w:firstLine="720" w:firstLineChars="300"/>
              <w:textAlignment w:val="auto"/>
              <w:rPr>
                <w:rFonts w:hint="default" w:ascii="Times New Roman" w:hAnsi="Times New Roman" w:eastAsia="宋体" w:cs="Times New Roman"/>
                <w:color w:val="000000"/>
                <w:szCs w:val="28"/>
                <w:highlight w:val="none"/>
              </w:rPr>
            </w:pPr>
            <w:r>
              <w:rPr>
                <w:rFonts w:hint="default" w:ascii="Times New Roman" w:hAnsi="Times New Roman" w:eastAsia="宋体" w:cs="Times New Roman"/>
                <w:i/>
                <w:iCs w:val="0"/>
                <w:color w:val="000000"/>
                <w:szCs w:val="28"/>
                <w:highlight w:val="none"/>
                <w:lang w:val="en-US" w:eastAsia="zh-CN"/>
              </w:rPr>
              <w:t>H</w:t>
            </w:r>
            <w:r>
              <w:rPr>
                <w:rFonts w:hint="default" w:ascii="Times New Roman" w:hAnsi="Times New Roman" w:eastAsia="宋体" w:cs="Times New Roman"/>
                <w:i/>
                <w:iCs w:val="0"/>
                <w:color w:val="000000"/>
                <w:szCs w:val="28"/>
                <w:highlight w:val="none"/>
                <w:vertAlign w:val="subscript"/>
                <w:lang w:val="en-US" w:eastAsia="zh-CN"/>
              </w:rPr>
              <w:t>1</w:t>
            </w:r>
            <w:r>
              <w:rPr>
                <w:rFonts w:hint="default" w:ascii="Times New Roman" w:hAnsi="Times New Roman" w:eastAsia="宋体" w:cs="Times New Roman"/>
                <w:iCs/>
                <w:color w:val="000000"/>
                <w:szCs w:val="28"/>
                <w:highlight w:val="none"/>
              </w:rPr>
              <w:t>和</w:t>
            </w:r>
            <w:r>
              <w:rPr>
                <w:rFonts w:hint="default" w:ascii="Times New Roman" w:hAnsi="Times New Roman" w:eastAsia="宋体" w:cs="Times New Roman"/>
                <w:i/>
                <w:iCs w:val="0"/>
                <w:color w:val="000000"/>
                <w:szCs w:val="28"/>
                <w:highlight w:val="none"/>
                <w:lang w:val="en-US" w:eastAsia="zh-CN"/>
              </w:rPr>
              <w:t>H</w:t>
            </w:r>
            <w:r>
              <w:rPr>
                <w:rFonts w:hint="default" w:ascii="Times New Roman" w:hAnsi="Times New Roman" w:eastAsia="宋体" w:cs="Times New Roman"/>
                <w:i/>
                <w:iCs w:val="0"/>
                <w:color w:val="000000"/>
                <w:szCs w:val="28"/>
                <w:highlight w:val="none"/>
                <w:vertAlign w:val="subscript"/>
                <w:lang w:val="en-US" w:eastAsia="zh-CN"/>
              </w:rPr>
              <w:t>2</w:t>
            </w:r>
            <w:r>
              <w:rPr>
                <w:rFonts w:hint="default" w:ascii="Times New Roman" w:hAnsi="Times New Roman" w:eastAsia="宋体" w:cs="Times New Roman"/>
                <w:color w:val="000000"/>
                <w:szCs w:val="28"/>
                <w:highlight w:val="none"/>
              </w:rPr>
              <w:t>—分别为工程前后的水深。</w:t>
            </w:r>
          </w:p>
          <w:p w14:paraId="51CA0D6B">
            <w:pPr>
              <w:keepNext w:val="0"/>
              <w:keepLines w:val="0"/>
              <w:pageBreakBefore w:val="0"/>
              <w:widowControl w:val="0"/>
              <w:kinsoku/>
              <w:wordWrap/>
              <w:overflowPunct/>
              <w:topLinePunct w:val="0"/>
              <w:autoSpaceDE/>
              <w:autoSpaceDN/>
              <w:bidi w:val="0"/>
              <w:adjustRightInd w:val="0"/>
              <w:snapToGrid w:val="0"/>
              <w:spacing w:before="93"/>
              <w:ind w:firstLine="720" w:firstLineChars="300"/>
              <w:textAlignment w:val="auto"/>
              <w:rPr>
                <w:rFonts w:hint="default" w:ascii="Times New Roman" w:hAnsi="Times New Roman" w:eastAsia="宋体" w:cs="Times New Roman"/>
                <w:iCs/>
                <w:color w:val="000000"/>
                <w:szCs w:val="28"/>
                <w:highlight w:val="none"/>
              </w:rPr>
            </w:pPr>
            <w:r>
              <w:rPr>
                <w:rFonts w:hint="default" w:ascii="Times New Roman" w:hAnsi="Times New Roman" w:eastAsia="宋体" w:cs="Times New Roman"/>
                <w:iCs/>
                <w:color w:val="000000"/>
                <w:szCs w:val="28"/>
                <w:highlight w:val="none"/>
              </w:rPr>
              <w:t>对式（</w:t>
            </w:r>
            <w:r>
              <w:rPr>
                <w:rFonts w:hint="eastAsia" w:cs="Times New Roman"/>
                <w:iCs/>
                <w:color w:val="000000"/>
                <w:szCs w:val="28"/>
                <w:highlight w:val="none"/>
                <w:lang w:val="en-US" w:eastAsia="zh-CN"/>
              </w:rPr>
              <w:t>4</w:t>
            </w:r>
            <w:r>
              <w:rPr>
                <w:rFonts w:hint="default" w:ascii="Times New Roman" w:hAnsi="Times New Roman" w:eastAsia="宋体" w:cs="Times New Roman"/>
                <w:iCs/>
                <w:color w:val="000000"/>
                <w:szCs w:val="28"/>
                <w:highlight w:val="none"/>
                <w:lang w:eastAsia="zh-CN"/>
              </w:rPr>
              <w:t>.</w:t>
            </w:r>
            <w:r>
              <w:rPr>
                <w:rFonts w:hint="eastAsia" w:cs="Times New Roman"/>
                <w:iCs/>
                <w:color w:val="000000"/>
                <w:szCs w:val="28"/>
                <w:highlight w:val="none"/>
                <w:lang w:val="en-US" w:eastAsia="zh-CN"/>
              </w:rPr>
              <w:t>3.2</w:t>
            </w:r>
            <w:r>
              <w:rPr>
                <w:rFonts w:hint="default" w:ascii="Times New Roman" w:hAnsi="Times New Roman" w:eastAsia="宋体" w:cs="Times New Roman"/>
                <w:iCs/>
                <w:color w:val="000000"/>
                <w:szCs w:val="28"/>
                <w:highlight w:val="none"/>
              </w:rPr>
              <w:t>-8）进行求解得到</w:t>
            </w:r>
            <w:r>
              <w:rPr>
                <w:rFonts w:hint="default" w:ascii="Times New Roman" w:hAnsi="Times New Roman" w:eastAsia="宋体" w:cs="Times New Roman"/>
                <w:i/>
                <w:iCs w:val="0"/>
                <w:color w:val="000000"/>
                <w:szCs w:val="28"/>
                <w:highlight w:val="none"/>
                <w:lang w:val="en-US" w:eastAsia="zh-CN"/>
              </w:rPr>
              <w:t>H</w:t>
            </w:r>
            <w:r>
              <w:rPr>
                <w:rFonts w:hint="default" w:ascii="Times New Roman" w:hAnsi="Times New Roman" w:eastAsia="宋体" w:cs="Times New Roman"/>
                <w:i/>
                <w:iCs w:val="0"/>
                <w:color w:val="000000"/>
                <w:szCs w:val="28"/>
                <w:highlight w:val="none"/>
                <w:vertAlign w:val="subscript"/>
                <w:lang w:val="en-US" w:eastAsia="zh-CN"/>
              </w:rPr>
              <w:t>2</w:t>
            </w:r>
            <w:r>
              <w:rPr>
                <w:rFonts w:hint="default" w:ascii="Times New Roman" w:hAnsi="Times New Roman" w:eastAsia="宋体" w:cs="Times New Roman"/>
                <w:iCs/>
                <w:color w:val="000000"/>
                <w:szCs w:val="28"/>
                <w:highlight w:val="none"/>
              </w:rPr>
              <w:t>，经推导可得</w:t>
            </w:r>
            <w:r>
              <w:rPr>
                <w:rFonts w:hint="default" w:ascii="Times New Roman" w:hAnsi="Times New Roman" w:cs="Times New Roman"/>
                <w:i/>
                <w:iCs/>
                <w:color w:val="000000"/>
                <w:highlight w:val="none"/>
              </w:rPr>
              <w:t>△</w:t>
            </w:r>
            <w:r>
              <w:rPr>
                <w:rFonts w:hint="default" w:ascii="Times New Roman" w:hAnsi="Times New Roman" w:eastAsia="宋体" w:cs="Times New Roman"/>
                <w:i/>
                <w:iCs w:val="0"/>
                <w:color w:val="000000"/>
                <w:szCs w:val="28"/>
                <w:highlight w:val="none"/>
                <w:lang w:val="en-US" w:eastAsia="zh-CN"/>
              </w:rPr>
              <w:t>H</w:t>
            </w:r>
            <w:r>
              <w:rPr>
                <w:rFonts w:hint="default" w:ascii="Times New Roman" w:hAnsi="Times New Roman" w:eastAsia="宋体" w:cs="Times New Roman"/>
                <w:iCs/>
                <w:color w:val="000000"/>
                <w:szCs w:val="28"/>
                <w:highlight w:val="none"/>
              </w:rPr>
              <w:t>的两个解：</w:t>
            </w:r>
          </w:p>
          <w:p w14:paraId="60D28A38">
            <w:pPr>
              <w:adjustRightInd/>
              <w:snapToGrid/>
              <w:jc w:val="right"/>
              <w:rPr>
                <w:rFonts w:hint="default" w:ascii="Times New Roman" w:hAnsi="Times New Roman" w:eastAsia="宋体" w:cs="Times New Roman"/>
                <w:color w:val="000000"/>
                <w:szCs w:val="28"/>
                <w:highlight w:val="none"/>
              </w:rPr>
            </w:pPr>
            <m:oMath>
              <m:r>
                <m:rPr>
                  <m:nor/>
                  <m:sty m:val="p"/>
                </m:rPr>
                <w:rPr>
                  <w:rFonts w:hint="default" w:ascii="Times New Roman" w:hAnsi="Times New Roman" w:cs="Times New Roman"/>
                  <w:b w:val="0"/>
                  <w:i w:val="0"/>
                  <w:color w:val="000000"/>
                </w:rPr>
                <m:t>△</m:t>
              </m:r>
              <m:r>
                <m:rPr>
                  <m:nor/>
                </m:rPr>
                <w:rPr>
                  <w:rFonts w:hint="default" w:ascii="Times New Roman" w:hAnsi="Times New Roman" w:cs="Times New Roman"/>
                  <w:i/>
                  <w:color w:val="000000"/>
                </w:rPr>
                <m:t>H</m:t>
              </m:r>
              <m:r>
                <m:rPr>
                  <m:nor/>
                  <m:sty m:val="p"/>
                </m:rPr>
                <w:rPr>
                  <w:rFonts w:hint="default" w:ascii="Times New Roman" w:hAnsi="Times New Roman" w:cs="Times New Roman"/>
                  <w:b w:val="0"/>
                  <w:i w:val="0"/>
                  <w:color w:val="000000"/>
                </w:rPr>
                <m:t>=</m:t>
              </m:r>
              <m:sSub>
                <m:sSubPr>
                  <m:ctrlPr>
                    <w:rPr>
                      <w:rFonts w:hint="default" w:ascii="Cambria Math" w:hAnsi="Cambria Math" w:cs="Times New Roman"/>
                      <w:i/>
                      <w:iCs/>
                      <w:color w:val="000000"/>
                    </w:rPr>
                  </m:ctrlPr>
                </m:sSubPr>
                <m:e>
                  <m:r>
                    <m:rPr>
                      <m:nor/>
                    </m:rPr>
                    <w:rPr>
                      <w:rFonts w:hint="default" w:ascii="Times New Roman" w:hAnsi="Times New Roman" w:cs="Times New Roman"/>
                      <w:i/>
                      <w:color w:val="000000"/>
                    </w:rPr>
                    <m:t>H</m:t>
                  </m:r>
                  <m:ctrlPr>
                    <w:rPr>
                      <w:rFonts w:hint="default" w:ascii="Cambria Math" w:hAnsi="Cambria Math" w:cs="Times New Roman"/>
                      <w:i/>
                      <w:iCs/>
                      <w:color w:val="000000"/>
                    </w:rPr>
                  </m:ctrlPr>
                </m:e>
                <m:sub>
                  <m:r>
                    <m:rPr>
                      <m:nor/>
                      <m:sty m:val="p"/>
                    </m:rPr>
                    <w:rPr>
                      <w:rFonts w:hint="default" w:ascii="Times New Roman" w:hAnsi="Times New Roman" w:cs="Times New Roman"/>
                      <w:b w:val="0"/>
                      <w:i w:val="0"/>
                      <w:color w:val="000000"/>
                    </w:rPr>
                    <m:t>1</m:t>
                  </m:r>
                  <m:ctrlPr>
                    <w:rPr>
                      <w:rFonts w:hint="default" w:ascii="Cambria Math" w:hAnsi="Cambria Math" w:cs="Times New Roman"/>
                      <w:i/>
                      <w:iCs/>
                      <w:color w:val="000000"/>
                    </w:rPr>
                  </m:ctrlPr>
                </m:sub>
              </m:sSub>
              <m:r>
                <m:rPr>
                  <m:nor/>
                  <m:sty m:val="p"/>
                </m:rPr>
                <w:rPr>
                  <w:rFonts w:hint="default" w:ascii="Times New Roman" w:hAnsi="Times New Roman" w:cs="Times New Roman"/>
                  <w:b w:val="0"/>
                  <w:i w:val="0"/>
                  <w:color w:val="000000"/>
                </w:rPr>
                <m:t>−</m:t>
              </m:r>
              <m:sSub>
                <m:sSubPr>
                  <m:ctrlPr>
                    <w:rPr>
                      <w:rFonts w:hint="default" w:ascii="Cambria Math" w:hAnsi="Cambria Math" w:cs="Times New Roman"/>
                      <w:i/>
                      <w:iCs/>
                      <w:color w:val="000000"/>
                    </w:rPr>
                  </m:ctrlPr>
                </m:sSubPr>
                <m:e>
                  <m:r>
                    <m:rPr>
                      <m:nor/>
                    </m:rPr>
                    <w:rPr>
                      <w:rFonts w:hint="default" w:ascii="Times New Roman" w:hAnsi="Times New Roman" w:cs="Times New Roman"/>
                      <w:i/>
                      <w:color w:val="000000"/>
                    </w:rPr>
                    <m:t>H</m:t>
                  </m:r>
                  <m:ctrlPr>
                    <w:rPr>
                      <w:rFonts w:hint="default" w:ascii="Cambria Math" w:hAnsi="Cambria Math" w:cs="Times New Roman"/>
                      <w:i/>
                      <w:iCs/>
                      <w:color w:val="000000"/>
                    </w:rPr>
                  </m:ctrlPr>
                </m:e>
                <m:sub>
                  <m:r>
                    <m:rPr>
                      <m:nor/>
                      <m:sty m:val="p"/>
                    </m:rPr>
                    <w:rPr>
                      <w:rFonts w:hint="default" w:ascii="Times New Roman" w:hAnsi="Times New Roman" w:cs="Times New Roman"/>
                      <w:b w:val="0"/>
                      <w:i w:val="0"/>
                      <w:color w:val="000000"/>
                    </w:rPr>
                    <m:t>2</m:t>
                  </m:r>
                  <m:ctrlPr>
                    <w:rPr>
                      <w:rFonts w:hint="default" w:ascii="Cambria Math" w:hAnsi="Cambria Math" w:cs="Times New Roman"/>
                      <w:i/>
                      <w:iCs/>
                      <w:color w:val="000000"/>
                    </w:rPr>
                  </m:ctrlPr>
                </m:sub>
              </m:sSub>
              <m:r>
                <m:rPr>
                  <m:nor/>
                  <m:sty m:val="p"/>
                </m:rPr>
                <w:rPr>
                  <w:rFonts w:hint="default" w:ascii="Times New Roman" w:hAnsi="Times New Roman" w:cs="Times New Roman"/>
                  <w:b w:val="0"/>
                  <w:i w:val="0"/>
                  <w:color w:val="000000"/>
                </w:rPr>
                <m:t>=0.5[</m:t>
              </m:r>
              <m:d>
                <m:dPr>
                  <m:ctrlPr>
                    <w:rPr>
                      <w:rFonts w:hint="default" w:ascii="Cambria Math" w:hAnsi="Cambria Math" w:cs="Times New Roman"/>
                      <w:i/>
                      <w:iCs/>
                      <w:color w:val="000000"/>
                    </w:rPr>
                  </m:ctrlPr>
                </m:dPr>
                <m:e>
                  <m:sSub>
                    <m:sSubPr>
                      <m:ctrlPr>
                        <w:rPr>
                          <w:rFonts w:hint="default" w:ascii="Cambria Math" w:hAnsi="Cambria Math" w:cs="Times New Roman"/>
                          <w:i/>
                          <w:iCs/>
                          <w:color w:val="000000"/>
                        </w:rPr>
                      </m:ctrlPr>
                    </m:sSubPr>
                    <m:e>
                      <m:r>
                        <m:rPr>
                          <m:nor/>
                        </m:rPr>
                        <w:rPr>
                          <w:rFonts w:hint="default" w:ascii="Times New Roman" w:hAnsi="Times New Roman" w:cs="Times New Roman"/>
                          <w:i/>
                          <w:color w:val="000000"/>
                        </w:rPr>
                        <m:t>H</m:t>
                      </m:r>
                      <m:ctrlPr>
                        <w:rPr>
                          <w:rFonts w:hint="default" w:ascii="Cambria Math" w:hAnsi="Cambria Math" w:cs="Times New Roman"/>
                          <w:i/>
                          <w:iCs/>
                          <w:color w:val="000000"/>
                        </w:rPr>
                      </m:ctrlPr>
                    </m:e>
                    <m:sub>
                      <m:r>
                        <m:rPr>
                          <m:nor/>
                          <m:sty m:val="p"/>
                        </m:rPr>
                        <w:rPr>
                          <w:rFonts w:hint="default" w:ascii="Times New Roman" w:hAnsi="Times New Roman" w:cs="Times New Roman"/>
                          <w:b w:val="0"/>
                          <w:i w:val="0"/>
                          <w:color w:val="000000"/>
                        </w:rPr>
                        <m:t>1</m:t>
                      </m:r>
                      <m:ctrlPr>
                        <w:rPr>
                          <w:rFonts w:hint="default" w:ascii="Cambria Math" w:hAnsi="Cambria Math" w:cs="Times New Roman"/>
                          <w:i/>
                          <w:iCs/>
                          <w:color w:val="000000"/>
                        </w:rPr>
                      </m:ctrlPr>
                    </m:sub>
                  </m:sSub>
                  <m:r>
                    <m:rPr>
                      <m:nor/>
                      <m:sty m:val="p"/>
                    </m:rPr>
                    <w:rPr>
                      <w:rFonts w:hint="default" w:ascii="Times New Roman" w:hAnsi="Times New Roman" w:cs="Times New Roman"/>
                      <w:b w:val="0"/>
                      <w:i w:val="0"/>
                      <w:color w:val="000000"/>
                    </w:rPr>
                    <m:t>+</m:t>
                  </m:r>
                  <m:r>
                    <m:rPr>
                      <m:nor/>
                    </m:rPr>
                    <w:rPr>
                      <w:rFonts w:hint="default" w:ascii="Times New Roman" w:hAnsi="Times New Roman" w:cs="Times New Roman"/>
                      <w:i/>
                      <w:color w:val="000000"/>
                    </w:rPr>
                    <m:t>β</m:t>
                  </m:r>
                  <m:r>
                    <m:rPr>
                      <m:nor/>
                      <m:sty m:val="p"/>
                    </m:rPr>
                    <w:rPr>
                      <w:rFonts w:hint="default" w:ascii="Times New Roman" w:hAnsi="Times New Roman" w:cs="Times New Roman"/>
                      <w:b w:val="0"/>
                      <w:i w:val="0"/>
                      <w:color w:val="000000"/>
                    </w:rPr>
                    <m:t>△</m:t>
                  </m:r>
                  <m:r>
                    <m:rPr>
                      <m:nor/>
                    </m:rPr>
                    <w:rPr>
                      <w:rFonts w:hint="default" w:ascii="Times New Roman" w:hAnsi="Times New Roman" w:cs="Times New Roman"/>
                      <w:i/>
                      <w:color w:val="000000"/>
                    </w:rPr>
                    <m:t>t</m:t>
                  </m:r>
                  <m:ctrlPr>
                    <w:rPr>
                      <w:rFonts w:hint="default" w:ascii="Cambria Math" w:hAnsi="Cambria Math" w:cs="Times New Roman"/>
                      <w:i/>
                      <w:iCs/>
                      <w:color w:val="000000"/>
                    </w:rPr>
                  </m:ctrlPr>
                </m:e>
              </m:d>
              <m:r>
                <m:rPr>
                  <m:nor/>
                  <m:sty m:val="p"/>
                </m:rPr>
                <w:rPr>
                  <w:rFonts w:hint="default" w:ascii="Times New Roman" w:hAnsi="Times New Roman" w:cs="Times New Roman"/>
                  <w:b w:val="0"/>
                  <w:i w:val="0"/>
                  <w:color w:val="000000"/>
                </w:rPr>
                <m:t>−</m:t>
              </m:r>
              <m:rad>
                <m:radPr>
                  <m:degHide m:val="1"/>
                  <m:ctrlPr>
                    <w:rPr>
                      <w:rFonts w:hint="default" w:ascii="Cambria Math" w:hAnsi="Cambria Math" w:cs="Times New Roman"/>
                      <w:i/>
                      <w:iCs/>
                      <w:color w:val="000000"/>
                    </w:rPr>
                  </m:ctrlPr>
                </m:radPr>
                <m:deg>
                  <m:ctrlPr>
                    <w:rPr>
                      <w:rFonts w:hint="default" w:ascii="Cambria Math" w:hAnsi="Cambria Math" w:cs="Times New Roman"/>
                      <w:i/>
                      <w:iCs/>
                      <w:color w:val="000000"/>
                    </w:rPr>
                  </m:ctrlPr>
                </m:deg>
                <m:e>
                  <m:sSup>
                    <m:sSupPr>
                      <m:ctrlPr>
                        <w:rPr>
                          <w:rFonts w:hint="default" w:ascii="Cambria Math" w:hAnsi="Cambria Math" w:cs="Times New Roman"/>
                          <w:i/>
                          <w:iCs/>
                          <w:color w:val="000000"/>
                        </w:rPr>
                      </m:ctrlPr>
                    </m:sSupPr>
                    <m:e>
                      <m:r>
                        <m:rPr>
                          <m:nor/>
                          <m:sty m:val="p"/>
                        </m:rPr>
                        <w:rPr>
                          <w:rFonts w:hint="default" w:ascii="Times New Roman" w:hAnsi="Times New Roman" w:cs="Times New Roman"/>
                          <w:b w:val="0"/>
                          <w:i w:val="0"/>
                          <w:color w:val="000000"/>
                        </w:rPr>
                        <m:t>(</m:t>
                      </m:r>
                      <m:r>
                        <m:rPr>
                          <m:nor/>
                        </m:rPr>
                        <w:rPr>
                          <w:rFonts w:hint="default" w:ascii="Times New Roman" w:hAnsi="Times New Roman" w:cs="Times New Roman"/>
                          <w:i/>
                          <w:color w:val="000000"/>
                        </w:rPr>
                        <m:t>β</m:t>
                      </m:r>
                      <m:r>
                        <m:rPr>
                          <m:nor/>
                          <m:sty m:val="p"/>
                        </m:rPr>
                        <w:rPr>
                          <w:rFonts w:hint="default" w:ascii="Times New Roman" w:hAnsi="Times New Roman" w:cs="Times New Roman"/>
                          <w:b w:val="0"/>
                          <w:i w:val="0"/>
                          <w:color w:val="000000"/>
                        </w:rPr>
                        <m:t>△</m:t>
                      </m:r>
                      <m:r>
                        <m:rPr>
                          <m:nor/>
                        </m:rPr>
                        <w:rPr>
                          <w:rFonts w:hint="default" w:ascii="Times New Roman" w:hAnsi="Times New Roman" w:cs="Times New Roman"/>
                          <w:i/>
                          <w:color w:val="000000"/>
                        </w:rPr>
                        <m:t>t</m:t>
                      </m:r>
                      <m:r>
                        <m:rPr>
                          <m:nor/>
                          <m:sty m:val="p"/>
                        </m:rPr>
                        <w:rPr>
                          <w:rFonts w:hint="default" w:ascii="Times New Roman" w:hAnsi="Times New Roman" w:cs="Times New Roman"/>
                          <w:b w:val="0"/>
                          <w:i w:val="0"/>
                          <w:color w:val="000000"/>
                        </w:rPr>
                        <m:t>−</m:t>
                      </m:r>
                      <m:sSub>
                        <m:sSubPr>
                          <m:ctrlPr>
                            <w:rPr>
                              <w:rFonts w:hint="default" w:ascii="Cambria Math" w:hAnsi="Cambria Math" w:cs="Times New Roman"/>
                              <w:i/>
                              <w:iCs/>
                              <w:color w:val="000000"/>
                            </w:rPr>
                          </m:ctrlPr>
                        </m:sSubPr>
                        <m:e>
                          <m:r>
                            <m:rPr>
                              <m:nor/>
                            </m:rPr>
                            <w:rPr>
                              <w:rFonts w:hint="default" w:ascii="Times New Roman" w:hAnsi="Times New Roman" w:cs="Times New Roman"/>
                              <w:i/>
                              <w:color w:val="000000"/>
                            </w:rPr>
                            <m:t>H</m:t>
                          </m:r>
                          <m:ctrlPr>
                            <w:rPr>
                              <w:rFonts w:hint="default" w:ascii="Cambria Math" w:hAnsi="Cambria Math" w:cs="Times New Roman"/>
                              <w:i/>
                              <w:iCs/>
                              <w:color w:val="000000"/>
                            </w:rPr>
                          </m:ctrlPr>
                        </m:e>
                        <m:sub>
                          <m:r>
                            <m:rPr>
                              <m:nor/>
                              <m:sty m:val="p"/>
                            </m:rPr>
                            <w:rPr>
                              <w:rFonts w:hint="default" w:ascii="Times New Roman" w:hAnsi="Times New Roman" w:cs="Times New Roman"/>
                              <w:b w:val="0"/>
                              <w:i w:val="0"/>
                              <w:color w:val="000000"/>
                            </w:rPr>
                            <m:t>1</m:t>
                          </m:r>
                          <m:ctrlPr>
                            <w:rPr>
                              <w:rFonts w:hint="default" w:ascii="Cambria Math" w:hAnsi="Cambria Math" w:cs="Times New Roman"/>
                              <w:i/>
                              <w:iCs/>
                              <w:color w:val="000000"/>
                            </w:rPr>
                          </m:ctrlPr>
                        </m:sub>
                      </m:sSub>
                      <m:r>
                        <m:rPr>
                          <m:nor/>
                          <m:sty m:val="p"/>
                        </m:rPr>
                        <w:rPr>
                          <w:rFonts w:hint="default" w:ascii="Times New Roman" w:hAnsi="Times New Roman" w:cs="Times New Roman"/>
                          <w:b w:val="0"/>
                          <w:i w:val="0"/>
                          <w:color w:val="000000"/>
                        </w:rPr>
                        <m:t>)</m:t>
                      </m:r>
                      <m:ctrlPr>
                        <w:rPr>
                          <w:rFonts w:hint="default" w:ascii="Cambria Math" w:hAnsi="Cambria Math" w:cs="Times New Roman"/>
                          <w:i/>
                          <w:iCs/>
                          <w:color w:val="000000"/>
                        </w:rPr>
                      </m:ctrlPr>
                    </m:e>
                    <m:sup>
                      <m:r>
                        <m:rPr>
                          <m:nor/>
                          <m:sty m:val="p"/>
                        </m:rPr>
                        <w:rPr>
                          <w:rFonts w:hint="default" w:ascii="Times New Roman" w:hAnsi="Times New Roman" w:cs="Times New Roman"/>
                          <w:b w:val="0"/>
                          <w:i w:val="0"/>
                          <w:color w:val="000000"/>
                        </w:rPr>
                        <m:t>2</m:t>
                      </m:r>
                      <m:ctrlPr>
                        <w:rPr>
                          <w:rFonts w:hint="default" w:ascii="Cambria Math" w:hAnsi="Cambria Math" w:cs="Times New Roman"/>
                          <w:i/>
                          <w:iCs/>
                          <w:color w:val="000000"/>
                        </w:rPr>
                      </m:ctrlPr>
                    </m:sup>
                  </m:sSup>
                  <m:r>
                    <m:rPr>
                      <m:nor/>
                      <m:sty m:val="p"/>
                    </m:rPr>
                    <w:rPr>
                      <w:rFonts w:hint="default" w:ascii="Times New Roman" w:hAnsi="Times New Roman" w:cs="Times New Roman"/>
                      <w:b w:val="0"/>
                      <w:i w:val="0"/>
                      <w:color w:val="000000"/>
                    </w:rPr>
                    <m:t>+4</m:t>
                  </m:r>
                  <m:r>
                    <m:rPr>
                      <m:nor/>
                    </m:rPr>
                    <w:rPr>
                      <w:rFonts w:hint="default" w:ascii="Times New Roman" w:hAnsi="Times New Roman" w:cs="Times New Roman"/>
                      <w:i/>
                      <w:color w:val="000000"/>
                    </w:rPr>
                    <m:t>β</m:t>
                  </m:r>
                  <m:r>
                    <m:rPr>
                      <m:nor/>
                      <m:sty m:val="p"/>
                    </m:rPr>
                    <w:rPr>
                      <w:rFonts w:hint="default" w:ascii="Times New Roman" w:hAnsi="Times New Roman" w:cs="Times New Roman"/>
                      <w:b w:val="0"/>
                      <w:i w:val="0"/>
                      <w:color w:val="000000"/>
                    </w:rPr>
                    <m:t>△</m:t>
                  </m:r>
                  <m:r>
                    <m:rPr>
                      <m:nor/>
                    </m:rPr>
                    <w:rPr>
                      <w:rFonts w:hint="default" w:ascii="Times New Roman" w:hAnsi="Times New Roman" w:cs="Times New Roman"/>
                      <w:i/>
                      <w:color w:val="000000"/>
                    </w:rPr>
                    <m:t>t</m:t>
                  </m:r>
                  <m:sSup>
                    <m:sSupPr>
                      <m:ctrlPr>
                        <w:rPr>
                          <w:rFonts w:hint="default" w:ascii="Cambria Math" w:hAnsi="Cambria Math" w:cs="Times New Roman"/>
                          <w:i/>
                          <w:iCs/>
                          <w:color w:val="000000"/>
                        </w:rPr>
                      </m:ctrlPr>
                    </m:sSupPr>
                    <m:e>
                      <m:r>
                        <m:rPr>
                          <m:nor/>
                        </m:rPr>
                        <w:rPr>
                          <w:rFonts w:hint="default" w:ascii="Times New Roman" w:hAnsi="Times New Roman" w:cs="Times New Roman"/>
                          <w:i/>
                          <w:color w:val="000000"/>
                        </w:rPr>
                        <m:t>K</m:t>
                      </m:r>
                      <m:ctrlPr>
                        <w:rPr>
                          <w:rFonts w:hint="default" w:ascii="Cambria Math" w:hAnsi="Cambria Math" w:cs="Times New Roman"/>
                          <w:i/>
                          <w:iCs/>
                          <w:color w:val="000000"/>
                        </w:rPr>
                      </m:ctrlPr>
                    </m:e>
                    <m:sup>
                      <m:r>
                        <m:rPr>
                          <m:nor/>
                          <m:sty m:val="p"/>
                        </m:rPr>
                        <w:rPr>
                          <w:rFonts w:hint="default" w:ascii="Times New Roman" w:hAnsi="Times New Roman" w:cs="Times New Roman"/>
                          <w:b w:val="0"/>
                          <w:i w:val="0"/>
                          <w:color w:val="000000"/>
                        </w:rPr>
                        <m:t>2</m:t>
                      </m:r>
                      <m:ctrlPr>
                        <w:rPr>
                          <w:rFonts w:hint="default" w:ascii="Cambria Math" w:hAnsi="Cambria Math" w:cs="Times New Roman"/>
                          <w:i/>
                          <w:iCs/>
                          <w:color w:val="000000"/>
                        </w:rPr>
                      </m:ctrlPr>
                    </m:sup>
                  </m:sSup>
                  <m:sSub>
                    <m:sSubPr>
                      <m:ctrlPr>
                        <w:rPr>
                          <w:rFonts w:hint="default" w:ascii="Cambria Math" w:hAnsi="Cambria Math" w:cs="Times New Roman"/>
                          <w:i/>
                          <w:iCs/>
                          <w:color w:val="000000"/>
                        </w:rPr>
                      </m:ctrlPr>
                    </m:sSubPr>
                    <m:e>
                      <m:r>
                        <m:rPr>
                          <m:nor/>
                        </m:rPr>
                        <w:rPr>
                          <w:rFonts w:hint="default" w:ascii="Times New Roman" w:hAnsi="Times New Roman" w:cs="Times New Roman"/>
                          <w:i/>
                          <w:color w:val="000000"/>
                        </w:rPr>
                        <m:t>H</m:t>
                      </m:r>
                      <m:ctrlPr>
                        <w:rPr>
                          <w:rFonts w:hint="default" w:ascii="Cambria Math" w:hAnsi="Cambria Math" w:cs="Times New Roman"/>
                          <w:i/>
                          <w:iCs/>
                          <w:color w:val="000000"/>
                        </w:rPr>
                      </m:ctrlPr>
                    </m:e>
                    <m:sub>
                      <m:r>
                        <m:rPr>
                          <m:nor/>
                          <m:sty m:val="p"/>
                        </m:rPr>
                        <w:rPr>
                          <w:rFonts w:hint="default" w:ascii="Times New Roman" w:hAnsi="Times New Roman" w:cs="Times New Roman"/>
                          <w:b w:val="0"/>
                          <w:i w:val="0"/>
                          <w:color w:val="000000"/>
                        </w:rPr>
                        <m:t>1</m:t>
                      </m:r>
                      <m:ctrlPr>
                        <w:rPr>
                          <w:rFonts w:hint="default" w:ascii="Cambria Math" w:hAnsi="Cambria Math" w:cs="Times New Roman"/>
                          <w:i/>
                          <w:iCs/>
                          <w:color w:val="000000"/>
                        </w:rPr>
                      </m:ctrlPr>
                    </m:sub>
                  </m:sSub>
                  <m:ctrlPr>
                    <w:rPr>
                      <w:rFonts w:hint="default" w:ascii="Cambria Math" w:hAnsi="Cambria Math" w:cs="Times New Roman"/>
                      <w:i/>
                      <w:iCs/>
                      <w:color w:val="000000"/>
                    </w:rPr>
                  </m:ctrlPr>
                </m:e>
              </m:rad>
              <m:r>
                <m:rPr>
                  <m:nor/>
                  <m:sty m:val="p"/>
                </m:rPr>
                <w:rPr>
                  <w:rFonts w:hint="default" w:ascii="Times New Roman" w:hAnsi="Times New Roman" w:cs="Times New Roman"/>
                  <w:b w:val="0"/>
                  <w:i w:val="0"/>
                  <w:color w:val="000000"/>
                </w:rPr>
                <m:t>]</m:t>
              </m:r>
            </m:oMath>
            <w:r>
              <w:rPr>
                <w:rFonts w:hint="default" w:ascii="Times New Roman" w:hAnsi="Times New Roman" w:eastAsia="宋体" w:cs="Times New Roman"/>
                <w:b w:val="0"/>
                <w:i w:val="0"/>
                <w:color w:val="000000"/>
                <w:szCs w:val="28"/>
                <w:highlight w:val="none"/>
                <w:lang w:val="en-US" w:eastAsia="zh-CN"/>
              </w:rPr>
              <w:t xml:space="preserve">    </w:t>
            </w:r>
            <w:r>
              <w:rPr>
                <w:rFonts w:hint="default" w:ascii="Times New Roman" w:hAnsi="Times New Roman" w:eastAsia="宋体" w:cs="Times New Roman"/>
                <w:color w:val="000000"/>
                <w:szCs w:val="28"/>
                <w:highlight w:val="none"/>
              </w:rPr>
              <w:t>（</w:t>
            </w:r>
            <w:r>
              <w:rPr>
                <w:rFonts w:hint="eastAsia" w:cs="Times New Roman"/>
                <w:color w:val="000000"/>
                <w:szCs w:val="28"/>
                <w:highlight w:val="none"/>
                <w:lang w:val="en-US" w:eastAsia="zh-CN"/>
              </w:rPr>
              <w:t>4</w:t>
            </w:r>
            <w:r>
              <w:rPr>
                <w:rFonts w:hint="default" w:ascii="Times New Roman" w:hAnsi="Times New Roman" w:eastAsia="宋体" w:cs="Times New Roman"/>
                <w:color w:val="000000"/>
                <w:szCs w:val="28"/>
                <w:highlight w:val="none"/>
                <w:lang w:eastAsia="zh-CN"/>
              </w:rPr>
              <w:t>.</w:t>
            </w:r>
            <w:r>
              <w:rPr>
                <w:rFonts w:hint="eastAsia" w:cs="Times New Roman"/>
                <w:color w:val="000000"/>
                <w:szCs w:val="28"/>
                <w:highlight w:val="none"/>
                <w:lang w:val="en-US" w:eastAsia="zh-CN"/>
              </w:rPr>
              <w:t>3.2</w:t>
            </w:r>
            <w:r>
              <w:rPr>
                <w:rFonts w:hint="default" w:ascii="Times New Roman" w:hAnsi="Times New Roman" w:eastAsia="宋体" w:cs="Times New Roman"/>
                <w:color w:val="000000"/>
                <w:szCs w:val="28"/>
                <w:highlight w:val="none"/>
              </w:rPr>
              <w:t>-9）</w:t>
            </w:r>
          </w:p>
          <w:p w14:paraId="2E931D06">
            <w:pPr>
              <w:adjustRightInd/>
              <w:snapToGrid/>
              <w:ind w:left="0" w:leftChars="0" w:firstLine="0" w:firstLineChars="0"/>
              <w:jc w:val="right"/>
              <w:rPr>
                <w:rFonts w:hint="default" w:ascii="Times New Roman" w:hAnsi="Times New Roman" w:eastAsia="宋体" w:cs="Times New Roman"/>
                <w:color w:val="000000"/>
                <w:szCs w:val="28"/>
                <w:highlight w:val="none"/>
              </w:rPr>
            </w:pPr>
            <m:oMath>
              <m:r>
                <m:rPr>
                  <m:nor/>
                  <m:sty m:val="p"/>
                </m:rPr>
                <w:rPr>
                  <w:rFonts w:hint="default" w:ascii="Times New Roman" w:hAnsi="Times New Roman" w:cs="Times New Roman"/>
                  <w:b w:val="0"/>
                  <w:i w:val="0"/>
                  <w:color w:val="000000"/>
                </w:rPr>
                <m:t>△</m:t>
              </m:r>
              <m:r>
                <m:rPr>
                  <m:nor/>
                </m:rPr>
                <w:rPr>
                  <w:rFonts w:hint="default" w:ascii="Times New Roman" w:hAnsi="Times New Roman" w:cs="Times New Roman"/>
                  <w:i/>
                  <w:color w:val="000000"/>
                </w:rPr>
                <m:t>H</m:t>
              </m:r>
              <m:r>
                <m:rPr>
                  <m:nor/>
                  <m:sty m:val="p"/>
                </m:rPr>
                <w:rPr>
                  <w:rFonts w:hint="default" w:ascii="Times New Roman" w:hAnsi="Times New Roman" w:cs="Times New Roman"/>
                  <w:b w:val="0"/>
                  <w:i w:val="0"/>
                  <w:color w:val="000000"/>
                </w:rPr>
                <m:t>=</m:t>
              </m:r>
              <m:sSub>
                <m:sSubPr>
                  <m:ctrlPr>
                    <w:rPr>
                      <w:rFonts w:hint="default" w:ascii="Cambria Math" w:hAnsi="Cambria Math" w:cs="Times New Roman"/>
                      <w:i/>
                      <w:iCs/>
                      <w:color w:val="000000"/>
                    </w:rPr>
                  </m:ctrlPr>
                </m:sSubPr>
                <m:e>
                  <m:r>
                    <m:rPr>
                      <m:nor/>
                    </m:rPr>
                    <w:rPr>
                      <w:rFonts w:hint="default" w:ascii="Times New Roman" w:hAnsi="Times New Roman" w:cs="Times New Roman"/>
                      <w:i/>
                      <w:color w:val="000000"/>
                    </w:rPr>
                    <m:t>H</m:t>
                  </m:r>
                  <m:ctrlPr>
                    <w:rPr>
                      <w:rFonts w:hint="default" w:ascii="Cambria Math" w:hAnsi="Cambria Math" w:cs="Times New Roman"/>
                      <w:i/>
                      <w:iCs/>
                      <w:color w:val="000000"/>
                    </w:rPr>
                  </m:ctrlPr>
                </m:e>
                <m:sub>
                  <m:r>
                    <m:rPr>
                      <m:nor/>
                      <m:sty m:val="p"/>
                    </m:rPr>
                    <w:rPr>
                      <w:rFonts w:hint="default" w:ascii="Times New Roman" w:hAnsi="Times New Roman" w:cs="Times New Roman"/>
                      <w:b w:val="0"/>
                      <w:i w:val="0"/>
                      <w:color w:val="000000"/>
                    </w:rPr>
                    <m:t>1</m:t>
                  </m:r>
                  <m:ctrlPr>
                    <w:rPr>
                      <w:rFonts w:hint="default" w:ascii="Cambria Math" w:hAnsi="Cambria Math" w:cs="Times New Roman"/>
                      <w:i/>
                      <w:iCs/>
                      <w:color w:val="000000"/>
                    </w:rPr>
                  </m:ctrlPr>
                </m:sub>
              </m:sSub>
              <m:r>
                <m:rPr>
                  <m:nor/>
                  <m:sty m:val="p"/>
                </m:rPr>
                <w:rPr>
                  <w:rFonts w:hint="default" w:ascii="Times New Roman" w:hAnsi="Times New Roman" w:cs="Times New Roman"/>
                  <w:b w:val="0"/>
                  <w:i w:val="0"/>
                  <w:color w:val="000000"/>
                </w:rPr>
                <m:t>−</m:t>
              </m:r>
              <m:sSub>
                <m:sSubPr>
                  <m:ctrlPr>
                    <w:rPr>
                      <w:rFonts w:hint="default" w:ascii="Cambria Math" w:hAnsi="Cambria Math" w:cs="Times New Roman"/>
                      <w:i/>
                      <w:iCs/>
                      <w:color w:val="000000"/>
                    </w:rPr>
                  </m:ctrlPr>
                </m:sSubPr>
                <m:e>
                  <m:r>
                    <m:rPr>
                      <m:nor/>
                    </m:rPr>
                    <w:rPr>
                      <w:rFonts w:hint="default" w:ascii="Times New Roman" w:hAnsi="Times New Roman" w:cs="Times New Roman"/>
                      <w:i/>
                      <w:color w:val="000000"/>
                    </w:rPr>
                    <m:t>H</m:t>
                  </m:r>
                  <m:ctrlPr>
                    <w:rPr>
                      <w:rFonts w:hint="default" w:ascii="Cambria Math" w:hAnsi="Cambria Math" w:cs="Times New Roman"/>
                      <w:i/>
                      <w:iCs/>
                      <w:color w:val="000000"/>
                    </w:rPr>
                  </m:ctrlPr>
                </m:e>
                <m:sub>
                  <m:r>
                    <m:rPr>
                      <m:nor/>
                      <m:sty m:val="p"/>
                    </m:rPr>
                    <w:rPr>
                      <w:rFonts w:hint="default" w:ascii="Times New Roman" w:hAnsi="Times New Roman" w:cs="Times New Roman"/>
                      <w:b w:val="0"/>
                      <w:i w:val="0"/>
                      <w:color w:val="000000"/>
                    </w:rPr>
                    <m:t>2</m:t>
                  </m:r>
                  <m:ctrlPr>
                    <w:rPr>
                      <w:rFonts w:hint="default" w:ascii="Cambria Math" w:hAnsi="Cambria Math" w:cs="Times New Roman"/>
                      <w:i/>
                      <w:iCs/>
                      <w:color w:val="000000"/>
                    </w:rPr>
                  </m:ctrlPr>
                </m:sub>
              </m:sSub>
              <m:r>
                <m:rPr>
                  <m:nor/>
                  <m:sty m:val="p"/>
                </m:rPr>
                <w:rPr>
                  <w:rFonts w:hint="default" w:ascii="Times New Roman" w:hAnsi="Times New Roman" w:cs="Times New Roman"/>
                  <w:b w:val="0"/>
                  <w:i w:val="0"/>
                  <w:color w:val="000000"/>
                </w:rPr>
                <m:t>=0.5[</m:t>
              </m:r>
              <m:d>
                <m:dPr>
                  <m:ctrlPr>
                    <w:rPr>
                      <w:rFonts w:hint="default" w:ascii="Cambria Math" w:hAnsi="Cambria Math" w:cs="Times New Roman"/>
                      <w:i/>
                      <w:iCs/>
                      <w:color w:val="000000"/>
                    </w:rPr>
                  </m:ctrlPr>
                </m:dPr>
                <m:e>
                  <m:sSub>
                    <m:sSubPr>
                      <m:ctrlPr>
                        <w:rPr>
                          <w:rFonts w:hint="default" w:ascii="Cambria Math" w:hAnsi="Cambria Math" w:cs="Times New Roman"/>
                          <w:i/>
                          <w:iCs/>
                          <w:color w:val="000000"/>
                        </w:rPr>
                      </m:ctrlPr>
                    </m:sSubPr>
                    <m:e>
                      <m:r>
                        <m:rPr>
                          <m:nor/>
                        </m:rPr>
                        <w:rPr>
                          <w:rFonts w:hint="default" w:ascii="Times New Roman" w:hAnsi="Times New Roman" w:cs="Times New Roman"/>
                          <w:i/>
                          <w:color w:val="000000"/>
                        </w:rPr>
                        <m:t>H</m:t>
                      </m:r>
                      <m:ctrlPr>
                        <w:rPr>
                          <w:rFonts w:hint="default" w:ascii="Cambria Math" w:hAnsi="Cambria Math" w:cs="Times New Roman"/>
                          <w:i/>
                          <w:iCs/>
                          <w:color w:val="000000"/>
                        </w:rPr>
                      </m:ctrlPr>
                    </m:e>
                    <m:sub>
                      <m:r>
                        <m:rPr>
                          <m:nor/>
                          <m:sty m:val="p"/>
                        </m:rPr>
                        <w:rPr>
                          <w:rFonts w:hint="default" w:ascii="Times New Roman" w:hAnsi="Times New Roman" w:cs="Times New Roman"/>
                          <w:b w:val="0"/>
                          <w:i w:val="0"/>
                          <w:color w:val="000000"/>
                        </w:rPr>
                        <m:t>1</m:t>
                      </m:r>
                      <m:ctrlPr>
                        <w:rPr>
                          <w:rFonts w:hint="default" w:ascii="Cambria Math" w:hAnsi="Cambria Math" w:cs="Times New Roman"/>
                          <w:i/>
                          <w:iCs/>
                          <w:color w:val="000000"/>
                        </w:rPr>
                      </m:ctrlPr>
                    </m:sub>
                  </m:sSub>
                  <m:r>
                    <m:rPr>
                      <m:nor/>
                      <m:sty m:val="p"/>
                    </m:rPr>
                    <w:rPr>
                      <w:rFonts w:hint="default" w:ascii="Times New Roman" w:hAnsi="Times New Roman" w:cs="Times New Roman"/>
                      <w:b w:val="0"/>
                      <w:i w:val="0"/>
                      <w:color w:val="000000"/>
                    </w:rPr>
                    <m:t>+</m:t>
                  </m:r>
                  <m:r>
                    <m:rPr>
                      <m:nor/>
                    </m:rPr>
                    <w:rPr>
                      <w:rFonts w:hint="default" w:ascii="Times New Roman" w:hAnsi="Times New Roman" w:cs="Times New Roman"/>
                      <w:i/>
                      <w:color w:val="000000"/>
                    </w:rPr>
                    <m:t>β</m:t>
                  </m:r>
                  <m:r>
                    <m:rPr>
                      <m:nor/>
                      <m:sty m:val="p"/>
                    </m:rPr>
                    <w:rPr>
                      <w:rFonts w:hint="default" w:ascii="Times New Roman" w:hAnsi="Times New Roman" w:cs="Times New Roman"/>
                      <w:b w:val="0"/>
                      <w:i w:val="0"/>
                      <w:color w:val="000000"/>
                    </w:rPr>
                    <m:t>△</m:t>
                  </m:r>
                  <m:r>
                    <m:rPr>
                      <m:nor/>
                    </m:rPr>
                    <w:rPr>
                      <w:rFonts w:hint="default" w:ascii="Times New Roman" w:hAnsi="Times New Roman" w:cs="Times New Roman"/>
                      <w:i/>
                      <w:color w:val="000000"/>
                    </w:rPr>
                    <m:t>t</m:t>
                  </m:r>
                  <m:ctrlPr>
                    <w:rPr>
                      <w:rFonts w:hint="default" w:ascii="Cambria Math" w:hAnsi="Cambria Math" w:cs="Times New Roman"/>
                      <w:i/>
                      <w:iCs/>
                      <w:color w:val="000000"/>
                    </w:rPr>
                  </m:ctrlPr>
                </m:e>
              </m:d>
              <m:r>
                <m:rPr>
                  <m:nor/>
                  <m:sty m:val="p"/>
                </m:rPr>
                <w:rPr>
                  <w:rFonts w:hint="default" w:ascii="Times New Roman" w:hAnsi="Times New Roman" w:cs="Times New Roman"/>
                  <w:b w:val="0"/>
                  <w:i w:val="0"/>
                  <w:color w:val="000000"/>
                </w:rPr>
                <m:t>+</m:t>
              </m:r>
              <m:rad>
                <m:radPr>
                  <m:degHide m:val="1"/>
                  <m:ctrlPr>
                    <w:rPr>
                      <w:rFonts w:hint="default" w:ascii="Cambria Math" w:hAnsi="Cambria Math" w:cs="Times New Roman"/>
                      <w:i/>
                      <w:iCs/>
                      <w:color w:val="000000"/>
                    </w:rPr>
                  </m:ctrlPr>
                </m:radPr>
                <m:deg>
                  <m:ctrlPr>
                    <w:rPr>
                      <w:rFonts w:hint="default" w:ascii="Cambria Math" w:hAnsi="Cambria Math" w:cs="Times New Roman"/>
                      <w:i/>
                      <w:iCs/>
                      <w:color w:val="000000"/>
                    </w:rPr>
                  </m:ctrlPr>
                </m:deg>
                <m:e>
                  <m:sSup>
                    <m:sSupPr>
                      <m:ctrlPr>
                        <w:rPr>
                          <w:rFonts w:hint="default" w:ascii="Cambria Math" w:hAnsi="Cambria Math" w:cs="Times New Roman"/>
                          <w:i/>
                          <w:iCs/>
                          <w:color w:val="000000"/>
                        </w:rPr>
                      </m:ctrlPr>
                    </m:sSupPr>
                    <m:e>
                      <m:r>
                        <m:rPr>
                          <m:nor/>
                          <m:sty m:val="p"/>
                        </m:rPr>
                        <w:rPr>
                          <w:rFonts w:hint="default" w:ascii="Times New Roman" w:hAnsi="Times New Roman" w:cs="Times New Roman"/>
                          <w:b w:val="0"/>
                          <w:i w:val="0"/>
                          <w:color w:val="000000"/>
                        </w:rPr>
                        <m:t>(</m:t>
                      </m:r>
                      <m:r>
                        <m:rPr>
                          <m:nor/>
                        </m:rPr>
                        <w:rPr>
                          <w:rFonts w:hint="default" w:ascii="Times New Roman" w:hAnsi="Times New Roman" w:cs="Times New Roman"/>
                          <w:i/>
                          <w:color w:val="000000"/>
                        </w:rPr>
                        <m:t>β</m:t>
                      </m:r>
                      <m:r>
                        <m:rPr>
                          <m:nor/>
                          <m:sty m:val="p"/>
                        </m:rPr>
                        <w:rPr>
                          <w:rFonts w:hint="default" w:ascii="Times New Roman" w:hAnsi="Times New Roman" w:cs="Times New Roman"/>
                          <w:b w:val="0"/>
                          <w:i w:val="0"/>
                          <w:color w:val="000000"/>
                        </w:rPr>
                        <m:t>△</m:t>
                      </m:r>
                      <m:r>
                        <m:rPr>
                          <m:nor/>
                        </m:rPr>
                        <w:rPr>
                          <w:rFonts w:hint="default" w:ascii="Times New Roman" w:hAnsi="Times New Roman" w:cs="Times New Roman"/>
                          <w:i/>
                          <w:color w:val="000000"/>
                        </w:rPr>
                        <m:t>t</m:t>
                      </m:r>
                      <m:r>
                        <m:rPr>
                          <m:nor/>
                          <m:sty m:val="p"/>
                        </m:rPr>
                        <w:rPr>
                          <w:rFonts w:hint="default" w:ascii="Times New Roman" w:hAnsi="Times New Roman" w:cs="Times New Roman"/>
                          <w:b w:val="0"/>
                          <w:i w:val="0"/>
                          <w:color w:val="000000"/>
                        </w:rPr>
                        <m:t>−</m:t>
                      </m:r>
                      <m:sSub>
                        <m:sSubPr>
                          <m:ctrlPr>
                            <w:rPr>
                              <w:rFonts w:hint="default" w:ascii="Cambria Math" w:hAnsi="Cambria Math" w:cs="Times New Roman"/>
                              <w:i/>
                              <w:iCs/>
                              <w:color w:val="000000"/>
                            </w:rPr>
                          </m:ctrlPr>
                        </m:sSubPr>
                        <m:e>
                          <m:r>
                            <m:rPr>
                              <m:nor/>
                            </m:rPr>
                            <w:rPr>
                              <w:rFonts w:hint="default" w:ascii="Times New Roman" w:hAnsi="Times New Roman" w:cs="Times New Roman"/>
                              <w:i/>
                              <w:color w:val="000000"/>
                            </w:rPr>
                            <m:t>H</m:t>
                          </m:r>
                          <m:ctrlPr>
                            <w:rPr>
                              <w:rFonts w:hint="default" w:ascii="Cambria Math" w:hAnsi="Cambria Math" w:cs="Times New Roman"/>
                              <w:i/>
                              <w:iCs/>
                              <w:color w:val="000000"/>
                            </w:rPr>
                          </m:ctrlPr>
                        </m:e>
                        <m:sub>
                          <m:r>
                            <m:rPr>
                              <m:nor/>
                              <m:sty m:val="p"/>
                            </m:rPr>
                            <w:rPr>
                              <w:rFonts w:hint="default" w:ascii="Times New Roman" w:hAnsi="Times New Roman" w:cs="Times New Roman"/>
                              <w:b w:val="0"/>
                              <w:i w:val="0"/>
                              <w:color w:val="000000"/>
                            </w:rPr>
                            <m:t>1</m:t>
                          </m:r>
                          <m:ctrlPr>
                            <w:rPr>
                              <w:rFonts w:hint="default" w:ascii="Cambria Math" w:hAnsi="Cambria Math" w:cs="Times New Roman"/>
                              <w:i/>
                              <w:iCs/>
                              <w:color w:val="000000"/>
                            </w:rPr>
                          </m:ctrlPr>
                        </m:sub>
                      </m:sSub>
                      <m:r>
                        <m:rPr>
                          <m:nor/>
                          <m:sty m:val="p"/>
                        </m:rPr>
                        <w:rPr>
                          <w:rFonts w:hint="default" w:ascii="Times New Roman" w:hAnsi="Times New Roman" w:cs="Times New Roman"/>
                          <w:b w:val="0"/>
                          <w:i w:val="0"/>
                          <w:color w:val="000000"/>
                        </w:rPr>
                        <m:t>)</m:t>
                      </m:r>
                      <m:ctrlPr>
                        <w:rPr>
                          <w:rFonts w:hint="default" w:ascii="Cambria Math" w:hAnsi="Cambria Math" w:cs="Times New Roman"/>
                          <w:i/>
                          <w:iCs/>
                          <w:color w:val="000000"/>
                        </w:rPr>
                      </m:ctrlPr>
                    </m:e>
                    <m:sup>
                      <m:r>
                        <m:rPr>
                          <m:nor/>
                          <m:sty m:val="p"/>
                        </m:rPr>
                        <w:rPr>
                          <w:rFonts w:hint="default" w:ascii="Times New Roman" w:hAnsi="Times New Roman" w:cs="Times New Roman"/>
                          <w:b w:val="0"/>
                          <w:i w:val="0"/>
                          <w:color w:val="000000"/>
                        </w:rPr>
                        <m:t>2</m:t>
                      </m:r>
                      <m:ctrlPr>
                        <w:rPr>
                          <w:rFonts w:hint="default" w:ascii="Cambria Math" w:hAnsi="Cambria Math" w:cs="Times New Roman"/>
                          <w:i/>
                          <w:iCs/>
                          <w:color w:val="000000"/>
                        </w:rPr>
                      </m:ctrlPr>
                    </m:sup>
                  </m:sSup>
                  <m:r>
                    <m:rPr>
                      <m:nor/>
                      <m:sty m:val="p"/>
                    </m:rPr>
                    <w:rPr>
                      <w:rFonts w:hint="default" w:ascii="Times New Roman" w:hAnsi="Times New Roman" w:cs="Times New Roman"/>
                      <w:b w:val="0"/>
                      <w:i w:val="0"/>
                      <w:color w:val="000000"/>
                    </w:rPr>
                    <m:t>+4</m:t>
                  </m:r>
                  <m:r>
                    <m:rPr>
                      <m:nor/>
                    </m:rPr>
                    <w:rPr>
                      <w:rFonts w:hint="default" w:ascii="Times New Roman" w:hAnsi="Times New Roman" w:cs="Times New Roman"/>
                      <w:i/>
                      <w:color w:val="000000"/>
                    </w:rPr>
                    <m:t>β</m:t>
                  </m:r>
                  <m:r>
                    <m:rPr>
                      <m:nor/>
                      <m:sty m:val="p"/>
                    </m:rPr>
                    <w:rPr>
                      <w:rFonts w:hint="default" w:ascii="Times New Roman" w:hAnsi="Times New Roman" w:cs="Times New Roman"/>
                      <w:b w:val="0"/>
                      <w:i w:val="0"/>
                      <w:color w:val="000000"/>
                    </w:rPr>
                    <m:t>△</m:t>
                  </m:r>
                  <m:r>
                    <m:rPr>
                      <m:nor/>
                    </m:rPr>
                    <w:rPr>
                      <w:rFonts w:hint="default" w:ascii="Times New Roman" w:hAnsi="Times New Roman" w:cs="Times New Roman"/>
                      <w:i/>
                      <w:color w:val="000000"/>
                    </w:rPr>
                    <m:t>t</m:t>
                  </m:r>
                  <m:sSup>
                    <m:sSupPr>
                      <m:ctrlPr>
                        <w:rPr>
                          <w:rFonts w:hint="default" w:ascii="Cambria Math" w:hAnsi="Cambria Math" w:cs="Times New Roman"/>
                          <w:i/>
                          <w:iCs/>
                          <w:color w:val="000000"/>
                        </w:rPr>
                      </m:ctrlPr>
                    </m:sSupPr>
                    <m:e>
                      <m:r>
                        <m:rPr>
                          <m:nor/>
                        </m:rPr>
                        <w:rPr>
                          <w:rFonts w:hint="default" w:ascii="Times New Roman" w:hAnsi="Times New Roman" w:cs="Times New Roman"/>
                          <w:i/>
                          <w:color w:val="000000"/>
                        </w:rPr>
                        <m:t>K</m:t>
                      </m:r>
                      <m:ctrlPr>
                        <w:rPr>
                          <w:rFonts w:hint="default" w:ascii="Cambria Math" w:hAnsi="Cambria Math" w:cs="Times New Roman"/>
                          <w:i/>
                          <w:iCs/>
                          <w:color w:val="000000"/>
                        </w:rPr>
                      </m:ctrlPr>
                    </m:e>
                    <m:sup>
                      <m:r>
                        <m:rPr>
                          <m:nor/>
                          <m:sty m:val="p"/>
                        </m:rPr>
                        <w:rPr>
                          <w:rFonts w:hint="default" w:ascii="Times New Roman" w:hAnsi="Times New Roman" w:cs="Times New Roman"/>
                          <w:b w:val="0"/>
                          <w:i w:val="0"/>
                          <w:color w:val="000000"/>
                        </w:rPr>
                        <m:t>2</m:t>
                      </m:r>
                      <m:ctrlPr>
                        <w:rPr>
                          <w:rFonts w:hint="default" w:ascii="Cambria Math" w:hAnsi="Cambria Math" w:cs="Times New Roman"/>
                          <w:i/>
                          <w:iCs/>
                          <w:color w:val="000000"/>
                        </w:rPr>
                      </m:ctrlPr>
                    </m:sup>
                  </m:sSup>
                  <m:sSub>
                    <m:sSubPr>
                      <m:ctrlPr>
                        <w:rPr>
                          <w:rFonts w:hint="default" w:ascii="Cambria Math" w:hAnsi="Cambria Math" w:cs="Times New Roman"/>
                          <w:i/>
                          <w:iCs/>
                          <w:color w:val="000000"/>
                        </w:rPr>
                      </m:ctrlPr>
                    </m:sSubPr>
                    <m:e>
                      <m:r>
                        <m:rPr>
                          <m:nor/>
                        </m:rPr>
                        <w:rPr>
                          <w:rFonts w:hint="default" w:ascii="Times New Roman" w:hAnsi="Times New Roman" w:cs="Times New Roman"/>
                          <w:i/>
                          <w:color w:val="000000"/>
                        </w:rPr>
                        <m:t>H</m:t>
                      </m:r>
                      <m:ctrlPr>
                        <w:rPr>
                          <w:rFonts w:hint="default" w:ascii="Cambria Math" w:hAnsi="Cambria Math" w:cs="Times New Roman"/>
                          <w:i/>
                          <w:iCs/>
                          <w:color w:val="000000"/>
                        </w:rPr>
                      </m:ctrlPr>
                    </m:e>
                    <m:sub>
                      <m:r>
                        <m:rPr>
                          <m:nor/>
                          <m:sty m:val="p"/>
                        </m:rPr>
                        <w:rPr>
                          <w:rFonts w:hint="default" w:ascii="Times New Roman" w:hAnsi="Times New Roman" w:cs="Times New Roman"/>
                          <w:b w:val="0"/>
                          <w:i w:val="0"/>
                          <w:color w:val="000000"/>
                        </w:rPr>
                        <m:t>1</m:t>
                      </m:r>
                      <m:ctrlPr>
                        <w:rPr>
                          <w:rFonts w:hint="default" w:ascii="Cambria Math" w:hAnsi="Cambria Math" w:cs="Times New Roman"/>
                          <w:i/>
                          <w:iCs/>
                          <w:color w:val="000000"/>
                        </w:rPr>
                      </m:ctrlPr>
                    </m:sub>
                  </m:sSub>
                  <m:ctrlPr>
                    <w:rPr>
                      <w:rFonts w:hint="default" w:ascii="Cambria Math" w:hAnsi="Cambria Math" w:cs="Times New Roman"/>
                      <w:i/>
                      <w:iCs/>
                      <w:color w:val="000000"/>
                    </w:rPr>
                  </m:ctrlPr>
                </m:e>
              </m:rad>
              <m:r>
                <m:rPr>
                  <m:nor/>
                  <m:sty m:val="p"/>
                </m:rPr>
                <w:rPr>
                  <w:rFonts w:hint="default" w:ascii="Times New Roman" w:hAnsi="Times New Roman" w:cs="Times New Roman"/>
                  <w:b w:val="0"/>
                  <w:i w:val="0"/>
                  <w:color w:val="000000"/>
                </w:rPr>
                <m:t>]</m:t>
              </m:r>
            </m:oMath>
            <w:r>
              <w:rPr>
                <w:rFonts w:hint="default" w:ascii="Times New Roman" w:hAnsi="Times New Roman" w:eastAsia="宋体" w:cs="Times New Roman"/>
                <w:b w:val="0"/>
                <w:i w:val="0"/>
                <w:color w:val="000000"/>
                <w:szCs w:val="28"/>
                <w:highlight w:val="none"/>
                <w:lang w:val="en-US" w:eastAsia="zh-CN"/>
              </w:rPr>
              <w:t xml:space="preserve">    </w:t>
            </w:r>
            <w:r>
              <w:rPr>
                <w:rFonts w:hint="default" w:ascii="Times New Roman" w:hAnsi="Times New Roman" w:eastAsia="宋体" w:cs="Times New Roman"/>
                <w:color w:val="000000"/>
                <w:szCs w:val="28"/>
                <w:highlight w:val="none"/>
              </w:rPr>
              <w:t>（</w:t>
            </w:r>
            <w:r>
              <w:rPr>
                <w:rFonts w:hint="eastAsia" w:cs="Times New Roman"/>
                <w:color w:val="000000"/>
                <w:szCs w:val="28"/>
                <w:highlight w:val="none"/>
                <w:lang w:val="en-US" w:eastAsia="zh-CN"/>
              </w:rPr>
              <w:t>4</w:t>
            </w:r>
            <w:r>
              <w:rPr>
                <w:rFonts w:hint="default" w:ascii="Times New Roman" w:hAnsi="Times New Roman" w:eastAsia="宋体" w:cs="Times New Roman"/>
                <w:color w:val="000000"/>
                <w:szCs w:val="28"/>
                <w:highlight w:val="none"/>
                <w:lang w:eastAsia="zh-CN"/>
              </w:rPr>
              <w:t>.</w:t>
            </w:r>
            <w:r>
              <w:rPr>
                <w:rFonts w:hint="eastAsia" w:cs="Times New Roman"/>
                <w:color w:val="000000"/>
                <w:szCs w:val="28"/>
                <w:highlight w:val="none"/>
                <w:lang w:val="en-US" w:eastAsia="zh-CN"/>
              </w:rPr>
              <w:t>3.2</w:t>
            </w:r>
            <w:r>
              <w:rPr>
                <w:rFonts w:hint="default" w:ascii="Times New Roman" w:hAnsi="Times New Roman" w:eastAsia="宋体" w:cs="Times New Roman"/>
                <w:color w:val="000000"/>
                <w:szCs w:val="28"/>
                <w:highlight w:val="none"/>
              </w:rPr>
              <w:t>-10）</w:t>
            </w:r>
          </w:p>
          <w:p w14:paraId="1E5873E2">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其中</w:t>
            </w:r>
            <m:oMath>
              <m:r>
                <m:rPr>
                  <m:nor/>
                </m:rPr>
                <w:rPr>
                  <w:rFonts w:hint="default" w:ascii="Times New Roman" w:hAnsi="Times New Roman" w:cs="Times New Roman"/>
                  <w:i/>
                  <w:color w:val="000000"/>
                </w:rPr>
                <m:t>β</m:t>
              </m:r>
              <m:r>
                <m:rPr>
                  <m:nor/>
                  <m:sty m:val="p"/>
                </m:rPr>
                <w:rPr>
                  <w:rFonts w:hint="default" w:ascii="Times New Roman" w:hAnsi="Times New Roman" w:cs="Times New Roman"/>
                  <w:b w:val="0"/>
                  <w:i w:val="0"/>
                  <w:color w:val="000000"/>
                </w:rPr>
                <m:t>=</m:t>
              </m:r>
              <m:f>
                <m:fPr>
                  <m:ctrlPr>
                    <w:rPr>
                      <w:rFonts w:hint="default" w:ascii="Cambria Math" w:hAnsi="Cambria Math" w:cs="Times New Roman"/>
                      <w:i/>
                      <w:iCs/>
                      <w:color w:val="000000"/>
                    </w:rPr>
                  </m:ctrlPr>
                </m:fPr>
                <m:num>
                  <m:r>
                    <m:rPr>
                      <m:nor/>
                    </m:rPr>
                    <w:rPr>
                      <w:rFonts w:hint="default" w:ascii="Times New Roman" w:hAnsi="Times New Roman" w:cs="Times New Roman"/>
                      <w:i/>
                      <w:color w:val="000000"/>
                    </w:rPr>
                    <m:t>αω</m:t>
                  </m:r>
                  <m:sSubSup>
                    <m:sSubSupPr>
                      <m:ctrlPr>
                        <w:rPr>
                          <w:rFonts w:hint="default" w:ascii="Cambria Math" w:hAnsi="Cambria Math" w:cs="Times New Roman"/>
                          <w:i/>
                          <w:iCs/>
                          <w:color w:val="000000"/>
                        </w:rPr>
                      </m:ctrlPr>
                    </m:sSubSupPr>
                    <m:e>
                      <m:r>
                        <m:rPr>
                          <m:nor/>
                        </m:rPr>
                        <w:rPr>
                          <w:rFonts w:hint="default" w:ascii="Times New Roman" w:hAnsi="Times New Roman" w:cs="Times New Roman"/>
                          <w:i/>
                          <w:color w:val="000000"/>
                        </w:rPr>
                        <m:t>S</m:t>
                      </m:r>
                      <m:ctrlPr>
                        <w:rPr>
                          <w:rFonts w:hint="default" w:ascii="Cambria Math" w:hAnsi="Cambria Math" w:cs="Times New Roman"/>
                          <w:i/>
                          <w:iCs/>
                          <w:color w:val="000000"/>
                        </w:rPr>
                      </m:ctrlPr>
                    </m:e>
                    <m:sub>
                      <m:r>
                        <m:rPr>
                          <m:nor/>
                          <m:sty m:val="p"/>
                        </m:rPr>
                        <w:rPr>
                          <w:rFonts w:hint="default" w:ascii="Times New Roman" w:hAnsi="Times New Roman" w:cs="Times New Roman"/>
                          <w:b w:val="0"/>
                          <w:i w:val="0"/>
                          <w:color w:val="000000"/>
                        </w:rPr>
                        <m:t>1</m:t>
                      </m:r>
                      <m:ctrlPr>
                        <w:rPr>
                          <w:rFonts w:hint="default" w:ascii="Cambria Math" w:hAnsi="Cambria Math" w:cs="Times New Roman"/>
                          <w:i/>
                          <w:iCs/>
                          <w:color w:val="000000"/>
                        </w:rPr>
                      </m:ctrlPr>
                    </m:sub>
                    <m:sup>
                      <m:r>
                        <m:rPr>
                          <m:nor/>
                          <m:sty m:val="p"/>
                        </m:rPr>
                        <w:rPr>
                          <w:rFonts w:hint="default" w:ascii="Times New Roman" w:hAnsi="Times New Roman" w:cs="Times New Roman"/>
                          <w:b w:val="0"/>
                          <w:i w:val="0"/>
                          <w:color w:val="000000"/>
                        </w:rPr>
                        <m:t>∗</m:t>
                      </m:r>
                      <m:ctrlPr>
                        <w:rPr>
                          <w:rFonts w:hint="default" w:ascii="Cambria Math" w:hAnsi="Cambria Math" w:cs="Times New Roman"/>
                          <w:i/>
                          <w:iCs/>
                          <w:color w:val="000000"/>
                        </w:rPr>
                      </m:ctrlPr>
                    </m:sup>
                  </m:sSubSup>
                  <m:ctrlPr>
                    <w:rPr>
                      <w:rFonts w:hint="default" w:ascii="Cambria Math" w:hAnsi="Cambria Math" w:cs="Times New Roman"/>
                      <w:i/>
                      <w:iCs/>
                      <w:color w:val="000000"/>
                    </w:rPr>
                  </m:ctrlPr>
                </m:num>
                <m:den>
                  <m:sSub>
                    <m:sSubPr>
                      <m:ctrlPr>
                        <w:rPr>
                          <w:rFonts w:hint="default" w:ascii="Cambria Math" w:hAnsi="Cambria Math" w:cs="Times New Roman"/>
                          <w:i/>
                          <w:iCs/>
                          <w:color w:val="000000"/>
                        </w:rPr>
                      </m:ctrlPr>
                    </m:sSubPr>
                    <m:e>
                      <m:r>
                        <m:rPr>
                          <m:nor/>
                        </m:rPr>
                        <w:rPr>
                          <w:rFonts w:hint="default" w:ascii="Times New Roman" w:hAnsi="Times New Roman" w:cs="Times New Roman"/>
                          <w:i/>
                          <w:color w:val="000000"/>
                        </w:rPr>
                        <m:t>γ</m:t>
                      </m:r>
                      <m:ctrlPr>
                        <w:rPr>
                          <w:rFonts w:hint="default" w:ascii="Cambria Math" w:hAnsi="Cambria Math" w:cs="Times New Roman"/>
                          <w:i/>
                          <w:iCs/>
                          <w:color w:val="000000"/>
                        </w:rPr>
                      </m:ctrlPr>
                    </m:e>
                    <m:sub>
                      <m:r>
                        <m:rPr>
                          <m:nor/>
                        </m:rPr>
                        <w:rPr>
                          <w:rFonts w:hint="default" w:ascii="Times New Roman" w:hAnsi="Times New Roman" w:cs="Times New Roman"/>
                          <w:i/>
                          <w:color w:val="000000"/>
                        </w:rPr>
                        <m:t>c</m:t>
                      </m:r>
                      <m:ctrlPr>
                        <w:rPr>
                          <w:rFonts w:hint="default" w:ascii="Cambria Math" w:hAnsi="Cambria Math" w:cs="Times New Roman"/>
                          <w:i/>
                          <w:iCs/>
                          <w:color w:val="000000"/>
                        </w:rPr>
                      </m:ctrlPr>
                    </m:sub>
                  </m:sSub>
                  <m:ctrlPr>
                    <w:rPr>
                      <w:rFonts w:hint="default" w:ascii="Cambria Math" w:hAnsi="Cambria Math" w:cs="Times New Roman"/>
                      <w:i/>
                      <w:iCs/>
                      <w:color w:val="000000"/>
                    </w:rPr>
                  </m:ctrlPr>
                </m:den>
              </m:f>
            </m:oMath>
            <w:r>
              <w:rPr>
                <w:rFonts w:hint="default" w:ascii="Times New Roman" w:hAnsi="Times New Roman" w:cs="Times New Roman"/>
                <w:i/>
                <w:iCs/>
                <w:color w:val="000000"/>
                <w:highlight w:val="none"/>
              </w:rPr>
              <w:t>，</w:t>
            </w:r>
            <m:oMath>
              <m:r>
                <m:rPr>
                  <m:nor/>
                </m:rPr>
                <w:rPr>
                  <w:rFonts w:hint="default" w:ascii="Times New Roman" w:hAnsi="Times New Roman" w:cs="Times New Roman"/>
                  <w:i/>
                  <w:color w:val="000000"/>
                </w:rPr>
                <m:t>K</m:t>
              </m:r>
              <m:r>
                <m:rPr>
                  <m:nor/>
                  <m:sty m:val="p"/>
                </m:rPr>
                <w:rPr>
                  <w:rFonts w:hint="default" w:ascii="Times New Roman" w:hAnsi="Times New Roman" w:cs="Times New Roman"/>
                  <w:b w:val="0"/>
                  <w:i w:val="0"/>
                  <w:color w:val="000000"/>
                </w:rPr>
                <m:t>=</m:t>
              </m:r>
              <m:f>
                <m:fPr>
                  <m:ctrlPr>
                    <w:rPr>
                      <w:rFonts w:hint="default" w:ascii="Cambria Math" w:hAnsi="Cambria Math" w:cs="Times New Roman"/>
                      <w:i/>
                      <w:iCs/>
                      <w:color w:val="000000"/>
                    </w:rPr>
                  </m:ctrlPr>
                </m:fPr>
                <m:num>
                  <m:sSub>
                    <m:sSubPr>
                      <m:ctrlPr>
                        <w:rPr>
                          <w:rFonts w:hint="default" w:ascii="Cambria Math" w:hAnsi="Cambria Math" w:cs="Times New Roman"/>
                          <w:i/>
                          <w:iCs/>
                          <w:color w:val="000000"/>
                        </w:rPr>
                      </m:ctrlPr>
                    </m:sSubPr>
                    <m:e>
                      <m:r>
                        <m:rPr>
                          <m:nor/>
                        </m:rPr>
                        <w:rPr>
                          <w:rFonts w:hint="default" w:ascii="Times New Roman" w:hAnsi="Times New Roman" w:cs="Times New Roman"/>
                          <w:i/>
                          <w:color w:val="000000"/>
                        </w:rPr>
                        <m:t>v</m:t>
                      </m:r>
                      <m:ctrlPr>
                        <w:rPr>
                          <w:rFonts w:hint="default" w:ascii="Cambria Math" w:hAnsi="Cambria Math" w:cs="Times New Roman"/>
                          <w:i/>
                          <w:iCs/>
                          <w:color w:val="000000"/>
                        </w:rPr>
                      </m:ctrlPr>
                    </m:e>
                    <m:sub>
                      <m:r>
                        <m:rPr>
                          <m:nor/>
                          <m:sty m:val="p"/>
                        </m:rPr>
                        <w:rPr>
                          <w:rFonts w:hint="default" w:ascii="Times New Roman" w:hAnsi="Times New Roman" w:cs="Times New Roman"/>
                          <w:b w:val="0"/>
                          <w:i w:val="0"/>
                          <w:color w:val="000000"/>
                        </w:rPr>
                        <m:t>2</m:t>
                      </m:r>
                      <m:ctrlPr>
                        <w:rPr>
                          <w:rFonts w:hint="default" w:ascii="Cambria Math" w:hAnsi="Cambria Math" w:cs="Times New Roman"/>
                          <w:i/>
                          <w:iCs/>
                          <w:color w:val="000000"/>
                        </w:rPr>
                      </m:ctrlPr>
                    </m:sub>
                  </m:sSub>
                  <m:ctrlPr>
                    <w:rPr>
                      <w:rFonts w:hint="default" w:ascii="Cambria Math" w:hAnsi="Cambria Math" w:cs="Times New Roman"/>
                      <w:i/>
                      <w:iCs/>
                      <w:color w:val="000000"/>
                    </w:rPr>
                  </m:ctrlPr>
                </m:num>
                <m:den>
                  <m:sSub>
                    <m:sSubPr>
                      <m:ctrlPr>
                        <w:rPr>
                          <w:rFonts w:hint="default" w:ascii="Cambria Math" w:hAnsi="Cambria Math" w:cs="Times New Roman"/>
                          <w:i/>
                          <w:iCs/>
                          <w:color w:val="000000"/>
                        </w:rPr>
                      </m:ctrlPr>
                    </m:sSubPr>
                    <m:e>
                      <m:r>
                        <m:rPr>
                          <m:nor/>
                        </m:rPr>
                        <w:rPr>
                          <w:rFonts w:hint="default" w:ascii="Times New Roman" w:hAnsi="Times New Roman" w:cs="Times New Roman"/>
                          <w:i/>
                          <w:color w:val="000000"/>
                        </w:rPr>
                        <m:t>v</m:t>
                      </m:r>
                      <m:ctrlPr>
                        <w:rPr>
                          <w:rFonts w:hint="default" w:ascii="Cambria Math" w:hAnsi="Cambria Math" w:cs="Times New Roman"/>
                          <w:i/>
                          <w:iCs/>
                          <w:color w:val="000000"/>
                        </w:rPr>
                      </m:ctrlPr>
                    </m:e>
                    <m:sub>
                      <m:r>
                        <m:rPr>
                          <m:nor/>
                          <m:sty m:val="p"/>
                        </m:rPr>
                        <w:rPr>
                          <w:rFonts w:hint="default" w:ascii="Times New Roman" w:hAnsi="Times New Roman" w:cs="Times New Roman"/>
                          <w:b w:val="0"/>
                          <w:i w:val="0"/>
                          <w:color w:val="000000"/>
                        </w:rPr>
                        <m:t>1</m:t>
                      </m:r>
                      <m:ctrlPr>
                        <w:rPr>
                          <w:rFonts w:hint="default" w:ascii="Cambria Math" w:hAnsi="Cambria Math" w:cs="Times New Roman"/>
                          <w:i/>
                          <w:iCs/>
                          <w:color w:val="000000"/>
                        </w:rPr>
                      </m:ctrlPr>
                    </m:sub>
                  </m:sSub>
                  <m:ctrlPr>
                    <w:rPr>
                      <w:rFonts w:hint="default" w:ascii="Cambria Math" w:hAnsi="Cambria Math" w:cs="Times New Roman"/>
                      <w:i/>
                      <w:iCs/>
                      <w:color w:val="000000"/>
                    </w:rPr>
                  </m:ctrlPr>
                </m:den>
              </m:f>
            </m:oMath>
            <w:r>
              <w:rPr>
                <w:rFonts w:hint="default" w:ascii="Times New Roman" w:hAnsi="Times New Roman" w:cs="Times New Roman"/>
                <w:color w:val="000000"/>
                <w:highlight w:val="none"/>
              </w:rPr>
              <w:t>，</w:t>
            </w:r>
            <w:r>
              <w:rPr>
                <w:rFonts w:hint="default" w:ascii="Times New Roman" w:hAnsi="Times New Roman" w:cs="Times New Roman"/>
                <w:i/>
                <w:iCs/>
                <w:color w:val="000000"/>
                <w:highlight w:val="none"/>
              </w:rPr>
              <w:t>△t</w:t>
            </w:r>
            <w:r>
              <w:rPr>
                <w:rFonts w:hint="default" w:ascii="Times New Roman" w:hAnsi="Times New Roman" w:cs="Times New Roman"/>
                <w:color w:val="000000"/>
                <w:highlight w:val="none"/>
              </w:rPr>
              <w:t>为计算时间。当</w:t>
            </w:r>
            <w:r>
              <w:rPr>
                <w:rFonts w:hint="default" w:ascii="Times New Roman" w:hAnsi="Times New Roman" w:cs="Times New Roman"/>
                <w:i/>
                <w:iCs/>
                <w:color w:val="000000"/>
                <w:highlight w:val="none"/>
              </w:rPr>
              <w:t>△t</w:t>
            </w:r>
            <w:r>
              <w:rPr>
                <w:rFonts w:hint="default" w:ascii="Times New Roman" w:hAnsi="Times New Roman" w:cs="Times New Roman"/>
                <w:color w:val="000000"/>
                <w:highlight w:val="none"/>
              </w:rPr>
              <w:t>趋于</w:t>
            </w:r>
            <w:r>
              <w:rPr>
                <w:rFonts w:hint="default" w:ascii="Times New Roman" w:hAnsi="Times New Roman" w:cs="Times New Roman"/>
                <w:color w:val="000000"/>
                <w:highlight w:val="none"/>
                <w:lang w:val="en-US" w:eastAsia="zh-CN"/>
              </w:rPr>
              <w:t>∞</w:t>
            </w:r>
            <w:r>
              <w:rPr>
                <w:rFonts w:hint="default" w:ascii="Times New Roman" w:hAnsi="Times New Roman" w:cs="Times New Roman"/>
                <w:color w:val="000000"/>
                <w:highlight w:val="none"/>
              </w:rPr>
              <w:t>，式（</w:t>
            </w:r>
            <w:r>
              <w:rPr>
                <w:rFonts w:hint="eastAsia" w:cs="Times New Roman"/>
                <w:color w:val="000000"/>
                <w:highlight w:val="none"/>
                <w:lang w:val="en-US" w:eastAsia="zh-CN"/>
              </w:rPr>
              <w:t>4</w:t>
            </w:r>
            <w:r>
              <w:rPr>
                <w:rFonts w:hint="default" w:ascii="Times New Roman" w:hAnsi="Times New Roman" w:cs="Times New Roman"/>
                <w:color w:val="000000"/>
                <w:highlight w:val="none"/>
              </w:rPr>
              <w:t>.</w:t>
            </w:r>
            <w:r>
              <w:rPr>
                <w:rFonts w:hint="eastAsia" w:cs="Times New Roman"/>
                <w:color w:val="000000"/>
                <w:highlight w:val="none"/>
                <w:lang w:val="en-US" w:eastAsia="zh-CN"/>
              </w:rPr>
              <w:t>3.2</w:t>
            </w:r>
            <w:r>
              <w:rPr>
                <w:rFonts w:hint="default" w:ascii="Times New Roman" w:hAnsi="Times New Roman" w:cs="Times New Roman"/>
                <w:color w:val="000000"/>
                <w:highlight w:val="none"/>
              </w:rPr>
              <w:t>-10）所得</w:t>
            </w:r>
            <w:r>
              <w:rPr>
                <w:rFonts w:hint="default" w:ascii="Times New Roman" w:hAnsi="Times New Roman" w:cs="Times New Roman"/>
                <w:i/>
                <w:iCs/>
                <w:color w:val="000000"/>
                <w:highlight w:val="none"/>
              </w:rPr>
              <w:t>△</w:t>
            </w:r>
            <w:r>
              <w:rPr>
                <w:rFonts w:hint="default" w:ascii="Times New Roman" w:hAnsi="Times New Roman" w:eastAsia="宋体" w:cs="Times New Roman"/>
                <w:i/>
                <w:iCs w:val="0"/>
                <w:color w:val="000000"/>
                <w:szCs w:val="28"/>
                <w:highlight w:val="none"/>
                <w:lang w:val="en-US" w:eastAsia="zh-CN"/>
              </w:rPr>
              <w:t>H</w:t>
            </w:r>
            <w:r>
              <w:rPr>
                <w:rFonts w:hint="default" w:ascii="Times New Roman" w:hAnsi="Times New Roman" w:cs="Times New Roman"/>
                <w:color w:val="000000"/>
                <w:highlight w:val="none"/>
              </w:rPr>
              <w:t>趋于</w:t>
            </w:r>
            <w:r>
              <w:rPr>
                <w:rFonts w:hint="default" w:ascii="Times New Roman" w:hAnsi="Times New Roman" w:cs="Times New Roman"/>
                <w:color w:val="000000"/>
                <w:highlight w:val="none"/>
                <w:lang w:val="en-US" w:eastAsia="zh-CN"/>
              </w:rPr>
              <w:t>∞</w:t>
            </w:r>
            <w:r>
              <w:rPr>
                <w:rFonts w:hint="default" w:ascii="Times New Roman" w:hAnsi="Times New Roman" w:cs="Times New Roman"/>
                <w:color w:val="000000"/>
                <w:highlight w:val="none"/>
              </w:rPr>
              <w:t>。此解不符合实际情况，应舍去。当</w:t>
            </w:r>
            <w:r>
              <w:rPr>
                <w:rFonts w:hint="default" w:ascii="Times New Roman" w:hAnsi="Times New Roman" w:cs="Times New Roman"/>
                <w:i/>
                <w:iCs/>
                <w:color w:val="000000"/>
                <w:highlight w:val="none"/>
              </w:rPr>
              <w:t>△t</w:t>
            </w:r>
            <w:r>
              <w:rPr>
                <w:rFonts w:hint="default" w:ascii="Times New Roman" w:hAnsi="Times New Roman" w:cs="Times New Roman"/>
                <w:color w:val="000000"/>
                <w:highlight w:val="none"/>
              </w:rPr>
              <w:t>趋于</w:t>
            </w:r>
            <w:r>
              <w:rPr>
                <w:rFonts w:hint="default" w:ascii="Times New Roman" w:hAnsi="Times New Roman" w:cs="Times New Roman"/>
                <w:color w:val="000000"/>
                <w:highlight w:val="none"/>
                <w:lang w:val="en-US" w:eastAsia="zh-CN"/>
              </w:rPr>
              <w:t>∞</w:t>
            </w:r>
            <w:r>
              <w:rPr>
                <w:rFonts w:hint="default" w:ascii="Times New Roman" w:hAnsi="Times New Roman" w:cs="Times New Roman"/>
                <w:color w:val="000000"/>
                <w:highlight w:val="none"/>
              </w:rPr>
              <w:t>，可以得到海床平衡时水深变化量：</w:t>
            </w:r>
          </w:p>
          <w:p w14:paraId="7C636F3A">
            <w:pPr>
              <w:adjustRightInd/>
              <w:snapToGrid/>
              <w:jc w:val="right"/>
              <w:rPr>
                <w:rFonts w:hint="default" w:ascii="Times New Roman" w:hAnsi="Times New Roman" w:eastAsia="宋体" w:cs="Times New Roman"/>
                <w:color w:val="000000"/>
                <w:szCs w:val="28"/>
                <w:highlight w:val="none"/>
              </w:rPr>
            </w:pPr>
            <m:oMath>
              <m:sSub>
                <m:sSubPr>
                  <m:ctrlPr>
                    <w:rPr>
                      <w:rFonts w:hint="default" w:ascii="Cambria Math" w:hAnsi="Cambria Math" w:cs="Times New Roman"/>
                      <w:color w:val="000000"/>
                    </w:rPr>
                  </m:ctrlPr>
                </m:sSubPr>
                <m:e>
                  <m:r>
                    <m:rPr>
                      <m:nor/>
                    </m:rPr>
                    <w:rPr>
                      <w:rFonts w:hint="default" w:ascii="Times New Roman" w:hAnsi="Times New Roman" w:cs="Times New Roman"/>
                      <w:i/>
                      <w:color w:val="000000"/>
                    </w:rPr>
                    <m:t>P</m:t>
                  </m:r>
                  <m:ctrlPr>
                    <w:rPr>
                      <w:rFonts w:hint="default" w:ascii="Cambria Math" w:hAnsi="Cambria Math" w:cs="Times New Roman"/>
                      <w:color w:val="000000"/>
                    </w:rPr>
                  </m:ctrlPr>
                </m:e>
                <m:sub>
                  <m:r>
                    <m:rPr>
                      <m:nor/>
                      <m:sty m:val="p"/>
                    </m:rPr>
                    <w:rPr>
                      <w:rFonts w:hint="default" w:ascii="Times New Roman" w:hAnsi="Times New Roman" w:cs="Times New Roman"/>
                      <w:b w:val="0"/>
                      <w:i w:val="0"/>
                      <w:color w:val="000000"/>
                    </w:rPr>
                    <m:t>△</m:t>
                  </m:r>
                  <m:r>
                    <m:rPr>
                      <m:nor/>
                    </m:rPr>
                    <w:rPr>
                      <w:rFonts w:hint="default" w:ascii="Times New Roman" w:hAnsi="Times New Roman" w:cs="Times New Roman"/>
                      <w:i/>
                      <w:color w:val="000000"/>
                    </w:rPr>
                    <m:t>t</m:t>
                  </m:r>
                  <m:r>
                    <m:rPr>
                      <m:nor/>
                      <m:sty m:val="p"/>
                    </m:rPr>
                    <w:rPr>
                      <w:rFonts w:hint="default" w:ascii="Times New Roman" w:hAnsi="Times New Roman" w:cs="Times New Roman"/>
                      <w:b w:val="0"/>
                      <w:i w:val="0"/>
                      <w:color w:val="000000"/>
                    </w:rPr>
                    <m:t>→∞</m:t>
                  </m:r>
                  <m:ctrlPr>
                    <w:rPr>
                      <w:rFonts w:hint="default" w:ascii="Cambria Math" w:hAnsi="Cambria Math" w:cs="Times New Roman"/>
                      <w:color w:val="000000"/>
                    </w:rPr>
                  </m:ctrlPr>
                </m:sub>
              </m:sSub>
              <m:r>
                <m:rPr>
                  <m:nor/>
                  <m:sty m:val="p"/>
                </m:rPr>
                <w:rPr>
                  <w:rFonts w:hint="default" w:ascii="Times New Roman" w:hAnsi="Times New Roman" w:cs="Times New Roman"/>
                  <w:b w:val="0"/>
                  <w:i w:val="0"/>
                  <w:color w:val="000000"/>
                </w:rPr>
                <m:t>=</m:t>
              </m:r>
              <m:d>
                <m:dPr>
                  <m:ctrlPr>
                    <w:rPr>
                      <w:rFonts w:hint="default" w:ascii="Cambria Math" w:hAnsi="Cambria Math" w:cs="Times New Roman"/>
                      <w:i/>
                      <w:color w:val="000000"/>
                    </w:rPr>
                  </m:ctrlPr>
                </m:dPr>
                <m:e>
                  <m:r>
                    <m:rPr>
                      <m:nor/>
                      <m:sty m:val="p"/>
                    </m:rPr>
                    <w:rPr>
                      <w:rFonts w:hint="default" w:ascii="Times New Roman" w:hAnsi="Times New Roman" w:cs="Times New Roman"/>
                      <w:b w:val="0"/>
                      <w:i w:val="0"/>
                      <w:color w:val="000000"/>
                    </w:rPr>
                    <m:t>1−</m:t>
                  </m:r>
                  <m:sSup>
                    <m:sSupPr>
                      <m:ctrlPr>
                        <w:rPr>
                          <w:rFonts w:hint="default" w:ascii="Cambria Math" w:hAnsi="Cambria Math" w:cs="Times New Roman"/>
                          <w:i/>
                          <w:color w:val="000000"/>
                        </w:rPr>
                      </m:ctrlPr>
                    </m:sSupPr>
                    <m:e>
                      <m:r>
                        <m:rPr>
                          <m:nor/>
                        </m:rPr>
                        <w:rPr>
                          <w:rFonts w:hint="default" w:ascii="Times New Roman" w:hAnsi="Times New Roman" w:cs="Times New Roman"/>
                          <w:i/>
                          <w:color w:val="000000"/>
                        </w:rPr>
                        <m:t>K</m:t>
                      </m:r>
                      <m:ctrlPr>
                        <w:rPr>
                          <w:rFonts w:hint="default" w:ascii="Cambria Math" w:hAnsi="Cambria Math" w:cs="Times New Roman"/>
                          <w:i/>
                          <w:color w:val="000000"/>
                        </w:rPr>
                      </m:ctrlPr>
                    </m:e>
                    <m:sup>
                      <m:r>
                        <m:rPr>
                          <m:nor/>
                          <m:sty m:val="p"/>
                        </m:rPr>
                        <w:rPr>
                          <w:rFonts w:hint="default" w:ascii="Times New Roman" w:hAnsi="Times New Roman" w:cs="Times New Roman"/>
                          <w:b w:val="0"/>
                          <w:i w:val="0"/>
                          <w:color w:val="000000"/>
                        </w:rPr>
                        <m:t>2</m:t>
                      </m:r>
                      <m:ctrlPr>
                        <w:rPr>
                          <w:rFonts w:hint="default" w:ascii="Cambria Math" w:hAnsi="Cambria Math" w:cs="Times New Roman"/>
                          <w:i/>
                          <w:color w:val="000000"/>
                        </w:rPr>
                      </m:ctrlPr>
                    </m:sup>
                  </m:sSup>
                  <m:ctrlPr>
                    <w:rPr>
                      <w:rFonts w:hint="default" w:ascii="Cambria Math" w:hAnsi="Cambria Math" w:cs="Times New Roman"/>
                      <w:i/>
                      <w:color w:val="000000"/>
                    </w:rPr>
                  </m:ctrlPr>
                </m:e>
              </m:d>
              <m:sSub>
                <m:sSubPr>
                  <m:ctrlPr>
                    <w:rPr>
                      <w:rFonts w:hint="default" w:ascii="Cambria Math" w:hAnsi="Cambria Math" w:cs="Times New Roman"/>
                      <w:color w:val="000000"/>
                    </w:rPr>
                  </m:ctrlPr>
                </m:sSubPr>
                <m:e>
                  <m:r>
                    <m:rPr>
                      <m:nor/>
                    </m:rPr>
                    <w:rPr>
                      <w:rFonts w:hint="default" w:ascii="Times New Roman" w:hAnsi="Times New Roman" w:cs="Times New Roman"/>
                      <w:i/>
                      <w:color w:val="000000"/>
                    </w:rPr>
                    <m:t>H</m:t>
                  </m:r>
                  <m:ctrlPr>
                    <w:rPr>
                      <w:rFonts w:hint="default" w:ascii="Cambria Math" w:hAnsi="Cambria Math" w:cs="Times New Roman"/>
                      <w:color w:val="000000"/>
                    </w:rPr>
                  </m:ctrlPr>
                </m:e>
                <m:sub>
                  <m:r>
                    <m:rPr>
                      <m:nor/>
                      <m:sty m:val="p"/>
                    </m:rPr>
                    <w:rPr>
                      <w:rFonts w:hint="default" w:ascii="Times New Roman" w:hAnsi="Times New Roman" w:cs="Times New Roman"/>
                      <w:b w:val="0"/>
                      <w:i w:val="0"/>
                      <w:color w:val="000000"/>
                    </w:rPr>
                    <m:t>1</m:t>
                  </m:r>
                  <m:ctrlPr>
                    <w:rPr>
                      <w:rFonts w:hint="default" w:ascii="Cambria Math" w:hAnsi="Cambria Math" w:cs="Times New Roman"/>
                      <w:color w:val="000000"/>
                    </w:rPr>
                  </m:ctrlPr>
                </m:sub>
              </m:sSub>
              <m:r>
                <m:rPr>
                  <m:nor/>
                  <m:sty m:val="p"/>
                </m:rPr>
                <w:rPr>
                  <w:rFonts w:hint="default" w:ascii="Times New Roman" w:hAnsi="Times New Roman" w:cs="Times New Roman"/>
                  <w:b w:val="0"/>
                  <w:i w:val="0"/>
                  <w:color w:val="000000"/>
                </w:rPr>
                <m:t xml:space="preserve">                </m:t>
              </m:r>
            </m:oMath>
            <w:r>
              <w:rPr>
                <w:rFonts w:hint="default" w:ascii="Times New Roman" w:hAnsi="Times New Roman" w:eastAsia="宋体" w:cs="Times New Roman"/>
                <w:color w:val="000000"/>
                <w:szCs w:val="28"/>
                <w:highlight w:val="none"/>
              </w:rPr>
              <w:t xml:space="preserve">          （</w:t>
            </w:r>
            <w:r>
              <w:rPr>
                <w:rFonts w:hint="eastAsia" w:cs="Times New Roman"/>
                <w:color w:val="000000"/>
                <w:szCs w:val="28"/>
                <w:highlight w:val="none"/>
                <w:lang w:val="en-US" w:eastAsia="zh-CN"/>
              </w:rPr>
              <w:t>4</w:t>
            </w:r>
            <w:r>
              <w:rPr>
                <w:rFonts w:hint="default" w:ascii="Times New Roman" w:hAnsi="Times New Roman" w:eastAsia="宋体" w:cs="Times New Roman"/>
                <w:color w:val="000000"/>
                <w:szCs w:val="28"/>
                <w:highlight w:val="none"/>
                <w:lang w:eastAsia="zh-CN"/>
              </w:rPr>
              <w:t>.</w:t>
            </w:r>
            <w:r>
              <w:rPr>
                <w:rFonts w:hint="eastAsia" w:cs="Times New Roman"/>
                <w:color w:val="000000"/>
                <w:szCs w:val="28"/>
                <w:highlight w:val="none"/>
                <w:lang w:val="en-US" w:eastAsia="zh-CN"/>
              </w:rPr>
              <w:t>3.2</w:t>
            </w:r>
            <w:r>
              <w:rPr>
                <w:rFonts w:hint="default" w:ascii="Times New Roman" w:hAnsi="Times New Roman" w:eastAsia="宋体" w:cs="Times New Roman"/>
                <w:color w:val="000000"/>
                <w:szCs w:val="28"/>
                <w:highlight w:val="none"/>
              </w:rPr>
              <w:t>-1</w:t>
            </w:r>
            <w:r>
              <w:rPr>
                <w:rFonts w:hint="default" w:ascii="Times New Roman" w:hAnsi="Times New Roman" w:eastAsia="宋体" w:cs="Times New Roman"/>
                <w:color w:val="000000"/>
                <w:szCs w:val="28"/>
                <w:highlight w:val="none"/>
                <w:lang w:val="en-US" w:eastAsia="zh-CN"/>
              </w:rPr>
              <w:t>1</w:t>
            </w:r>
            <w:r>
              <w:rPr>
                <w:rFonts w:hint="default" w:ascii="Times New Roman" w:hAnsi="Times New Roman" w:eastAsia="宋体" w:cs="Times New Roman"/>
                <w:color w:val="000000"/>
                <w:szCs w:val="28"/>
                <w:highlight w:val="none"/>
              </w:rPr>
              <w:t>）</w:t>
            </w:r>
          </w:p>
          <w:p w14:paraId="030679FA">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szCs w:val="28"/>
                <w:highlight w:val="none"/>
              </w:rPr>
            </w:pPr>
            <w:r>
              <w:rPr>
                <w:rFonts w:hint="default" w:ascii="Times New Roman" w:hAnsi="Times New Roman" w:eastAsia="宋体" w:cs="Times New Roman"/>
                <w:color w:val="000000"/>
                <w:szCs w:val="28"/>
                <w:highlight w:val="none"/>
              </w:rPr>
              <w:t>这一床面回淤计算公式已在海洋工程中得到较多应用，计算结果与实测回淤资料验证较好。本次水动力数学模型计算表明，工程引起的局部流场变化主要表现为工程区附近局部流速的</w:t>
            </w:r>
            <w:r>
              <w:rPr>
                <w:rFonts w:hint="default" w:ascii="Times New Roman" w:hAnsi="Times New Roman" w:eastAsia="宋体" w:cs="Times New Roman"/>
                <w:color w:val="000000"/>
                <w:szCs w:val="28"/>
                <w:highlight w:val="none"/>
                <w:lang w:val="en-US" w:eastAsia="zh-CN"/>
              </w:rPr>
              <w:t>减小</w:t>
            </w:r>
            <w:r>
              <w:rPr>
                <w:rFonts w:hint="default" w:ascii="Times New Roman" w:hAnsi="Times New Roman" w:eastAsia="宋体" w:cs="Times New Roman"/>
                <w:color w:val="000000"/>
                <w:szCs w:val="28"/>
                <w:highlight w:val="none"/>
              </w:rPr>
              <w:t>，由工程海域水体含沙量、悬沙粒度、底质粒度等分析结果结合水动力模型得到的流场，可以计算本工程建设引起的工程区附近滩面泥沙冲淤强度变化。</w:t>
            </w:r>
          </w:p>
          <w:p w14:paraId="54CA71BF">
            <w:pPr>
              <w:pStyle w:val="5"/>
              <w:bidi w:val="0"/>
              <w:rPr>
                <w:rFonts w:hint="default"/>
                <w:lang w:eastAsia="zh-CN"/>
              </w:rPr>
            </w:pPr>
            <w:bookmarkStart w:id="317" w:name="_Toc26800"/>
            <w:r>
              <w:rPr>
                <w:rFonts w:hint="default"/>
                <w:lang w:eastAsia="zh-CN"/>
              </w:rPr>
              <w:t>冲淤计算结果</w:t>
            </w:r>
            <w:bookmarkEnd w:id="317"/>
          </w:p>
          <w:p w14:paraId="6CFDB18D">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b w:val="0"/>
                <w:bCs w:val="0"/>
                <w:color w:val="000000"/>
                <w:szCs w:val="28"/>
                <w:highlight w:val="none"/>
                <w:u w:val="none"/>
              </w:rPr>
            </w:pPr>
            <w:r>
              <w:rPr>
                <w:rFonts w:hint="default" w:ascii="Times New Roman" w:hAnsi="Times New Roman" w:eastAsia="宋体" w:cs="Times New Roman"/>
                <w:color w:val="000000"/>
                <w:szCs w:val="28"/>
                <w:highlight w:val="none"/>
                <w:u w:val="none"/>
              </w:rPr>
              <w:t>根据上述经验公式和数</w:t>
            </w:r>
            <w:r>
              <w:rPr>
                <w:rFonts w:hint="default" w:ascii="Times New Roman" w:hAnsi="Times New Roman" w:eastAsia="宋体" w:cs="Times New Roman"/>
                <w:b w:val="0"/>
                <w:bCs w:val="0"/>
                <w:color w:val="000000"/>
                <w:szCs w:val="28"/>
                <w:highlight w:val="none"/>
                <w:u w:val="none"/>
              </w:rPr>
              <w:t>值模拟结果，计算了工程完成后首年冲淤强度分布情况和最终平衡冲淤强度分布情况，如</w:t>
            </w:r>
            <w:r>
              <w:rPr>
                <w:rFonts w:hint="default" w:ascii="Times New Roman" w:hAnsi="Times New Roman" w:eastAsia="宋体" w:cs="Times New Roman"/>
                <w:b w:val="0"/>
                <w:bCs w:val="0"/>
                <w:color w:val="000000"/>
                <w:szCs w:val="28"/>
                <w:highlight w:val="none"/>
                <w:u w:val="none"/>
              </w:rPr>
              <w:fldChar w:fldCharType="begin"/>
            </w:r>
            <w:r>
              <w:rPr>
                <w:rFonts w:hint="default" w:ascii="Times New Roman" w:hAnsi="Times New Roman" w:eastAsia="宋体" w:cs="Times New Roman"/>
                <w:b w:val="0"/>
                <w:bCs w:val="0"/>
                <w:color w:val="000000"/>
                <w:szCs w:val="28"/>
                <w:highlight w:val="none"/>
                <w:u w:val="none"/>
              </w:rPr>
              <w:instrText xml:space="preserve"> REF _Ref15293 \h </w:instrText>
            </w:r>
            <w:r>
              <w:rPr>
                <w:rFonts w:hint="default" w:ascii="Times New Roman" w:hAnsi="Times New Roman" w:eastAsia="宋体" w:cs="Times New Roman"/>
                <w:b w:val="0"/>
                <w:bCs w:val="0"/>
                <w:color w:val="000000"/>
                <w:szCs w:val="28"/>
                <w:highlight w:val="none"/>
                <w:u w:val="none"/>
              </w:rPr>
              <w:fldChar w:fldCharType="separate"/>
            </w:r>
            <w:r>
              <w:rPr>
                <w:rFonts w:hint="default" w:ascii="Times New Roman" w:hAnsi="Times New Roman" w:cs="Times New Roman"/>
                <w:color w:val="000000"/>
                <w:highlight w:val="none"/>
                <w:lang w:val="en-US" w:eastAsia="zh-CN"/>
              </w:rPr>
              <w:t>图</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STYLEREF 2 \s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lang w:val="en-US" w:eastAsia="zh-CN"/>
              </w:rPr>
              <w:t>4.3</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val="en-US" w:eastAsia="zh-CN"/>
              </w:rPr>
              <w:t>-15</w:t>
            </w:r>
            <w:r>
              <w:rPr>
                <w:rFonts w:hint="default" w:ascii="Times New Roman" w:hAnsi="Times New Roman" w:eastAsia="宋体" w:cs="Times New Roman"/>
                <w:b w:val="0"/>
                <w:bCs w:val="0"/>
                <w:color w:val="000000"/>
                <w:szCs w:val="28"/>
                <w:highlight w:val="none"/>
                <w:u w:val="none"/>
              </w:rPr>
              <w:fldChar w:fldCharType="end"/>
            </w:r>
            <w:r>
              <w:rPr>
                <w:rFonts w:hint="default" w:ascii="Times New Roman" w:hAnsi="Times New Roman" w:eastAsia="宋体" w:cs="Times New Roman"/>
                <w:b w:val="0"/>
                <w:bCs w:val="0"/>
                <w:color w:val="000000"/>
                <w:szCs w:val="28"/>
                <w:highlight w:val="none"/>
                <w:u w:val="none"/>
              </w:rPr>
              <w:t>和</w:t>
            </w:r>
            <w:r>
              <w:rPr>
                <w:rFonts w:hint="default" w:ascii="Times New Roman" w:hAnsi="Times New Roman" w:eastAsia="宋体" w:cs="Times New Roman"/>
                <w:b w:val="0"/>
                <w:bCs w:val="0"/>
                <w:color w:val="000000"/>
                <w:szCs w:val="28"/>
                <w:highlight w:val="none"/>
                <w:u w:val="none"/>
                <w:lang w:eastAsia="zh-CN"/>
              </w:rPr>
              <w:fldChar w:fldCharType="begin"/>
            </w:r>
            <w:r>
              <w:rPr>
                <w:rFonts w:hint="default" w:ascii="Times New Roman" w:hAnsi="Times New Roman" w:eastAsia="宋体" w:cs="Times New Roman"/>
                <w:b w:val="0"/>
                <w:bCs w:val="0"/>
                <w:color w:val="000000"/>
                <w:szCs w:val="28"/>
                <w:highlight w:val="none"/>
                <w:u w:val="none"/>
                <w:lang w:eastAsia="zh-CN"/>
              </w:rPr>
              <w:instrText xml:space="preserve"> REF _Ref15300 \h </w:instrText>
            </w:r>
            <w:r>
              <w:rPr>
                <w:rFonts w:hint="default" w:ascii="Times New Roman" w:hAnsi="Times New Roman" w:eastAsia="宋体" w:cs="Times New Roman"/>
                <w:b w:val="0"/>
                <w:bCs w:val="0"/>
                <w:color w:val="000000"/>
                <w:szCs w:val="28"/>
                <w:highlight w:val="none"/>
                <w:u w:val="none"/>
                <w:lang w:eastAsia="zh-CN"/>
              </w:rPr>
              <w:fldChar w:fldCharType="separate"/>
            </w:r>
            <w:r>
              <w:rPr>
                <w:rFonts w:hint="default" w:ascii="Times New Roman" w:hAnsi="Times New Roman" w:cs="Times New Roman"/>
                <w:color w:val="000000"/>
                <w:highlight w:val="none"/>
                <w:lang w:val="en-US" w:eastAsia="zh-CN"/>
              </w:rPr>
              <w:t>图</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STYLEREF 2 \s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lang w:val="en-US" w:eastAsia="zh-CN"/>
              </w:rPr>
              <w:t>4.3</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val="en-US" w:eastAsia="zh-CN"/>
              </w:rPr>
              <w:t>-16</w:t>
            </w:r>
            <w:r>
              <w:rPr>
                <w:rFonts w:hint="default" w:ascii="Times New Roman" w:hAnsi="Times New Roman" w:eastAsia="宋体" w:cs="Times New Roman"/>
                <w:b w:val="0"/>
                <w:bCs w:val="0"/>
                <w:color w:val="000000"/>
                <w:szCs w:val="28"/>
                <w:highlight w:val="none"/>
                <w:u w:val="none"/>
                <w:lang w:eastAsia="zh-CN"/>
              </w:rPr>
              <w:fldChar w:fldCharType="end"/>
            </w:r>
            <w:r>
              <w:rPr>
                <w:rFonts w:hint="default" w:ascii="Times New Roman" w:hAnsi="Times New Roman" w:eastAsia="宋体" w:cs="Times New Roman"/>
                <w:b w:val="0"/>
                <w:bCs w:val="0"/>
                <w:color w:val="000000"/>
                <w:szCs w:val="28"/>
                <w:highlight w:val="none"/>
                <w:u w:val="none"/>
              </w:rPr>
              <w:t>所示。</w:t>
            </w:r>
          </w:p>
          <w:p w14:paraId="7C4C0D84">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eastAsia="宋体" w:cs="Times New Roman"/>
                <w:color w:val="000000"/>
                <w:szCs w:val="28"/>
                <w:highlight w:val="none"/>
                <w:u w:val="none"/>
              </w:rPr>
            </w:pPr>
            <w:r>
              <w:rPr>
                <w:rFonts w:hint="default" w:ascii="Times New Roman" w:hAnsi="Times New Roman" w:eastAsia="宋体" w:cs="Times New Roman"/>
                <w:b/>
                <w:bCs/>
                <w:color w:val="000000"/>
                <w:szCs w:val="28"/>
                <w:highlight w:val="none"/>
                <w:u w:val="none"/>
              </w:rPr>
              <w:t>首年冲淤变化</w:t>
            </w:r>
            <w:r>
              <w:rPr>
                <w:rFonts w:hint="default" w:ascii="Times New Roman" w:hAnsi="Times New Roman" w:eastAsia="宋体" w:cs="Times New Roman"/>
                <w:b w:val="0"/>
                <w:bCs w:val="0"/>
                <w:color w:val="000000"/>
                <w:szCs w:val="28"/>
                <w:highlight w:val="none"/>
                <w:u w:val="none"/>
              </w:rPr>
              <w:t>：工程施工完成后，项目区域附近流速体现为减小的趋势，导致光伏区周围海域以淤积为主，淤积量范围在0.10～0.40m之间，项目区50m范围内的淤积厚度普遍大于0.20m，项目区100m范围内的淤积厚度普遍大于0.10m，越靠近项目区防波堤、基槽开挖和疏浚区淤积程度越大，越靠近项目区外侧淤积程度越小，这也与项目建设对流场影响的分布情况相一致。</w:t>
            </w:r>
          </w:p>
          <w:p w14:paraId="723C0AA4">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eastAsia="宋体" w:cs="Times New Roman"/>
                <w:color w:val="000000"/>
                <w:szCs w:val="28"/>
                <w:highlight w:val="none"/>
                <w:u w:val="none"/>
              </w:rPr>
            </w:pPr>
            <w:r>
              <w:rPr>
                <w:rFonts w:hint="default" w:ascii="Times New Roman" w:hAnsi="Times New Roman" w:eastAsia="宋体" w:cs="Times New Roman"/>
                <w:b/>
                <w:bCs/>
                <w:color w:val="000000"/>
                <w:szCs w:val="28"/>
                <w:highlight w:val="none"/>
                <w:u w:val="none"/>
              </w:rPr>
              <w:t>最终冲淤变化</w:t>
            </w:r>
            <w:r>
              <w:rPr>
                <w:rFonts w:hint="default" w:ascii="Times New Roman" w:hAnsi="Times New Roman" w:eastAsia="宋体" w:cs="Times New Roman"/>
                <w:color w:val="000000"/>
                <w:szCs w:val="28"/>
                <w:highlight w:val="none"/>
                <w:u w:val="none"/>
              </w:rPr>
              <w:t>：达到平衡之后，泥沙回淤的总体分布特征与工程后首年相比基本保持一致，但影响范围有所扩大，总体淤积厚度亦有所增加。项目区50m范围内的淤积厚度普遍大于0.30m；项目区周围100m范围内的淤积厚度则普遍大于0.15m。</w:t>
            </w:r>
          </w:p>
          <w:p w14:paraId="4FF93E8D">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highlight w:val="none"/>
                <w:lang w:eastAsia="zh-CN"/>
              </w:rPr>
            </w:pPr>
            <w:r>
              <w:rPr>
                <w:rFonts w:hint="default" w:ascii="Times New Roman" w:hAnsi="Times New Roman" w:eastAsia="宋体" w:cs="Times New Roman"/>
                <w:color w:val="000000"/>
                <w:szCs w:val="28"/>
                <w:highlight w:val="none"/>
                <w:u w:val="none"/>
              </w:rPr>
              <w:t>总体来看，工程建设对工程周边海域的海底冲淤环境的影响主要集中在防波堤、基槽开挖和疏浚区范围内海域，对工程周边其它海域基本不产生影响。</w:t>
            </w:r>
            <w:r>
              <w:rPr>
                <w:rFonts w:hint="default" w:ascii="Times New Roman" w:hAnsi="Times New Roman" w:eastAsia="宋体" w:cs="Times New Roman"/>
                <w:color w:val="000000"/>
                <w:highlight w:val="none"/>
                <w:lang w:eastAsia="zh-CN"/>
              </w:rPr>
              <w:t>项目建设在一定程度上改变了项目区附近海域的水动力环境，从而使得冲淤环境发生了变化。本项目建成后，受东、南防波堤的影响，港内水域、东防波堤北侧及东侧、南防波堤南侧海域为淤积区。其中港内水域最大年淤积强度约0.21m/a，位于南防波堤北侧，港内水域东北侧（东防波堤内侧）最大淤积幅度可达到0.17m/a；南防波堤南侧海域年淤积强度在0.18m/a内；东防波堤北侧及东侧海域淤积强度相对较小，年淤积强度在0.1m/a内。港区北侧开口，东防波堤东北段与大王马屿之间的海域，南端堤头及口门附近呈现不同程度的冲刷，最大年冲刷强度约0.10m/a。</w:t>
            </w:r>
          </w:p>
          <w:p w14:paraId="00D9D7EA">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eastAsia="宋体" w:cs="Times New Roman"/>
                <w:color w:val="000000"/>
                <w:highlight w:val="none"/>
                <w:lang w:eastAsia="zh-CN"/>
              </w:rPr>
              <w:t>项目区岸滩类型为基岩岸滩和泥质岸滩，项目建成后港内呈现淤积状态，不会造成岸滩的侵蚀而影响现状岸滩的稳定。</w:t>
            </w:r>
          </w:p>
          <w:p w14:paraId="2B9F4199">
            <w:pPr>
              <w:pStyle w:val="31"/>
              <w:bidi w:val="0"/>
              <w:rPr>
                <w:rFonts w:hint="default" w:ascii="Times New Roman" w:hAnsi="Times New Roman" w:cs="Times New Roman"/>
                <w:color w:val="000000"/>
                <w:highlight w:val="none"/>
                <w:lang w:val="en-US" w:eastAsia="zh-CN"/>
              </w:rPr>
            </w:pPr>
            <w:r>
              <w:rPr>
                <w:rFonts w:hint="eastAsia" w:cs="Times New Roman"/>
                <w:color w:val="000000"/>
                <w:kern w:val="2"/>
                <w:sz w:val="21"/>
                <w:szCs w:val="28"/>
                <w:highlight w:val="none"/>
                <w:lang w:val="en-US" w:eastAsia="zh-CN" w:bidi="ar-SA"/>
              </w:rPr>
              <w:t>（涉密删除）</w:t>
            </w:r>
          </w:p>
          <w:p w14:paraId="40A7E03D">
            <w:pPr>
              <w:pStyle w:val="30"/>
              <w:bidi w:val="0"/>
              <w:rPr>
                <w:rFonts w:hint="default" w:ascii="Times New Roman" w:hAnsi="Times New Roman" w:cs="Times New Roman"/>
                <w:color w:val="000000"/>
                <w:highlight w:val="none"/>
                <w:lang w:val="en-US" w:eastAsia="zh-CN"/>
              </w:rPr>
            </w:pPr>
            <w:bookmarkStart w:id="318" w:name="_Ref15293"/>
            <w:r>
              <w:rPr>
                <w:rFonts w:hint="default" w:ascii="Times New Roman" w:hAnsi="Times New Roman" w:cs="Times New Roman"/>
                <w:color w:val="000000"/>
                <w:highlight w:val="none"/>
                <w:lang w:val="en-US" w:eastAsia="zh-CN"/>
              </w:rPr>
              <w:t>图</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STYLEREF 2 \s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lang w:val="en-US" w:eastAsia="zh-CN"/>
              </w:rPr>
              <w:t>4.3</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val="en-US" w:eastAsia="zh-CN"/>
              </w:rPr>
              <w:t>-</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SEQ 图 \* ARABIC \s 2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lang w:val="en-US" w:eastAsia="zh-CN"/>
              </w:rPr>
              <w:t>15</w:t>
            </w:r>
            <w:r>
              <w:rPr>
                <w:rFonts w:hint="default" w:ascii="Times New Roman" w:hAnsi="Times New Roman" w:cs="Times New Roman"/>
                <w:color w:val="000000"/>
                <w:highlight w:val="none"/>
                <w:lang w:val="en-US" w:eastAsia="zh-CN"/>
              </w:rPr>
              <w:fldChar w:fldCharType="end"/>
            </w:r>
            <w:bookmarkEnd w:id="318"/>
            <w:r>
              <w:rPr>
                <w:rFonts w:hint="default" w:ascii="Times New Roman" w:hAnsi="Times New Roman" w:cs="Times New Roman"/>
                <w:color w:val="000000"/>
                <w:highlight w:val="none"/>
                <w:lang w:val="en-US" w:eastAsia="zh-CN"/>
              </w:rPr>
              <w:t xml:space="preserve"> 首年冲淤强度分布情况</w:t>
            </w:r>
          </w:p>
          <w:p w14:paraId="6578B085">
            <w:pPr>
              <w:pStyle w:val="31"/>
              <w:bidi w:val="0"/>
              <w:rPr>
                <w:rFonts w:hint="default" w:ascii="Times New Roman" w:hAnsi="Times New Roman" w:cs="Times New Roman"/>
                <w:color w:val="000000"/>
                <w:highlight w:val="none"/>
                <w:lang w:val="en-US" w:eastAsia="zh-CN"/>
              </w:rPr>
            </w:pPr>
            <w:r>
              <w:rPr>
                <w:rFonts w:hint="eastAsia" w:cs="Times New Roman"/>
                <w:color w:val="000000"/>
                <w:kern w:val="2"/>
                <w:sz w:val="21"/>
                <w:szCs w:val="28"/>
                <w:highlight w:val="none"/>
                <w:lang w:val="en-US" w:eastAsia="zh-CN" w:bidi="ar-SA"/>
              </w:rPr>
              <w:t>（涉密删除）</w:t>
            </w:r>
          </w:p>
          <w:p w14:paraId="63DD51A2">
            <w:pPr>
              <w:pStyle w:val="30"/>
              <w:bidi w:val="0"/>
              <w:rPr>
                <w:rFonts w:hint="default" w:ascii="Times New Roman" w:hAnsi="Times New Roman" w:cs="Times New Roman"/>
                <w:color w:val="000000"/>
                <w:highlight w:val="none"/>
              </w:rPr>
            </w:pPr>
            <w:bookmarkStart w:id="319" w:name="_Ref15300"/>
            <w:r>
              <w:rPr>
                <w:rFonts w:hint="default" w:ascii="Times New Roman" w:hAnsi="Times New Roman" w:cs="Times New Roman"/>
                <w:color w:val="000000"/>
                <w:highlight w:val="none"/>
                <w:lang w:val="en-US" w:eastAsia="zh-CN"/>
              </w:rPr>
              <w:t>图</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STYLEREF 2 \s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lang w:val="en-US" w:eastAsia="zh-CN"/>
              </w:rPr>
              <w:t>4.3</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val="en-US" w:eastAsia="zh-CN"/>
              </w:rPr>
              <w:t>-</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SEQ 图 \* ARABIC \s 2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lang w:val="en-US" w:eastAsia="zh-CN"/>
              </w:rPr>
              <w:t>16</w:t>
            </w:r>
            <w:r>
              <w:rPr>
                <w:rFonts w:hint="default" w:ascii="Times New Roman" w:hAnsi="Times New Roman" w:cs="Times New Roman"/>
                <w:color w:val="000000"/>
                <w:highlight w:val="none"/>
                <w:lang w:val="en-US" w:eastAsia="zh-CN"/>
              </w:rPr>
              <w:fldChar w:fldCharType="end"/>
            </w:r>
            <w:bookmarkEnd w:id="319"/>
            <w:r>
              <w:rPr>
                <w:rFonts w:hint="default" w:ascii="Times New Roman" w:hAnsi="Times New Roman" w:cs="Times New Roman"/>
                <w:color w:val="000000"/>
                <w:highlight w:val="none"/>
                <w:lang w:val="en-US" w:eastAsia="zh-CN"/>
              </w:rPr>
              <w:t xml:space="preserve"> 最终平衡冲淤强度分布情况</w:t>
            </w:r>
          </w:p>
          <w:p w14:paraId="6D29ECB6">
            <w:pPr>
              <w:pStyle w:val="4"/>
              <w:bidi w:val="0"/>
              <w:rPr>
                <w:rFonts w:hint="default"/>
              </w:rPr>
            </w:pPr>
            <w:bookmarkStart w:id="320" w:name="_Toc10875"/>
            <w:bookmarkStart w:id="321" w:name="_Toc6738"/>
            <w:bookmarkStart w:id="322" w:name="_Toc3111"/>
            <w:r>
              <w:rPr>
                <w:rFonts w:hint="default"/>
              </w:rPr>
              <w:t>海水水质环境影响预测与评价</w:t>
            </w:r>
            <w:bookmarkEnd w:id="320"/>
            <w:bookmarkEnd w:id="321"/>
            <w:bookmarkEnd w:id="322"/>
          </w:p>
          <w:p w14:paraId="473BC0AC">
            <w:pPr>
              <w:pStyle w:val="5"/>
              <w:bidi w:val="0"/>
              <w:rPr>
                <w:rFonts w:hint="default"/>
              </w:rPr>
            </w:pPr>
            <w:bookmarkStart w:id="323" w:name="_Toc13898"/>
            <w:r>
              <w:rPr>
                <w:rFonts w:hint="default"/>
              </w:rPr>
              <w:t>施工期悬浮泥沙入海对海水水质的影响分析</w:t>
            </w:r>
            <w:bookmarkEnd w:id="323"/>
          </w:p>
          <w:p w14:paraId="7EEBCFB6">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根据工程的实际情况，在工程施工期间，主要环境影响因子是施工过程中产生的悬浮泥沙。悬浮泥沙在海洋水文动力条件的作用下扩散、输运和沉降，形成浓度场，对海域环境产生影响。通过预测求得悬浮泥沙扩散的浓度场后，即可依据海水水质标准，评价其对周围环境的影响程度。</w:t>
            </w:r>
          </w:p>
          <w:p w14:paraId="2E06873E">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lang w:eastAsia="zh-CN"/>
              </w:rPr>
            </w:pPr>
            <w:r>
              <w:rPr>
                <w:rFonts w:hint="default" w:ascii="Times New Roman" w:hAnsi="Times New Roman" w:cs="Times New Roman"/>
                <w:b/>
                <w:bCs/>
                <w:color w:val="000000"/>
                <w:highlight w:val="none"/>
                <w:lang w:eastAsia="zh-CN"/>
              </w:rPr>
              <w:t>（1）悬浮泥沙浓度场数学模型</w:t>
            </w:r>
          </w:p>
          <w:p w14:paraId="582C5886">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在施工过程中，较粗泥沙很快沉降海底，较细泥沙颗粒较长时间悬浮于水体中并随海流输移扩散，形成悬浮泥沙场。计算中，只考虑工程增加的悬沙的输运，而不考虑背景浓度。</w:t>
            </w:r>
          </w:p>
          <w:p w14:paraId="195D7D4A">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悬浮泥沙的输移扩散模式，采用考虑悬浮物沉降的二维输移扩散方程</w:t>
            </w:r>
          </w:p>
          <w:p w14:paraId="2C220BA6">
            <w:pPr>
              <w:widowControl w:val="0"/>
              <w:bidi w:val="0"/>
              <w:adjustRightInd/>
              <w:snapToGrid/>
              <w:spacing w:line="240" w:lineRule="auto"/>
              <w:ind w:firstLine="0" w:firstLineChars="0"/>
              <w:jc w:val="right"/>
              <w:rPr>
                <w:rFonts w:hint="default" w:ascii="Times New Roman" w:hAnsi="Times New Roman" w:eastAsia="宋体" w:cs="Times New Roman"/>
                <w:color w:val="000000"/>
                <w:kern w:val="2"/>
                <w:sz w:val="21"/>
                <w:szCs w:val="28"/>
                <w:highlight w:val="none"/>
                <w:lang w:val="en-US" w:eastAsia="zh-CN" w:bidi="ar-SA"/>
              </w:rPr>
            </w:pPr>
            <w:r>
              <w:rPr>
                <w:rFonts w:hint="default" w:ascii="Times New Roman" w:hAnsi="Times New Roman" w:eastAsia="宋体" w:cs="Times New Roman"/>
                <w:color w:val="000000"/>
                <w:kern w:val="2"/>
                <w:position w:val="-30"/>
                <w:sz w:val="21"/>
                <w:szCs w:val="28"/>
                <w:highlight w:val="none"/>
                <w:lang w:val="en-US" w:eastAsia="zh-CN" w:bidi="ar-SA"/>
              </w:rPr>
              <w:object>
                <v:shape id="_x0000_i1058" o:spt="75" type="#_x0000_t75" style="height:36.3pt;width:246.2pt;" o:ole="t" filled="f" o:preferrelative="t" stroked="f" coordsize="21600,21600">
                  <v:path/>
                  <v:fill on="f" focussize="0,0"/>
                  <v:stroke on="f"/>
                  <v:imagedata r:id="rId97" o:title=""/>
                  <o:lock v:ext="edit" aspectratio="t"/>
                  <w10:wrap type="none"/>
                  <w10:anchorlock/>
                </v:shape>
                <o:OLEObject Type="Embed" ProgID="Equation.3" ShapeID="_x0000_i1058" DrawAspect="Content" ObjectID="_1468075759" r:id="rId96">
                  <o:LockedField>false</o:LockedField>
                </o:OLEObject>
              </w:object>
            </w:r>
            <w:r>
              <w:rPr>
                <w:rFonts w:hint="default" w:ascii="Times New Roman" w:hAnsi="Times New Roman" w:eastAsia="宋体" w:cs="Times New Roman"/>
                <w:color w:val="000000"/>
                <w:kern w:val="2"/>
                <w:sz w:val="21"/>
                <w:szCs w:val="28"/>
                <w:highlight w:val="none"/>
                <w:lang w:val="en-US" w:eastAsia="zh-CN" w:bidi="ar-SA"/>
              </w:rPr>
              <w:t xml:space="preserve">        </w:t>
            </w:r>
            <w:r>
              <w:rPr>
                <w:rFonts w:hint="default" w:ascii="Times New Roman" w:hAnsi="Times New Roman" w:eastAsia="宋体" w:cs="Times New Roman"/>
                <w:color w:val="000000"/>
                <w:kern w:val="2"/>
                <w:sz w:val="24"/>
                <w:szCs w:val="24"/>
                <w:highlight w:val="none"/>
                <w:lang w:val="en-US" w:eastAsia="zh-CN" w:bidi="ar-SA"/>
              </w:rPr>
              <w:t>（</w:t>
            </w:r>
            <w:r>
              <w:rPr>
                <w:rFonts w:hint="eastAsia" w:cs="Times New Roman"/>
                <w:color w:val="000000"/>
                <w:kern w:val="2"/>
                <w:sz w:val="24"/>
                <w:szCs w:val="24"/>
                <w:highlight w:val="none"/>
                <w:lang w:val="en-US" w:eastAsia="zh-CN" w:bidi="ar-SA"/>
              </w:rPr>
              <w:t>4</w:t>
            </w:r>
            <w:r>
              <w:rPr>
                <w:rFonts w:hint="default" w:ascii="Times New Roman" w:hAnsi="Times New Roman" w:eastAsia="宋体" w:cs="Times New Roman"/>
                <w:color w:val="000000"/>
                <w:kern w:val="2"/>
                <w:sz w:val="24"/>
                <w:szCs w:val="24"/>
                <w:highlight w:val="none"/>
                <w:lang w:val="en-US" w:eastAsia="zh-CN" w:bidi="ar-SA"/>
              </w:rPr>
              <w:t>.3.1-1）</w:t>
            </w:r>
          </w:p>
          <w:p w14:paraId="3798643C">
            <w:pPr>
              <w:bidi w:val="0"/>
              <w:adjustRightInd/>
              <w:snapToGrid/>
              <w:ind w:firstLine="480" w:firstLineChars="200"/>
              <w:rPr>
                <w:rFonts w:hint="default" w:ascii="Times New Roman" w:hAnsi="Times New Roman" w:eastAsia="宋体" w:cs="Times New Roman"/>
                <w:color w:val="000000"/>
                <w:szCs w:val="28"/>
                <w:highlight w:val="none"/>
                <w:lang w:val="en-US" w:eastAsia="zh-CN"/>
              </w:rPr>
            </w:pPr>
            <w:r>
              <w:rPr>
                <w:rFonts w:hint="default" w:ascii="Times New Roman" w:hAnsi="Times New Roman" w:eastAsia="宋体" w:cs="Times New Roman"/>
                <w:color w:val="000000"/>
                <w:szCs w:val="28"/>
                <w:highlight w:val="none"/>
              </w:rPr>
              <w:t>式中，</w:t>
            </w:r>
            <w:r>
              <w:rPr>
                <w:rFonts w:hint="default" w:ascii="Times New Roman" w:hAnsi="Times New Roman" w:eastAsia="宋体" w:cs="Times New Roman"/>
                <w:i/>
                <w:color w:val="000000"/>
                <w:szCs w:val="28"/>
                <w:highlight w:val="none"/>
              </w:rPr>
              <w:t>D</w:t>
            </w:r>
            <w:r>
              <w:rPr>
                <w:rFonts w:hint="default" w:ascii="Times New Roman" w:hAnsi="Times New Roman" w:eastAsia="宋体" w:cs="Times New Roman"/>
                <w:i/>
                <w:color w:val="000000"/>
                <w:szCs w:val="28"/>
                <w:highlight w:val="none"/>
                <w:vertAlign w:val="subscript"/>
              </w:rPr>
              <w:t>x</w:t>
            </w:r>
            <w:r>
              <w:rPr>
                <w:rFonts w:hint="default" w:ascii="Times New Roman" w:hAnsi="Times New Roman" w:eastAsia="宋体" w:cs="Times New Roman"/>
                <w:i/>
                <w:color w:val="000000"/>
                <w:szCs w:val="28"/>
                <w:highlight w:val="none"/>
              </w:rPr>
              <w:t>、</w:t>
            </w:r>
            <w:r>
              <w:rPr>
                <w:rFonts w:hint="default" w:ascii="Times New Roman" w:hAnsi="Times New Roman" w:eastAsia="宋体" w:cs="Times New Roman"/>
                <w:color w:val="000000"/>
                <w:szCs w:val="28"/>
                <w:highlight w:val="none"/>
              </w:rPr>
              <w:t>Dy分别是x和y方向上的水平涡动扩散系数，采用经验公式</w:t>
            </w:r>
            <w:r>
              <w:rPr>
                <w:rFonts w:hint="default" w:ascii="Times New Roman" w:hAnsi="Times New Roman" w:eastAsia="宋体" w:cs="Times New Roman"/>
                <w:color w:val="000000"/>
                <w:position w:val="-12"/>
                <w:szCs w:val="28"/>
                <w:highlight w:val="none"/>
              </w:rPr>
              <w:object>
                <v:shape id="_x0000_i1059" o:spt="75" type="#_x0000_t75" style="height:15.6pt;width:63.95pt;" o:ole="t" filled="f" o:preferrelative="t" stroked="f" coordsize="21600,21600">
                  <v:path/>
                  <v:fill on="f" focussize="0,0"/>
                  <v:stroke on="f" joinstyle="miter"/>
                  <v:imagedata r:id="rId99" o:title=""/>
                  <o:lock v:ext="edit" aspectratio="t"/>
                  <w10:wrap type="none"/>
                  <w10:anchorlock/>
                </v:shape>
                <o:OLEObject Type="Embed" ProgID="Equation.3" ShapeID="_x0000_i1059" DrawAspect="Content" ObjectID="_1468075760" r:id="rId98">
                  <o:LockedField>false</o:LockedField>
                </o:OLEObject>
              </w:object>
            </w:r>
            <w:r>
              <w:rPr>
                <w:rFonts w:hint="default" w:ascii="Times New Roman" w:hAnsi="Times New Roman" w:eastAsia="宋体" w:cs="Times New Roman"/>
                <w:color w:val="000000"/>
                <w:szCs w:val="28"/>
                <w:highlight w:val="none"/>
              </w:rPr>
              <w:t>，其中，K为经验系数，取0.05；</w:t>
            </w:r>
            <w:r>
              <w:rPr>
                <w:rFonts w:hint="default" w:ascii="Times New Roman" w:hAnsi="Times New Roman" w:eastAsia="宋体" w:cs="Times New Roman"/>
                <w:color w:val="000000"/>
                <w:position w:val="-12"/>
                <w:szCs w:val="28"/>
                <w:highlight w:val="none"/>
              </w:rPr>
              <w:object>
                <v:shape id="_x0000_i1060" o:spt="75" type="#_x0000_t75" style="height:15.6pt;width:20.4pt;" o:ole="t" filled="f" o:preferrelative="t" stroked="f" coordsize="21600,21600">
                  <v:path/>
                  <v:fill on="f" focussize="0,0"/>
                  <v:stroke on="f" joinstyle="miter"/>
                  <v:imagedata r:id="rId101" o:title=""/>
                  <o:lock v:ext="edit" aspectratio="t"/>
                  <w10:wrap type="none"/>
                  <w10:anchorlock/>
                </v:shape>
                <o:OLEObject Type="Embed" ProgID="Equation.3" ShapeID="_x0000_i1060" DrawAspect="Content" ObjectID="_1468075761" r:id="rId100">
                  <o:LockedField>false</o:LockedField>
                </o:OLEObject>
              </w:object>
            </w:r>
            <w:r>
              <w:rPr>
                <w:rFonts w:hint="default" w:ascii="Times New Roman" w:hAnsi="Times New Roman" w:eastAsia="宋体" w:cs="Times New Roman"/>
                <w:color w:val="000000"/>
                <w:szCs w:val="28"/>
                <w:highlight w:val="none"/>
              </w:rPr>
              <w:t>分别为x，y方向的网格尺度；</w:t>
            </w:r>
            <w:r>
              <w:rPr>
                <w:rFonts w:hint="default" w:ascii="Times New Roman" w:hAnsi="Times New Roman" w:eastAsia="宋体" w:cs="Times New Roman"/>
                <w:color w:val="000000"/>
                <w:position w:val="-12"/>
                <w:szCs w:val="28"/>
                <w:highlight w:val="none"/>
              </w:rPr>
              <w:object>
                <v:shape id="_x0000_i1061" o:spt="75" type="#_x0000_t75" style="height:15.6pt;width:15.6pt;" o:ole="t" filled="f" o:preferrelative="t" stroked="f" coordsize="21600,21600">
                  <v:path/>
                  <v:fill on="f" focussize="0,0"/>
                  <v:stroke on="f" joinstyle="miter"/>
                  <v:imagedata r:id="rId103" o:title=""/>
                  <o:lock v:ext="edit" aspectratio="t"/>
                  <w10:wrap type="none"/>
                  <w10:anchorlock/>
                </v:shape>
                <o:OLEObject Type="Embed" ProgID="Equation.3" ShapeID="_x0000_i1061" DrawAspect="Content" ObjectID="_1468075762" r:id="rId102">
                  <o:LockedField>false</o:LockedField>
                </o:OLEObject>
              </w:object>
            </w:r>
            <w:r>
              <w:rPr>
                <w:rFonts w:hint="default" w:ascii="Times New Roman" w:hAnsi="Times New Roman" w:eastAsia="宋体" w:cs="Times New Roman"/>
                <w:color w:val="000000"/>
                <w:szCs w:val="28"/>
                <w:highlight w:val="none"/>
              </w:rPr>
              <w:t>分别为x，y方向的速度。Sd是沉降项，Ss是源强项。</w:t>
            </w:r>
            <w:r>
              <w:rPr>
                <w:rFonts w:hint="default" w:ascii="Times New Roman" w:hAnsi="Times New Roman" w:eastAsia="宋体" w:cs="Times New Roman"/>
                <w:color w:val="000000"/>
                <w:szCs w:val="28"/>
                <w:highlight w:val="none"/>
                <w:lang w:val="en-US" w:eastAsia="zh-CN"/>
              </w:rPr>
              <w:t>其中，沉降项宜采用现场实测法确定，无实测资料时可取0.05cm/s。</w:t>
            </w:r>
          </w:p>
          <w:p w14:paraId="299DC4FB">
            <w:pPr>
              <w:bidi w:val="0"/>
              <w:adjustRightInd/>
              <w:snapToGrid/>
              <w:ind w:firstLine="480" w:firstLineChars="200"/>
              <w:rPr>
                <w:rFonts w:hint="default" w:ascii="Times New Roman" w:hAnsi="Times New Roman" w:eastAsia="宋体" w:cs="Times New Roman"/>
                <w:color w:val="000000"/>
                <w:szCs w:val="28"/>
                <w:highlight w:val="none"/>
              </w:rPr>
            </w:pPr>
            <w:r>
              <w:rPr>
                <w:rFonts w:hint="default" w:ascii="Times New Roman" w:hAnsi="Times New Roman" w:eastAsia="宋体" w:cs="Times New Roman"/>
                <w:color w:val="000000"/>
                <w:szCs w:val="28"/>
                <w:highlight w:val="none"/>
              </w:rPr>
              <w:t>求解扩散方程所需的边界条件为：</w:t>
            </w:r>
          </w:p>
          <w:p w14:paraId="29E62073">
            <w:pPr>
              <w:bidi w:val="0"/>
              <w:adjustRightInd/>
              <w:snapToGrid/>
              <w:jc w:val="right"/>
              <w:rPr>
                <w:rFonts w:hint="default" w:ascii="Times New Roman" w:hAnsi="Times New Roman" w:eastAsia="宋体" w:cs="Times New Roman"/>
                <w:color w:val="000000"/>
                <w:szCs w:val="28"/>
                <w:highlight w:val="none"/>
              </w:rPr>
            </w:pPr>
            <w:r>
              <w:rPr>
                <w:rFonts w:hint="default" w:ascii="Times New Roman" w:hAnsi="Times New Roman" w:eastAsia="宋体" w:cs="Times New Roman"/>
                <w:color w:val="000000"/>
                <w:szCs w:val="28"/>
                <w:highlight w:val="none"/>
              </w:rPr>
              <w:t xml:space="preserve">流出时段满足：    </w:t>
            </w:r>
            <w:r>
              <w:rPr>
                <w:rFonts w:hint="default" w:ascii="Times New Roman" w:hAnsi="Times New Roman" w:eastAsia="宋体" w:cs="Times New Roman"/>
                <w:color w:val="000000"/>
                <w:szCs w:val="28"/>
                <w:highlight w:val="none"/>
                <w:lang w:val="en-US" w:eastAsia="zh-CN"/>
              </w:rPr>
              <w:t xml:space="preserve">  </w:t>
            </w:r>
            <w:r>
              <w:rPr>
                <w:rFonts w:hint="default" w:ascii="Times New Roman" w:hAnsi="Times New Roman" w:eastAsia="宋体" w:cs="Times New Roman"/>
                <w:color w:val="000000"/>
                <w:szCs w:val="28"/>
                <w:highlight w:val="none"/>
              </w:rPr>
              <w:t xml:space="preserve">       </w:t>
            </w:r>
            <w:r>
              <w:rPr>
                <w:rFonts w:hint="default" w:ascii="Times New Roman" w:hAnsi="Times New Roman" w:eastAsia="宋体" w:cs="Times New Roman"/>
                <w:color w:val="000000"/>
                <w:position w:val="-24"/>
                <w:szCs w:val="28"/>
                <w:highlight w:val="none"/>
              </w:rPr>
              <w:object>
                <v:shape id="_x0000_i1062" o:spt="75" type="#_x0000_t75" style="height:30.65pt;width:79.5pt;" o:ole="t" filled="f" o:preferrelative="t" stroked="f" coordsize="21600,21600">
                  <v:path/>
                  <v:fill on="f" focussize="0,0"/>
                  <v:stroke on="f" joinstyle="miter"/>
                  <v:imagedata r:id="rId105" o:title=""/>
                  <o:lock v:ext="edit" aspectratio="t"/>
                  <w10:wrap type="none"/>
                  <w10:anchorlock/>
                </v:shape>
                <o:OLEObject Type="Embed" ProgID="Equation.3" ShapeID="_x0000_i1062" DrawAspect="Content" ObjectID="_1468075763" r:id="rId104">
                  <o:LockedField>false</o:LockedField>
                </o:OLEObject>
              </w:object>
            </w:r>
            <w:r>
              <w:rPr>
                <w:rFonts w:hint="default" w:ascii="Times New Roman" w:hAnsi="Times New Roman" w:eastAsia="宋体" w:cs="Times New Roman"/>
                <w:color w:val="000000"/>
                <w:szCs w:val="28"/>
                <w:highlight w:val="none"/>
              </w:rPr>
              <w:t xml:space="preserve">      </w:t>
            </w:r>
            <w:r>
              <w:rPr>
                <w:rFonts w:hint="default" w:ascii="Times New Roman" w:hAnsi="Times New Roman" w:eastAsia="宋体" w:cs="Times New Roman"/>
                <w:color w:val="000000"/>
                <w:szCs w:val="28"/>
                <w:highlight w:val="none"/>
                <w:lang w:val="en-US" w:eastAsia="zh-CN"/>
              </w:rPr>
              <w:t xml:space="preserve">  </w:t>
            </w:r>
            <w:r>
              <w:rPr>
                <w:rFonts w:hint="default" w:ascii="Times New Roman" w:hAnsi="Times New Roman" w:eastAsia="宋体" w:cs="Times New Roman"/>
                <w:color w:val="000000"/>
                <w:szCs w:val="28"/>
                <w:highlight w:val="none"/>
              </w:rPr>
              <w:t xml:space="preserve">       （</w:t>
            </w:r>
            <w:r>
              <w:rPr>
                <w:rFonts w:hint="default" w:ascii="Times New Roman" w:hAnsi="Times New Roman" w:eastAsia="宋体" w:cs="Times New Roman"/>
                <w:color w:val="000000"/>
                <w:szCs w:val="28"/>
                <w:highlight w:val="none"/>
                <w:lang w:val="en-US" w:eastAsia="zh-CN"/>
              </w:rPr>
              <w:t>5</w:t>
            </w:r>
            <w:r>
              <w:rPr>
                <w:rFonts w:hint="default" w:ascii="Times New Roman" w:hAnsi="Times New Roman" w:eastAsia="宋体" w:cs="Times New Roman"/>
                <w:color w:val="000000"/>
                <w:szCs w:val="28"/>
                <w:highlight w:val="none"/>
              </w:rPr>
              <w:t>.</w:t>
            </w:r>
            <w:r>
              <w:rPr>
                <w:rFonts w:hint="default" w:ascii="Times New Roman" w:hAnsi="Times New Roman" w:eastAsia="宋体" w:cs="Times New Roman"/>
                <w:color w:val="000000"/>
                <w:szCs w:val="28"/>
                <w:highlight w:val="none"/>
                <w:lang w:val="en-US" w:eastAsia="zh-CN"/>
              </w:rPr>
              <w:t>3</w:t>
            </w:r>
            <w:r>
              <w:rPr>
                <w:rFonts w:hint="default" w:ascii="Times New Roman" w:hAnsi="Times New Roman" w:eastAsia="宋体" w:cs="Times New Roman"/>
                <w:color w:val="000000"/>
                <w:szCs w:val="28"/>
                <w:highlight w:val="none"/>
              </w:rPr>
              <w:t>.</w:t>
            </w:r>
            <w:r>
              <w:rPr>
                <w:rFonts w:hint="default" w:ascii="Times New Roman" w:hAnsi="Times New Roman" w:eastAsia="宋体" w:cs="Times New Roman"/>
                <w:color w:val="000000"/>
                <w:szCs w:val="28"/>
                <w:highlight w:val="none"/>
                <w:lang w:val="en-US" w:eastAsia="zh-CN"/>
              </w:rPr>
              <w:t>1</w:t>
            </w:r>
            <w:r>
              <w:rPr>
                <w:rFonts w:hint="default" w:ascii="Times New Roman" w:hAnsi="Times New Roman" w:eastAsia="宋体" w:cs="Times New Roman"/>
                <w:color w:val="000000"/>
                <w:szCs w:val="28"/>
                <w:highlight w:val="none"/>
              </w:rPr>
              <w:t>-2）</w:t>
            </w:r>
          </w:p>
          <w:p w14:paraId="7EA1FDD7">
            <w:pPr>
              <w:bidi w:val="0"/>
              <w:adjustRightInd/>
              <w:snapToGrid/>
              <w:jc w:val="right"/>
              <w:rPr>
                <w:rFonts w:hint="default" w:ascii="Times New Roman" w:hAnsi="Times New Roman" w:eastAsia="宋体" w:cs="Times New Roman"/>
                <w:color w:val="000000"/>
                <w:szCs w:val="28"/>
                <w:highlight w:val="none"/>
              </w:rPr>
            </w:pPr>
            <w:r>
              <w:rPr>
                <w:rFonts w:hint="default" w:ascii="Times New Roman" w:hAnsi="Times New Roman" w:eastAsia="宋体" w:cs="Times New Roman"/>
                <w:color w:val="000000"/>
                <w:szCs w:val="28"/>
                <w:highlight w:val="none"/>
              </w:rPr>
              <w:t xml:space="preserve">流入时段满足     </w:t>
            </w:r>
            <w:r>
              <w:rPr>
                <w:rFonts w:hint="default" w:ascii="Times New Roman" w:hAnsi="Times New Roman" w:eastAsia="宋体" w:cs="Times New Roman"/>
                <w:color w:val="000000"/>
                <w:szCs w:val="28"/>
                <w:highlight w:val="none"/>
                <w:lang w:val="en-US" w:eastAsia="zh-CN"/>
              </w:rPr>
              <w:t xml:space="preserve">   </w:t>
            </w:r>
            <w:r>
              <w:rPr>
                <w:rFonts w:hint="default" w:ascii="Times New Roman" w:hAnsi="Times New Roman" w:eastAsia="宋体" w:cs="Times New Roman"/>
                <w:color w:val="000000"/>
                <w:szCs w:val="28"/>
                <w:highlight w:val="none"/>
              </w:rPr>
              <w:t xml:space="preserve">          </w:t>
            </w:r>
            <w:r>
              <w:rPr>
                <w:rFonts w:hint="default" w:ascii="Times New Roman" w:hAnsi="Times New Roman" w:eastAsia="宋体" w:cs="Times New Roman"/>
                <w:color w:val="000000"/>
                <w:position w:val="-4"/>
                <w:szCs w:val="28"/>
                <w:highlight w:val="none"/>
              </w:rPr>
              <w:object>
                <v:shape id="_x0000_i1063" o:spt="75" type="#_x0000_t75" style="height:15.6pt;width:41.35pt;" o:ole="t" filled="f" o:preferrelative="t" stroked="f" coordsize="21600,21600">
                  <v:path/>
                  <v:fill on="f" focussize="0,0"/>
                  <v:stroke on="f" joinstyle="miter"/>
                  <v:imagedata r:id="rId107" o:title=""/>
                  <o:lock v:ext="edit" aspectratio="t"/>
                  <w10:wrap type="none"/>
                  <w10:anchorlock/>
                </v:shape>
                <o:OLEObject Type="Embed" ProgID="Equation.3" ShapeID="_x0000_i1063" DrawAspect="Content" ObjectID="_1468075764" r:id="rId106">
                  <o:LockedField>false</o:LockedField>
                </o:OLEObject>
              </w:object>
            </w:r>
            <w:r>
              <w:rPr>
                <w:rFonts w:hint="default" w:ascii="Times New Roman" w:hAnsi="Times New Roman" w:eastAsia="宋体" w:cs="Times New Roman"/>
                <w:color w:val="000000"/>
                <w:szCs w:val="28"/>
                <w:highlight w:val="none"/>
              </w:rPr>
              <w:t xml:space="preserve">        </w:t>
            </w:r>
            <w:r>
              <w:rPr>
                <w:rFonts w:hint="default" w:ascii="Times New Roman" w:hAnsi="Times New Roman" w:eastAsia="宋体" w:cs="Times New Roman"/>
                <w:color w:val="000000"/>
                <w:szCs w:val="28"/>
                <w:highlight w:val="none"/>
                <w:lang w:val="en-US" w:eastAsia="zh-CN"/>
              </w:rPr>
              <w:t xml:space="preserve">  </w:t>
            </w:r>
            <w:r>
              <w:rPr>
                <w:rFonts w:hint="default" w:ascii="Times New Roman" w:hAnsi="Times New Roman" w:eastAsia="宋体" w:cs="Times New Roman"/>
                <w:color w:val="000000"/>
                <w:szCs w:val="28"/>
                <w:highlight w:val="none"/>
              </w:rPr>
              <w:t xml:space="preserve">        （</w:t>
            </w:r>
            <w:r>
              <w:rPr>
                <w:rFonts w:hint="default" w:ascii="Times New Roman" w:hAnsi="Times New Roman" w:eastAsia="宋体" w:cs="Times New Roman"/>
                <w:color w:val="000000"/>
                <w:szCs w:val="28"/>
                <w:highlight w:val="none"/>
                <w:lang w:val="en-US" w:eastAsia="zh-CN"/>
              </w:rPr>
              <w:t>5</w:t>
            </w:r>
            <w:r>
              <w:rPr>
                <w:rFonts w:hint="default" w:ascii="Times New Roman" w:hAnsi="Times New Roman" w:eastAsia="宋体" w:cs="Times New Roman"/>
                <w:color w:val="000000"/>
                <w:szCs w:val="28"/>
                <w:highlight w:val="none"/>
              </w:rPr>
              <w:t>.</w:t>
            </w:r>
            <w:r>
              <w:rPr>
                <w:rFonts w:hint="default" w:ascii="Times New Roman" w:hAnsi="Times New Roman" w:eastAsia="宋体" w:cs="Times New Roman"/>
                <w:color w:val="000000"/>
                <w:szCs w:val="28"/>
                <w:highlight w:val="none"/>
                <w:lang w:val="en-US" w:eastAsia="zh-CN"/>
              </w:rPr>
              <w:t>3</w:t>
            </w:r>
            <w:r>
              <w:rPr>
                <w:rFonts w:hint="default" w:ascii="Times New Roman" w:hAnsi="Times New Roman" w:eastAsia="宋体" w:cs="Times New Roman"/>
                <w:color w:val="000000"/>
                <w:szCs w:val="28"/>
                <w:highlight w:val="none"/>
              </w:rPr>
              <w:t>.</w:t>
            </w:r>
            <w:r>
              <w:rPr>
                <w:rFonts w:hint="default" w:ascii="Times New Roman" w:hAnsi="Times New Roman" w:eastAsia="宋体" w:cs="Times New Roman"/>
                <w:color w:val="000000"/>
                <w:szCs w:val="28"/>
                <w:highlight w:val="none"/>
                <w:lang w:val="en-US" w:eastAsia="zh-CN"/>
              </w:rPr>
              <w:t>1</w:t>
            </w:r>
            <w:r>
              <w:rPr>
                <w:rFonts w:hint="default" w:ascii="Times New Roman" w:hAnsi="Times New Roman" w:eastAsia="宋体" w:cs="Times New Roman"/>
                <w:color w:val="000000"/>
                <w:szCs w:val="28"/>
                <w:highlight w:val="none"/>
              </w:rPr>
              <w:t>-3）</w:t>
            </w:r>
          </w:p>
          <w:p w14:paraId="41BEE127">
            <w:pPr>
              <w:bidi w:val="0"/>
              <w:adjustRightInd/>
              <w:snapToGrid/>
              <w:ind w:firstLine="480" w:firstLineChars="200"/>
              <w:rPr>
                <w:rFonts w:hint="default" w:ascii="Times New Roman" w:hAnsi="Times New Roman" w:eastAsia="宋体" w:cs="Times New Roman"/>
                <w:color w:val="000000"/>
                <w:szCs w:val="28"/>
                <w:highlight w:val="none"/>
              </w:rPr>
            </w:pPr>
            <w:r>
              <w:rPr>
                <w:rFonts w:hint="default" w:ascii="Times New Roman" w:hAnsi="Times New Roman" w:eastAsia="宋体" w:cs="Times New Roman"/>
                <w:color w:val="000000"/>
                <w:szCs w:val="28"/>
                <w:highlight w:val="none"/>
              </w:rPr>
              <w:t>其中，</w:t>
            </w:r>
            <w:r>
              <w:rPr>
                <w:rFonts w:hint="default" w:ascii="Times New Roman" w:hAnsi="Times New Roman" w:eastAsia="宋体" w:cs="Times New Roman"/>
                <w:color w:val="000000"/>
                <w:position w:val="-4"/>
                <w:szCs w:val="28"/>
                <w:highlight w:val="none"/>
              </w:rPr>
              <w:object>
                <v:shape id="_x0000_i1064" o:spt="75" type="#_x0000_t75" style="height:15.6pt;width:15.6pt;" o:ole="t" filled="f" o:preferrelative="t" stroked="f" coordsize="21600,21600">
                  <v:path/>
                  <v:fill on="f" focussize="0,0"/>
                  <v:stroke on="f" joinstyle="miter"/>
                  <v:imagedata r:id="rId109" o:title=""/>
                  <o:lock v:ext="edit" aspectratio="t"/>
                  <w10:wrap type="none"/>
                  <w10:anchorlock/>
                </v:shape>
                <o:OLEObject Type="Embed" ProgID="Equation.DSMT4" ShapeID="_x0000_i1064" DrawAspect="Content" ObjectID="_1468075765" r:id="rId108">
                  <o:LockedField>false</o:LockedField>
                </o:OLEObject>
              </w:object>
            </w:r>
            <w:r>
              <w:rPr>
                <w:rFonts w:hint="default" w:ascii="Times New Roman" w:hAnsi="Times New Roman" w:eastAsia="宋体" w:cs="Times New Roman"/>
                <w:color w:val="000000"/>
                <w:szCs w:val="28"/>
                <w:highlight w:val="none"/>
              </w:rPr>
              <w:t>为开边界处海水</w:t>
            </w:r>
            <w:r>
              <w:rPr>
                <w:rFonts w:hint="default" w:ascii="Times New Roman" w:hAnsi="Times New Roman" w:eastAsia="宋体" w:cs="Times New Roman"/>
                <w:i/>
                <w:iCs/>
                <w:color w:val="000000"/>
                <w:szCs w:val="28"/>
                <w:highlight w:val="none"/>
              </w:rPr>
              <w:t>SS</w:t>
            </w:r>
            <w:r>
              <w:rPr>
                <w:rFonts w:hint="default" w:ascii="Times New Roman" w:hAnsi="Times New Roman" w:eastAsia="宋体" w:cs="Times New Roman"/>
                <w:color w:val="000000"/>
                <w:szCs w:val="28"/>
                <w:highlight w:val="none"/>
              </w:rPr>
              <w:t>的背景浓度值，这里设为0。</w:t>
            </w:r>
          </w:p>
          <w:p w14:paraId="75634CF7">
            <w:pPr>
              <w:ind w:firstLine="480" w:firstLineChars="200"/>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szCs w:val="28"/>
                <w:highlight w:val="none"/>
              </w:rPr>
              <w:t>数值差分采用</w:t>
            </w:r>
            <w:r>
              <w:rPr>
                <w:rFonts w:hint="default" w:ascii="Times New Roman" w:hAnsi="Times New Roman" w:eastAsia="宋体" w:cs="Times New Roman"/>
                <w:iCs/>
                <w:color w:val="000000"/>
                <w:szCs w:val="28"/>
                <w:highlight w:val="none"/>
              </w:rPr>
              <w:t>QUICKEST</w:t>
            </w:r>
            <w:r>
              <w:rPr>
                <w:rFonts w:hint="default" w:ascii="Times New Roman" w:hAnsi="Times New Roman" w:eastAsia="宋体" w:cs="Times New Roman"/>
                <w:color w:val="000000"/>
                <w:szCs w:val="28"/>
                <w:highlight w:val="none"/>
              </w:rPr>
              <w:t>格式，时间步长同潮流场。</w:t>
            </w:r>
          </w:p>
          <w:p w14:paraId="1BF387B4">
            <w:pPr>
              <w:ind w:firstLine="482" w:firstLineChars="20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eastAsia="zh-CN"/>
              </w:rPr>
              <w:t>（2）</w:t>
            </w:r>
            <w:r>
              <w:rPr>
                <w:rFonts w:hint="default" w:ascii="Times New Roman" w:hAnsi="Times New Roman" w:cs="Times New Roman"/>
                <w:b/>
                <w:bCs/>
                <w:color w:val="000000"/>
                <w:highlight w:val="none"/>
                <w:lang w:val="en-US" w:eastAsia="zh-CN"/>
              </w:rPr>
              <w:t>悬浮泥沙预测方案</w:t>
            </w:r>
          </w:p>
          <w:p w14:paraId="00D9A995">
            <w:pPr>
              <w:ind w:firstLine="480" w:firstLineChars="20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本项目基槽开挖、港池疏浚拟采用1艘8m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抓斗式挖泥船进行作业，基床抛石拟采用1艘施工船进行抛石施工。在不同的时刻，施工过程中产生的悬浮泥沙影响范围是不同的，为了了解本项目整个施工过程中，可能影响到的全部范围情况，本次预测将上述施工对水质的影响</w:t>
            </w:r>
            <w:r>
              <w:rPr>
                <w:rFonts w:hint="eastAsia" w:ascii="Times New Roman" w:hAnsi="Times New Roman" w:cs="Times New Roman"/>
                <w:color w:val="000000"/>
                <w:highlight w:val="none"/>
                <w:lang w:val="en-US" w:eastAsia="zh-CN"/>
              </w:rPr>
              <w:t>按施工时序进行预测</w:t>
            </w:r>
            <w:r>
              <w:rPr>
                <w:rFonts w:hint="default" w:ascii="Times New Roman" w:hAnsi="Times New Roman" w:cs="Times New Roman"/>
                <w:color w:val="000000"/>
                <w:highlight w:val="none"/>
                <w:lang w:val="en-US" w:eastAsia="zh-CN"/>
              </w:rPr>
              <w:t>：①基槽开挖、港池疏浚的水质影响；②基床抛石的水质影响；③基槽开挖、港池疏浚、基床抛石的水质叠加影响。</w:t>
            </w:r>
          </w:p>
          <w:p w14:paraId="27857E1E">
            <w:pPr>
              <w:ind w:firstLine="480" w:firstLineChars="20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根据工程分析，</w:t>
            </w:r>
            <w:r>
              <w:rPr>
                <w:rFonts w:hint="default" w:ascii="Times New Roman" w:hAnsi="Times New Roman" w:cs="Times New Roman"/>
                <w:color w:val="000000"/>
                <w:highlight w:val="none"/>
              </w:rPr>
              <w:t>8m</w:t>
            </w:r>
            <w:r>
              <w:rPr>
                <w:rFonts w:hint="default" w:ascii="Times New Roman" w:hAnsi="Times New Roman" w:cs="Times New Roman"/>
                <w:color w:val="000000"/>
                <w:highlight w:val="none"/>
                <w:vertAlign w:val="superscript"/>
              </w:rPr>
              <w:t>3</w:t>
            </w:r>
            <w:r>
              <w:rPr>
                <w:rFonts w:hint="default" w:ascii="Times New Roman" w:hAnsi="Times New Roman" w:cs="Times New Roman"/>
                <w:color w:val="000000"/>
                <w:highlight w:val="none"/>
                <w:lang w:val="en-US" w:eastAsia="zh-CN"/>
              </w:rPr>
              <w:t>抓斗式</w:t>
            </w:r>
            <w:r>
              <w:rPr>
                <w:rFonts w:hint="default" w:ascii="Times New Roman" w:hAnsi="Times New Roman" w:cs="Times New Roman"/>
                <w:color w:val="000000"/>
                <w:highlight w:val="none"/>
              </w:rPr>
              <w:t>挖泥船</w:t>
            </w:r>
            <w:r>
              <w:rPr>
                <w:rFonts w:hint="default" w:ascii="Times New Roman" w:hAnsi="Times New Roman" w:cs="Times New Roman"/>
                <w:color w:val="000000"/>
                <w:highlight w:val="none"/>
                <w:lang w:val="en-US" w:eastAsia="zh-CN"/>
              </w:rPr>
              <w:t>产生的悬浮泥沙源强</w:t>
            </w:r>
            <w:r>
              <w:rPr>
                <w:rFonts w:hint="default" w:ascii="Times New Roman" w:hAnsi="Times New Roman" w:cs="Times New Roman"/>
                <w:color w:val="000000"/>
                <w:highlight w:val="none"/>
              </w:rPr>
              <w:t>为</w:t>
            </w:r>
            <w:r>
              <w:rPr>
                <w:rFonts w:hint="default" w:ascii="Times New Roman" w:hAnsi="Times New Roman" w:cs="Times New Roman"/>
                <w:color w:val="000000"/>
                <w:highlight w:val="none"/>
                <w:lang w:eastAsia="zh-CN"/>
              </w:rPr>
              <w:t>2.29kg/s，</w:t>
            </w:r>
            <w:r>
              <w:rPr>
                <w:rFonts w:hint="default" w:ascii="Times New Roman" w:hAnsi="Times New Roman" w:cs="Times New Roman"/>
                <w:color w:val="000000"/>
                <w:highlight w:val="none"/>
              </w:rPr>
              <w:t>抛石形成的悬浮泥沙源强为</w:t>
            </w:r>
            <w:r>
              <w:rPr>
                <w:rFonts w:hint="default" w:ascii="Times New Roman" w:hAnsi="Times New Roman" w:cs="Times New Roman"/>
                <w:color w:val="000000"/>
                <w:highlight w:val="none"/>
                <w:lang w:eastAsia="zh-CN"/>
              </w:rPr>
              <w:t>1.80kg/s</w:t>
            </w:r>
            <w:r>
              <w:rPr>
                <w:rFonts w:hint="default" w:ascii="Times New Roman" w:hAnsi="Times New Roman" w:cs="Times New Roman"/>
                <w:color w:val="000000"/>
                <w:highlight w:val="none"/>
              </w:rPr>
              <w:t>。</w:t>
            </w:r>
          </w:p>
          <w:p w14:paraId="232B4B98">
            <w:pPr>
              <w:ind w:firstLine="482" w:firstLineChars="200"/>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3</w:t>
            </w: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悬浮泥沙</w:t>
            </w:r>
            <w:r>
              <w:rPr>
                <w:rFonts w:hint="default" w:ascii="Times New Roman" w:hAnsi="Times New Roman" w:cs="Times New Roman"/>
                <w:b/>
                <w:bCs/>
                <w:color w:val="000000"/>
                <w:highlight w:val="none"/>
              </w:rPr>
              <w:t>扩散预测结果和分析</w:t>
            </w:r>
          </w:p>
          <w:p w14:paraId="39032AED">
            <w:pPr>
              <w:ind w:firstLine="480" w:firstLineChars="20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自本项目施工作业的初始时刻起，源点附近由于沉降、掺混过程所形成的悬浮泥沙浑浊云团，在海流作用下扩散迁移形成“污染区”。它表征了各种因素（源强、自净能力）对环境水质的影响程度。潮混合使核心浓度达到平衡态的时间，决定于水域的地形特征和流场的强弱以及流态。通常，水域小，流场强，达到平衡态的时间就短。</w:t>
            </w:r>
          </w:p>
          <w:p w14:paraId="79C17AE9">
            <w:pPr>
              <w:ind w:firstLine="482" w:firstLineChars="20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①基槽开挖、港池疏浚的水质影响</w:t>
            </w:r>
          </w:p>
          <w:p w14:paraId="6108F91D">
            <w:pPr>
              <w:ind w:firstLine="480" w:firstLineChars="200"/>
              <w:rPr>
                <w:rFonts w:hint="default" w:ascii="Times New Roman" w:hAnsi="Times New Roman" w:cs="Times New Roman"/>
                <w:color w:val="000000"/>
                <w:szCs w:val="24"/>
                <w:highlight w:val="none"/>
                <w:vertAlign w:val="baseline"/>
                <w:lang w:eastAsia="zh-CN"/>
              </w:rPr>
            </w:pPr>
            <w:r>
              <w:rPr>
                <w:rFonts w:hint="default" w:ascii="Times New Roman" w:hAnsi="Times New Roman" w:cs="Times New Roman"/>
                <w:color w:val="000000"/>
                <w:highlight w:val="none"/>
                <w:lang w:val="en-US" w:eastAsia="zh-CN"/>
              </w:rPr>
              <w:t>根据</w:t>
            </w:r>
            <w:r>
              <w:rPr>
                <w:rFonts w:hint="default" w:ascii="Times New Roman" w:hAnsi="Times New Roman" w:cs="Times New Roman"/>
                <w:color w:val="000000"/>
                <w:szCs w:val="24"/>
                <w:highlight w:val="none"/>
              </w:rPr>
              <w:fldChar w:fldCharType="begin"/>
            </w:r>
            <w:r>
              <w:rPr>
                <w:rFonts w:hint="default" w:ascii="Times New Roman" w:hAnsi="Times New Roman" w:cs="Times New Roman"/>
                <w:color w:val="000000"/>
                <w:szCs w:val="24"/>
                <w:highlight w:val="none"/>
              </w:rPr>
              <w:instrText xml:space="preserve"> REF _Ref8691 \h </w:instrText>
            </w:r>
            <w:r>
              <w:rPr>
                <w:rFonts w:hint="default" w:ascii="Times New Roman" w:hAnsi="Times New Roman" w:cs="Times New Roman"/>
                <w:color w:val="000000"/>
                <w:szCs w:val="24"/>
                <w:highlight w:val="none"/>
              </w:rPr>
              <w:fldChar w:fldCharType="separate"/>
            </w:r>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4.3</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4</w:t>
            </w:r>
            <w:r>
              <w:rPr>
                <w:rFonts w:hint="default" w:ascii="Times New Roman" w:hAnsi="Times New Roman" w:cs="Times New Roman"/>
                <w:color w:val="000000"/>
                <w:szCs w:val="24"/>
                <w:highlight w:val="none"/>
              </w:rPr>
              <w:fldChar w:fldCharType="end"/>
            </w:r>
            <w:r>
              <w:rPr>
                <w:rFonts w:hint="default" w:ascii="Times New Roman" w:hAnsi="Times New Roman" w:cs="Times New Roman"/>
                <w:color w:val="000000"/>
                <w:szCs w:val="24"/>
                <w:highlight w:val="none"/>
                <w:lang w:eastAsia="zh-CN"/>
              </w:rPr>
              <w:t>、</w:t>
            </w:r>
            <w:r>
              <w:rPr>
                <w:rFonts w:hint="default" w:ascii="Times New Roman" w:hAnsi="Times New Roman" w:cs="Times New Roman"/>
                <w:color w:val="000000"/>
                <w:highlight w:val="none"/>
                <w:lang w:val="en-US"/>
              </w:rPr>
              <w:fldChar w:fldCharType="begin"/>
            </w:r>
            <w:r>
              <w:rPr>
                <w:rFonts w:hint="default" w:ascii="Times New Roman" w:hAnsi="Times New Roman" w:cs="Times New Roman"/>
                <w:color w:val="000000"/>
                <w:highlight w:val="none"/>
                <w:lang w:val="en-US"/>
              </w:rPr>
              <w:instrText xml:space="preserve"> REF _Ref12734 \h </w:instrText>
            </w:r>
            <w:r>
              <w:rPr>
                <w:rFonts w:hint="default" w:ascii="Times New Roman" w:hAnsi="Times New Roman" w:cs="Times New Roman"/>
                <w:color w:val="000000"/>
                <w:highlight w:val="none"/>
                <w:lang w:val="en-US"/>
              </w:rPr>
              <w:fldChar w:fldCharType="separate"/>
            </w:r>
            <w:r>
              <w:rPr>
                <w:rFonts w:hint="default" w:ascii="Times New Roman" w:hAnsi="Times New Roman" w:cs="Times New Roman"/>
                <w:color w:val="000000"/>
                <w:highlight w:val="none"/>
                <w:lang w:val="en-US" w:eastAsia="zh-CN"/>
              </w:rPr>
              <w:t>图</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STYLEREF 2 \s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lang w:val="en-US" w:eastAsia="zh-CN"/>
              </w:rPr>
              <w:t>4.3</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val="en-US" w:eastAsia="zh-CN"/>
              </w:rPr>
              <w:t>-17</w:t>
            </w:r>
            <w:r>
              <w:rPr>
                <w:rFonts w:hint="default" w:ascii="Times New Roman" w:hAnsi="Times New Roman" w:cs="Times New Roman"/>
                <w:color w:val="000000"/>
                <w:highlight w:val="none"/>
                <w:lang w:val="en-US"/>
              </w:rPr>
              <w:fldChar w:fldCharType="end"/>
            </w:r>
            <w:r>
              <w:rPr>
                <w:rFonts w:hint="default" w:ascii="Times New Roman" w:hAnsi="Times New Roman" w:cs="Times New Roman"/>
                <w:color w:val="000000"/>
                <w:highlight w:val="none"/>
                <w:lang w:val="en-US" w:eastAsia="zh-CN"/>
              </w:rPr>
              <w:t>可知，本项目</w:t>
            </w:r>
            <w:r>
              <w:rPr>
                <w:rFonts w:hint="default" w:ascii="Times New Roman" w:hAnsi="Times New Roman" w:cs="Times New Roman"/>
                <w:color w:val="000000"/>
                <w:highlight w:val="none"/>
                <w:lang w:eastAsia="zh-CN"/>
              </w:rPr>
              <w:t>基槽开挖、疏浚施工作业悬浮物增量浓度的影响范围所形成的最大运动半径，受涨落潮的影响，中心点距10mg/L等值线的距离南北侧最远，最大运动半径为1.2km。基槽开挖、疏浚</w:t>
            </w:r>
            <w:r>
              <w:rPr>
                <w:rFonts w:hint="default" w:ascii="Times New Roman" w:hAnsi="Times New Roman" w:cs="Times New Roman"/>
                <w:color w:val="000000"/>
                <w:highlight w:val="none"/>
                <w:lang w:val="en-US" w:eastAsia="zh-CN"/>
              </w:rPr>
              <w:t>施工</w:t>
            </w:r>
            <w:r>
              <w:rPr>
                <w:rFonts w:hint="default" w:ascii="Times New Roman" w:hAnsi="Times New Roman" w:cs="Times New Roman"/>
                <w:color w:val="000000"/>
                <w:szCs w:val="24"/>
                <w:highlight w:val="none"/>
              </w:rPr>
              <w:t>过程中产生的悬浮泥沙增量在</w:t>
            </w:r>
            <w:r>
              <w:rPr>
                <w:rFonts w:hint="default" w:ascii="Times New Roman" w:hAnsi="Times New Roman" w:cs="Times New Roman"/>
                <w:color w:val="000000"/>
                <w:szCs w:val="24"/>
                <w:highlight w:val="none"/>
                <w:lang w:val="en-US" w:eastAsia="zh-CN"/>
              </w:rPr>
              <w:t>&gt;</w:t>
            </w:r>
            <w:r>
              <w:rPr>
                <w:rFonts w:hint="default" w:ascii="Times New Roman" w:hAnsi="Times New Roman" w:cs="Times New Roman"/>
                <w:color w:val="000000"/>
                <w:szCs w:val="24"/>
                <w:highlight w:val="none"/>
              </w:rPr>
              <w:t>10mg/L、</w:t>
            </w:r>
            <w:r>
              <w:rPr>
                <w:rFonts w:hint="default" w:ascii="Times New Roman" w:hAnsi="Times New Roman" w:cs="Times New Roman"/>
                <w:color w:val="000000"/>
                <w:szCs w:val="24"/>
                <w:highlight w:val="none"/>
                <w:lang w:val="en-US" w:eastAsia="zh-CN"/>
              </w:rPr>
              <w:t>&gt;</w:t>
            </w:r>
            <w:r>
              <w:rPr>
                <w:rFonts w:hint="default" w:ascii="Times New Roman" w:hAnsi="Times New Roman" w:cs="Times New Roman"/>
                <w:color w:val="000000"/>
                <w:szCs w:val="24"/>
                <w:highlight w:val="none"/>
              </w:rPr>
              <w:t>20mg/L、</w:t>
            </w:r>
            <w:r>
              <w:rPr>
                <w:rFonts w:hint="default" w:ascii="Times New Roman" w:hAnsi="Times New Roman" w:cs="Times New Roman"/>
                <w:color w:val="000000"/>
                <w:szCs w:val="24"/>
                <w:highlight w:val="none"/>
                <w:lang w:val="en-US" w:eastAsia="zh-CN"/>
              </w:rPr>
              <w:t>&gt;</w:t>
            </w:r>
            <w:r>
              <w:rPr>
                <w:rFonts w:hint="default" w:ascii="Times New Roman" w:hAnsi="Times New Roman" w:cs="Times New Roman"/>
                <w:color w:val="000000"/>
                <w:szCs w:val="24"/>
                <w:highlight w:val="none"/>
              </w:rPr>
              <w:t>50mg/L、</w:t>
            </w:r>
            <w:r>
              <w:rPr>
                <w:rFonts w:hint="default" w:ascii="Times New Roman" w:hAnsi="Times New Roman" w:cs="Times New Roman"/>
                <w:color w:val="000000"/>
                <w:szCs w:val="24"/>
                <w:highlight w:val="none"/>
                <w:lang w:val="en-US" w:eastAsia="zh-CN"/>
              </w:rPr>
              <w:t>&gt;</w:t>
            </w:r>
            <w:r>
              <w:rPr>
                <w:rFonts w:hint="default" w:ascii="Times New Roman" w:hAnsi="Times New Roman" w:cs="Times New Roman"/>
                <w:color w:val="000000"/>
                <w:szCs w:val="24"/>
                <w:highlight w:val="none"/>
              </w:rPr>
              <w:t>100mg/L、</w:t>
            </w:r>
            <w:r>
              <w:rPr>
                <w:rFonts w:hint="default" w:ascii="Times New Roman" w:hAnsi="Times New Roman" w:cs="Times New Roman"/>
                <w:color w:val="000000"/>
                <w:szCs w:val="24"/>
                <w:highlight w:val="none"/>
                <w:lang w:val="en-US" w:eastAsia="zh-CN"/>
              </w:rPr>
              <w:t>&gt;</w:t>
            </w:r>
            <w:r>
              <w:rPr>
                <w:rFonts w:hint="default" w:ascii="Times New Roman" w:hAnsi="Times New Roman" w:cs="Times New Roman"/>
                <w:color w:val="000000"/>
                <w:szCs w:val="24"/>
                <w:highlight w:val="none"/>
              </w:rPr>
              <w:t>150mg/L以上的海域面积最大值分别为</w:t>
            </w:r>
            <w:r>
              <w:rPr>
                <w:rFonts w:hint="default" w:ascii="Times New Roman" w:hAnsi="Times New Roman" w:cs="Times New Roman"/>
                <w:color w:val="000000"/>
                <w:szCs w:val="24"/>
                <w:highlight w:val="none"/>
                <w:lang w:val="en-US" w:eastAsia="zh-CN"/>
              </w:rPr>
              <w:t>0.96</w:t>
            </w:r>
            <w:r>
              <w:rPr>
                <w:rFonts w:hint="default" w:ascii="Times New Roman" w:hAnsi="Times New Roman" w:cs="Times New Roman"/>
                <w:color w:val="000000"/>
                <w:szCs w:val="24"/>
                <w:highlight w:val="none"/>
              </w:rPr>
              <w:t>km</w:t>
            </w:r>
            <w:r>
              <w:rPr>
                <w:rFonts w:hint="default" w:ascii="Times New Roman" w:hAnsi="Times New Roman" w:cs="Times New Roman"/>
                <w:color w:val="000000"/>
                <w:szCs w:val="24"/>
                <w:highlight w:val="none"/>
                <w:vertAlign w:val="superscript"/>
              </w:rPr>
              <w:t>2</w:t>
            </w:r>
            <w:r>
              <w:rPr>
                <w:rFonts w:hint="default" w:ascii="Times New Roman" w:hAnsi="Times New Roman" w:cs="Times New Roman"/>
                <w:color w:val="000000"/>
                <w:szCs w:val="24"/>
                <w:highlight w:val="none"/>
              </w:rPr>
              <w:t>、</w:t>
            </w:r>
            <w:r>
              <w:rPr>
                <w:rFonts w:hint="default" w:ascii="Times New Roman" w:hAnsi="Times New Roman" w:cs="Times New Roman"/>
                <w:color w:val="000000"/>
                <w:szCs w:val="24"/>
                <w:highlight w:val="none"/>
                <w:lang w:val="en-US" w:eastAsia="zh-CN"/>
              </w:rPr>
              <w:t>0.70</w:t>
            </w:r>
            <w:r>
              <w:rPr>
                <w:rFonts w:hint="default" w:ascii="Times New Roman" w:hAnsi="Times New Roman" w:cs="Times New Roman"/>
                <w:color w:val="000000"/>
                <w:szCs w:val="24"/>
                <w:highlight w:val="none"/>
              </w:rPr>
              <w:t>km</w:t>
            </w:r>
            <w:r>
              <w:rPr>
                <w:rFonts w:hint="default" w:ascii="Times New Roman" w:hAnsi="Times New Roman" w:cs="Times New Roman"/>
                <w:color w:val="000000"/>
                <w:szCs w:val="24"/>
                <w:highlight w:val="none"/>
                <w:vertAlign w:val="superscript"/>
              </w:rPr>
              <w:t>2</w:t>
            </w:r>
            <w:r>
              <w:rPr>
                <w:rFonts w:hint="default" w:ascii="Times New Roman" w:hAnsi="Times New Roman" w:cs="Times New Roman"/>
                <w:color w:val="000000"/>
                <w:szCs w:val="24"/>
                <w:highlight w:val="none"/>
              </w:rPr>
              <w:t>、</w:t>
            </w:r>
            <w:r>
              <w:rPr>
                <w:rFonts w:hint="default" w:ascii="Times New Roman" w:hAnsi="Times New Roman" w:cs="Times New Roman"/>
                <w:color w:val="000000"/>
                <w:szCs w:val="24"/>
                <w:highlight w:val="none"/>
                <w:lang w:val="en-US" w:eastAsia="zh-CN"/>
              </w:rPr>
              <w:t>0.43</w:t>
            </w:r>
            <w:r>
              <w:rPr>
                <w:rFonts w:hint="default" w:ascii="Times New Roman" w:hAnsi="Times New Roman" w:cs="Times New Roman"/>
                <w:color w:val="000000"/>
                <w:szCs w:val="24"/>
                <w:highlight w:val="none"/>
              </w:rPr>
              <w:t>km</w:t>
            </w:r>
            <w:r>
              <w:rPr>
                <w:rFonts w:hint="default" w:ascii="Times New Roman" w:hAnsi="Times New Roman" w:cs="Times New Roman"/>
                <w:color w:val="000000"/>
                <w:szCs w:val="24"/>
                <w:highlight w:val="none"/>
                <w:vertAlign w:val="superscript"/>
              </w:rPr>
              <w:t>2</w:t>
            </w:r>
            <w:r>
              <w:rPr>
                <w:rFonts w:hint="default" w:ascii="Times New Roman" w:hAnsi="Times New Roman" w:cs="Times New Roman"/>
                <w:color w:val="000000"/>
                <w:szCs w:val="24"/>
                <w:highlight w:val="none"/>
              </w:rPr>
              <w:t>、</w:t>
            </w:r>
            <w:r>
              <w:rPr>
                <w:rFonts w:hint="default" w:ascii="Times New Roman" w:hAnsi="Times New Roman" w:cs="Times New Roman"/>
                <w:color w:val="000000"/>
                <w:szCs w:val="24"/>
                <w:highlight w:val="none"/>
                <w:lang w:val="en-US" w:eastAsia="zh-CN"/>
              </w:rPr>
              <w:t>0.28</w:t>
            </w:r>
            <w:r>
              <w:rPr>
                <w:rFonts w:hint="default" w:ascii="Times New Roman" w:hAnsi="Times New Roman" w:cs="Times New Roman"/>
                <w:color w:val="000000"/>
                <w:szCs w:val="24"/>
                <w:highlight w:val="none"/>
              </w:rPr>
              <w:t>km</w:t>
            </w:r>
            <w:r>
              <w:rPr>
                <w:rFonts w:hint="default" w:ascii="Times New Roman" w:hAnsi="Times New Roman" w:cs="Times New Roman"/>
                <w:color w:val="000000"/>
                <w:szCs w:val="24"/>
                <w:highlight w:val="none"/>
                <w:vertAlign w:val="superscript"/>
              </w:rPr>
              <w:t>2</w:t>
            </w:r>
            <w:r>
              <w:rPr>
                <w:rFonts w:hint="default" w:ascii="Times New Roman" w:hAnsi="Times New Roman" w:cs="Times New Roman"/>
                <w:color w:val="000000"/>
                <w:szCs w:val="24"/>
                <w:highlight w:val="none"/>
              </w:rPr>
              <w:t>、</w:t>
            </w:r>
            <w:r>
              <w:rPr>
                <w:rFonts w:hint="default" w:ascii="Times New Roman" w:hAnsi="Times New Roman" w:cs="Times New Roman"/>
                <w:color w:val="000000"/>
                <w:szCs w:val="24"/>
                <w:highlight w:val="none"/>
                <w:lang w:val="en-US" w:eastAsia="zh-CN"/>
              </w:rPr>
              <w:t>0.21</w:t>
            </w:r>
            <w:r>
              <w:rPr>
                <w:rFonts w:hint="default" w:ascii="Times New Roman" w:hAnsi="Times New Roman" w:cs="Times New Roman"/>
                <w:color w:val="000000"/>
                <w:szCs w:val="24"/>
                <w:highlight w:val="none"/>
              </w:rPr>
              <w:t>km</w:t>
            </w:r>
            <w:r>
              <w:rPr>
                <w:rFonts w:hint="default" w:ascii="Times New Roman" w:hAnsi="Times New Roman" w:cs="Times New Roman"/>
                <w:color w:val="000000"/>
                <w:szCs w:val="24"/>
                <w:highlight w:val="none"/>
                <w:vertAlign w:val="superscript"/>
              </w:rPr>
              <w:t>2</w:t>
            </w:r>
            <w:r>
              <w:rPr>
                <w:rFonts w:hint="default" w:ascii="Times New Roman" w:hAnsi="Times New Roman" w:cs="Times New Roman"/>
                <w:color w:val="000000"/>
                <w:szCs w:val="24"/>
                <w:highlight w:val="none"/>
                <w:vertAlign w:val="baseline"/>
                <w:lang w:eastAsia="zh-CN"/>
              </w:rPr>
              <w:t>。</w:t>
            </w:r>
          </w:p>
          <w:p w14:paraId="30B195FC">
            <w:pPr>
              <w:rPr>
                <w:rFonts w:hint="default" w:ascii="Times New Roman" w:hAnsi="Times New Roman" w:cs="Times New Roman"/>
                <w:color w:val="000000"/>
                <w:szCs w:val="24"/>
                <w:highlight w:val="none"/>
              </w:rPr>
            </w:pPr>
            <w:r>
              <w:rPr>
                <w:rFonts w:hint="default" w:ascii="Times New Roman" w:hAnsi="Times New Roman" w:cs="Times New Roman"/>
                <w:color w:val="000000"/>
                <w:kern w:val="2"/>
                <w:highlight w:val="none"/>
              </w:rPr>
              <w:t>总体而言，基槽开挖、港池疏浚</w:t>
            </w:r>
            <w:r>
              <w:rPr>
                <w:rFonts w:hint="default" w:ascii="Times New Roman" w:hAnsi="Times New Roman" w:cs="Times New Roman"/>
                <w:color w:val="000000"/>
                <w:highlight w:val="none"/>
              </w:rPr>
              <w:t>施工悬沙增量超过10mg/L水域最大影响面积为</w:t>
            </w:r>
            <w:r>
              <w:rPr>
                <w:rFonts w:hint="default" w:ascii="Times New Roman" w:hAnsi="Times New Roman" w:cs="Times New Roman"/>
                <w:color w:val="000000"/>
                <w:szCs w:val="24"/>
                <w:highlight w:val="none"/>
                <w:lang w:val="en-US" w:eastAsia="zh-CN"/>
              </w:rPr>
              <w:t>0.96</w:t>
            </w:r>
            <w:r>
              <w:rPr>
                <w:rFonts w:hint="default" w:ascii="Times New Roman" w:hAnsi="Times New Roman" w:cs="Times New Roman"/>
                <w:color w:val="000000"/>
                <w:szCs w:val="24"/>
                <w:highlight w:val="none"/>
              </w:rPr>
              <w:t>km</w:t>
            </w:r>
            <w:r>
              <w:rPr>
                <w:rFonts w:hint="default" w:ascii="Times New Roman" w:hAnsi="Times New Roman" w:cs="Times New Roman"/>
                <w:color w:val="000000"/>
                <w:szCs w:val="24"/>
                <w:highlight w:val="none"/>
                <w:vertAlign w:val="superscript"/>
              </w:rPr>
              <w:t>2</w:t>
            </w:r>
            <w:r>
              <w:rPr>
                <w:rFonts w:hint="default" w:ascii="Times New Roman" w:hAnsi="Times New Roman" w:cs="Times New Roman"/>
                <w:color w:val="000000"/>
                <w:kern w:val="2"/>
                <w:highlight w:val="none"/>
                <w:lang w:eastAsia="zh-CN"/>
              </w:rPr>
              <w:t>，不会到达生态保护红线区，</w:t>
            </w:r>
            <w:r>
              <w:rPr>
                <w:rFonts w:hint="default" w:ascii="Times New Roman" w:hAnsi="Times New Roman" w:cs="Times New Roman"/>
                <w:color w:val="000000"/>
                <w:kern w:val="2"/>
                <w:highlight w:val="none"/>
              </w:rPr>
              <w:t>施工形成的悬浮泥沙仅对周边海域产生一定影响。</w:t>
            </w:r>
          </w:p>
          <w:p w14:paraId="1A156D06">
            <w:pPr>
              <w:pStyle w:val="30"/>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4.3</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表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2</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val="en-US" w:eastAsia="zh-CN"/>
              </w:rPr>
              <w:t xml:space="preserve"> </w:t>
            </w:r>
            <w:r>
              <w:rPr>
                <w:rFonts w:hint="default" w:ascii="Times New Roman" w:hAnsi="Times New Roman" w:cs="Times New Roman"/>
                <w:color w:val="000000"/>
                <w:highlight w:val="none"/>
                <w:lang w:eastAsia="zh-CN"/>
              </w:rPr>
              <w:t>基槽开挖、疏浚施工作业悬浮物增量浓度的影响范围</w:t>
            </w:r>
          </w:p>
          <w:tbl>
            <w:tblPr>
              <w:tblStyle w:val="2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54"/>
              <w:gridCol w:w="1046"/>
              <w:gridCol w:w="1046"/>
              <w:gridCol w:w="1046"/>
              <w:gridCol w:w="1046"/>
              <w:gridCol w:w="1046"/>
              <w:gridCol w:w="1049"/>
            </w:tblGrid>
            <w:tr w14:paraId="168FD3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6" w:type="pct"/>
                  <w:noWrap w:val="0"/>
                  <w:vAlign w:val="center"/>
                </w:tcPr>
                <w:p w14:paraId="40B032FE">
                  <w:pPr>
                    <w:pStyle w:val="31"/>
                    <w:bidi w:val="0"/>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rPr>
                    <w:t>悬浮泥沙浓度（mg/L）</w:t>
                  </w:r>
                </w:p>
              </w:tc>
              <w:tc>
                <w:tcPr>
                  <w:tcW w:w="635" w:type="pct"/>
                  <w:noWrap/>
                  <w:vAlign w:val="center"/>
                </w:tcPr>
                <w:p w14:paraId="434F5A63">
                  <w:pPr>
                    <w:pStyle w:val="31"/>
                    <w:bidi w:val="0"/>
                    <w:rPr>
                      <w:rFonts w:hint="default" w:ascii="Times New Roman" w:hAnsi="Times New Roman" w:cs="Times New Roman"/>
                      <w:b/>
                      <w:bCs/>
                      <w:color w:val="000000"/>
                      <w:highlight w:val="none"/>
                      <w:lang w:val="en-US"/>
                    </w:rPr>
                  </w:pPr>
                  <w:r>
                    <w:rPr>
                      <w:rFonts w:hint="default" w:ascii="Times New Roman" w:hAnsi="Times New Roman" w:cs="Times New Roman"/>
                      <w:b/>
                      <w:bCs/>
                      <w:color w:val="000000"/>
                      <w:highlight w:val="none"/>
                      <w:lang w:val="en-US" w:eastAsia="zh-CN"/>
                    </w:rPr>
                    <w:t>10~20</w:t>
                  </w:r>
                </w:p>
              </w:tc>
              <w:tc>
                <w:tcPr>
                  <w:tcW w:w="635" w:type="pct"/>
                  <w:noWrap/>
                  <w:vAlign w:val="center"/>
                </w:tcPr>
                <w:p w14:paraId="2C8BA64C">
                  <w:pPr>
                    <w:pStyle w:val="31"/>
                    <w:bidi w:val="0"/>
                    <w:rPr>
                      <w:rFonts w:hint="default" w:ascii="Times New Roman" w:hAnsi="Times New Roman" w:cs="Times New Roman"/>
                      <w:b/>
                      <w:bCs/>
                      <w:color w:val="000000"/>
                      <w:highlight w:val="none"/>
                      <w:lang w:val="en-US"/>
                    </w:rPr>
                  </w:pPr>
                  <w:r>
                    <w:rPr>
                      <w:rFonts w:hint="default" w:ascii="Times New Roman" w:hAnsi="Times New Roman" w:cs="Times New Roman"/>
                      <w:b/>
                      <w:bCs/>
                      <w:color w:val="000000"/>
                      <w:highlight w:val="none"/>
                      <w:lang w:val="en-US" w:eastAsia="zh-CN"/>
                    </w:rPr>
                    <w:t>20~50</w:t>
                  </w:r>
                </w:p>
              </w:tc>
              <w:tc>
                <w:tcPr>
                  <w:tcW w:w="635" w:type="pct"/>
                  <w:noWrap/>
                  <w:vAlign w:val="center"/>
                </w:tcPr>
                <w:p w14:paraId="0EB66F1C">
                  <w:pPr>
                    <w:pStyle w:val="31"/>
                    <w:bidi w:val="0"/>
                    <w:rPr>
                      <w:rFonts w:hint="default" w:ascii="Times New Roman" w:hAnsi="Times New Roman" w:cs="Times New Roman"/>
                      <w:b/>
                      <w:bCs/>
                      <w:color w:val="000000"/>
                      <w:highlight w:val="none"/>
                      <w:lang w:val="en-US"/>
                    </w:rPr>
                  </w:pPr>
                  <w:r>
                    <w:rPr>
                      <w:rFonts w:hint="default" w:ascii="Times New Roman" w:hAnsi="Times New Roman" w:cs="Times New Roman"/>
                      <w:b/>
                      <w:bCs/>
                      <w:color w:val="000000"/>
                      <w:highlight w:val="none"/>
                      <w:lang w:val="en-US" w:eastAsia="zh-CN"/>
                    </w:rPr>
                    <w:t>50~100</w:t>
                  </w:r>
                </w:p>
              </w:tc>
              <w:tc>
                <w:tcPr>
                  <w:tcW w:w="635" w:type="pct"/>
                  <w:noWrap/>
                  <w:vAlign w:val="center"/>
                </w:tcPr>
                <w:p w14:paraId="0043C10E">
                  <w:pPr>
                    <w:pStyle w:val="31"/>
                    <w:bidi w:val="0"/>
                    <w:rPr>
                      <w:rFonts w:hint="default" w:ascii="Times New Roman" w:hAnsi="Times New Roman" w:cs="Times New Roman"/>
                      <w:b/>
                      <w:bCs/>
                      <w:color w:val="000000"/>
                      <w:highlight w:val="none"/>
                      <w:lang w:val="en-US"/>
                    </w:rPr>
                  </w:pPr>
                  <w:r>
                    <w:rPr>
                      <w:rFonts w:hint="default" w:ascii="Times New Roman" w:hAnsi="Times New Roman" w:cs="Times New Roman"/>
                      <w:b/>
                      <w:bCs/>
                      <w:color w:val="000000"/>
                      <w:highlight w:val="none"/>
                      <w:lang w:val="en-US" w:eastAsia="zh-CN"/>
                    </w:rPr>
                    <w:t>100~150</w:t>
                  </w:r>
                </w:p>
              </w:tc>
              <w:tc>
                <w:tcPr>
                  <w:tcW w:w="635" w:type="pct"/>
                  <w:noWrap/>
                  <w:vAlign w:val="center"/>
                </w:tcPr>
                <w:p w14:paraId="57B68DCA">
                  <w:pPr>
                    <w:pStyle w:val="31"/>
                    <w:bidi w:val="0"/>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lang w:val="en-US" w:eastAsia="zh-CN"/>
                    </w:rPr>
                    <w:t>&gt;</w:t>
                  </w:r>
                  <w:r>
                    <w:rPr>
                      <w:rFonts w:hint="default" w:ascii="Times New Roman" w:hAnsi="Times New Roman" w:cs="Times New Roman"/>
                      <w:b/>
                      <w:bCs/>
                      <w:color w:val="000000"/>
                      <w:highlight w:val="none"/>
                    </w:rPr>
                    <w:t>150mg/L</w:t>
                  </w:r>
                </w:p>
              </w:tc>
              <w:tc>
                <w:tcPr>
                  <w:tcW w:w="637" w:type="pct"/>
                  <w:noWrap/>
                  <w:vAlign w:val="center"/>
                </w:tcPr>
                <w:p w14:paraId="6AF73931">
                  <w:pPr>
                    <w:pStyle w:val="31"/>
                    <w:bidi w:val="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扩散半径</w:t>
                  </w:r>
                </w:p>
              </w:tc>
            </w:tr>
            <w:tr w14:paraId="239D96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6" w:type="pct"/>
                  <w:noWrap/>
                  <w:vAlign w:val="center"/>
                </w:tcPr>
                <w:p w14:paraId="77DF4621">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悬沙面积（km</w:t>
                  </w:r>
                  <w:r>
                    <w:rPr>
                      <w:rFonts w:hint="default" w:ascii="Times New Roman" w:hAnsi="Times New Roman" w:cs="Times New Roman"/>
                      <w:color w:val="000000"/>
                      <w:highlight w:val="none"/>
                      <w:vertAlign w:val="superscript"/>
                    </w:rPr>
                    <w:t>2</w:t>
                  </w:r>
                  <w:r>
                    <w:rPr>
                      <w:rFonts w:hint="default" w:ascii="Times New Roman" w:hAnsi="Times New Roman" w:cs="Times New Roman"/>
                      <w:color w:val="000000"/>
                      <w:highlight w:val="none"/>
                    </w:rPr>
                    <w:t>）</w:t>
                  </w:r>
                </w:p>
              </w:tc>
              <w:tc>
                <w:tcPr>
                  <w:tcW w:w="635" w:type="pct"/>
                  <w:noWrap/>
                  <w:vAlign w:val="center"/>
                </w:tcPr>
                <w:p w14:paraId="75D4F3A1">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0.26</w:t>
                  </w:r>
                </w:p>
              </w:tc>
              <w:tc>
                <w:tcPr>
                  <w:tcW w:w="635" w:type="pct"/>
                  <w:noWrap/>
                  <w:vAlign w:val="center"/>
                </w:tcPr>
                <w:p w14:paraId="035F09E7">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0.27</w:t>
                  </w:r>
                </w:p>
              </w:tc>
              <w:tc>
                <w:tcPr>
                  <w:tcW w:w="635" w:type="pct"/>
                  <w:noWrap/>
                  <w:vAlign w:val="center"/>
                </w:tcPr>
                <w:p w14:paraId="19F67C92">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0.15</w:t>
                  </w:r>
                </w:p>
              </w:tc>
              <w:tc>
                <w:tcPr>
                  <w:tcW w:w="635" w:type="pct"/>
                  <w:noWrap/>
                  <w:vAlign w:val="center"/>
                </w:tcPr>
                <w:p w14:paraId="48678B8A">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0.07</w:t>
                  </w:r>
                </w:p>
              </w:tc>
              <w:tc>
                <w:tcPr>
                  <w:tcW w:w="635" w:type="pct"/>
                  <w:noWrap/>
                  <w:vAlign w:val="center"/>
                </w:tcPr>
                <w:p w14:paraId="7CB2AEBB">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0.21</w:t>
                  </w:r>
                </w:p>
              </w:tc>
              <w:tc>
                <w:tcPr>
                  <w:tcW w:w="637" w:type="pct"/>
                  <w:noWrap/>
                  <w:vAlign w:val="center"/>
                </w:tcPr>
                <w:p w14:paraId="4B896608">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1.2km</w:t>
                  </w:r>
                </w:p>
              </w:tc>
            </w:tr>
          </w:tbl>
          <w:p w14:paraId="23684811">
            <w:pPr>
              <w:pStyle w:val="31"/>
              <w:bidi w:val="0"/>
              <w:rPr>
                <w:rFonts w:hint="default" w:ascii="Times New Roman" w:hAnsi="Times New Roman" w:cs="Times New Roman"/>
                <w:color w:val="000000"/>
                <w:highlight w:val="none"/>
              </w:rPr>
            </w:pPr>
          </w:p>
          <w:p w14:paraId="17F7B68A">
            <w:pPr>
              <w:pStyle w:val="31"/>
              <w:bidi w:val="0"/>
              <w:rPr>
                <w:rFonts w:hint="default" w:ascii="Times New Roman" w:hAnsi="Times New Roman" w:cs="Times New Roman"/>
                <w:color w:val="000000"/>
                <w:highlight w:val="none"/>
                <w:lang w:eastAsia="zh-CN"/>
              </w:rPr>
            </w:pPr>
            <w:r>
              <w:rPr>
                <w:rFonts w:hint="eastAsia" w:cs="Times New Roman"/>
                <w:color w:val="000000"/>
                <w:kern w:val="2"/>
                <w:sz w:val="21"/>
                <w:szCs w:val="28"/>
                <w:highlight w:val="none"/>
                <w:lang w:val="en-US" w:eastAsia="zh-CN" w:bidi="ar-SA"/>
              </w:rPr>
              <w:t>（涉密删除）</w:t>
            </w:r>
          </w:p>
          <w:p w14:paraId="007CC419">
            <w:pPr>
              <w:pStyle w:val="30"/>
              <w:bidi w:val="0"/>
              <w:rPr>
                <w:rFonts w:hint="default" w:ascii="Times New Roman" w:hAnsi="Times New Roman" w:cs="Times New Roman"/>
                <w:color w:val="000000"/>
                <w:highlight w:val="none"/>
                <w:lang w:val="en-US" w:eastAsia="zh-CN"/>
              </w:rPr>
            </w:pPr>
            <w:bookmarkStart w:id="324" w:name="_Ref12734"/>
            <w:r>
              <w:rPr>
                <w:rFonts w:hint="default" w:ascii="Times New Roman" w:hAnsi="Times New Roman" w:cs="Times New Roman"/>
                <w:color w:val="000000"/>
                <w:highlight w:val="none"/>
                <w:lang w:val="en-US" w:eastAsia="zh-CN"/>
              </w:rPr>
              <w:t>图</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STYLEREF 2 \s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lang w:val="en-US" w:eastAsia="zh-CN"/>
              </w:rPr>
              <w:t>4.3</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val="en-US" w:eastAsia="zh-CN"/>
              </w:rPr>
              <w:t>-</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SEQ 图 \* ARABIC \s 2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lang w:val="en-US" w:eastAsia="zh-CN"/>
              </w:rPr>
              <w:t>17</w:t>
            </w:r>
            <w:r>
              <w:rPr>
                <w:rFonts w:hint="default" w:ascii="Times New Roman" w:hAnsi="Times New Roman" w:cs="Times New Roman"/>
                <w:color w:val="000000"/>
                <w:highlight w:val="none"/>
                <w:lang w:val="en-US" w:eastAsia="zh-CN"/>
              </w:rPr>
              <w:fldChar w:fldCharType="end"/>
            </w:r>
            <w:bookmarkEnd w:id="324"/>
            <w:r>
              <w:rPr>
                <w:rFonts w:hint="default" w:ascii="Times New Roman" w:hAnsi="Times New Roman" w:cs="Times New Roman"/>
                <w:color w:val="000000"/>
                <w:highlight w:val="none"/>
                <w:lang w:val="en-US" w:eastAsia="zh-CN"/>
              </w:rPr>
              <w:t xml:space="preserve"> </w:t>
            </w:r>
            <w:r>
              <w:rPr>
                <w:rFonts w:hint="default" w:ascii="Times New Roman" w:hAnsi="Times New Roman" w:cs="Times New Roman"/>
                <w:color w:val="000000"/>
                <w:highlight w:val="none"/>
                <w:lang w:eastAsia="zh-CN"/>
              </w:rPr>
              <w:t>基槽开挖、疏浚施工作业悬浮物增量浓度包络图</w:t>
            </w:r>
          </w:p>
          <w:p w14:paraId="14C2212C">
            <w:pPr>
              <w:ind w:firstLine="482" w:firstLineChars="20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②基床抛石的水质影响</w:t>
            </w:r>
          </w:p>
          <w:p w14:paraId="266F1CE0">
            <w:pPr>
              <w:pStyle w:val="30"/>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b w:val="0"/>
                <w:bCs/>
                <w:color w:val="000000"/>
                <w:szCs w:val="24"/>
                <w:highlight w:val="none"/>
                <w:vertAlign w:val="baseline"/>
                <w:lang w:eastAsia="zh-CN"/>
              </w:rPr>
            </w:pPr>
            <w:r>
              <w:rPr>
                <w:rFonts w:hint="default" w:ascii="Times New Roman" w:hAnsi="Times New Roman" w:eastAsia="宋体" w:cs="Times New Roman"/>
                <w:b w:val="0"/>
                <w:bCs/>
                <w:color w:val="000000"/>
                <w:highlight w:val="none"/>
                <w:lang w:val="en-US" w:eastAsia="zh-CN"/>
              </w:rPr>
              <w:t>根据</w:t>
            </w:r>
            <w:r>
              <w:rPr>
                <w:rFonts w:hint="default" w:ascii="Times New Roman" w:hAnsi="Times New Roman" w:eastAsia="宋体" w:cs="Times New Roman"/>
                <w:b w:val="0"/>
                <w:bCs/>
                <w:color w:val="000000"/>
                <w:highlight w:val="none"/>
                <w:lang w:val="en-US" w:eastAsia="zh-CN"/>
              </w:rPr>
              <w:fldChar w:fldCharType="begin"/>
            </w:r>
            <w:r>
              <w:rPr>
                <w:rFonts w:hint="default" w:ascii="Times New Roman" w:hAnsi="Times New Roman" w:eastAsia="宋体" w:cs="Times New Roman"/>
                <w:b w:val="0"/>
                <w:bCs/>
                <w:color w:val="000000"/>
                <w:highlight w:val="none"/>
                <w:lang w:val="en-US" w:eastAsia="zh-CN"/>
              </w:rPr>
              <w:instrText xml:space="preserve"> REF _Ref24160 \h </w:instrText>
            </w:r>
            <w:r>
              <w:rPr>
                <w:rFonts w:hint="default" w:ascii="Times New Roman" w:hAnsi="Times New Roman" w:eastAsia="宋体" w:cs="Times New Roman"/>
                <w:b w:val="0"/>
                <w:bCs/>
                <w:color w:val="000000"/>
                <w:highlight w:val="none"/>
                <w:lang w:val="en-US" w:eastAsia="zh-CN"/>
              </w:rPr>
              <w:fldChar w:fldCharType="separate"/>
            </w:r>
            <w:r>
              <w:rPr>
                <w:rFonts w:hint="default" w:ascii="Times New Roman" w:hAnsi="Times New Roman" w:eastAsia="宋体" w:cs="Times New Roman"/>
                <w:b w:val="0"/>
                <w:bCs/>
                <w:color w:val="000000"/>
                <w:highlight w:val="none"/>
              </w:rPr>
              <w:t>表</w:t>
            </w:r>
            <w:r>
              <w:rPr>
                <w:rFonts w:hint="default" w:ascii="Times New Roman" w:hAnsi="Times New Roman" w:eastAsia="宋体" w:cs="Times New Roman"/>
                <w:b w:val="0"/>
                <w:bCs/>
                <w:color w:val="000000"/>
                <w:highlight w:val="none"/>
              </w:rPr>
              <w:fldChar w:fldCharType="begin"/>
            </w:r>
            <w:r>
              <w:rPr>
                <w:rFonts w:hint="default" w:ascii="Times New Roman" w:hAnsi="Times New Roman" w:eastAsia="宋体" w:cs="Times New Roman"/>
                <w:b w:val="0"/>
                <w:bCs/>
                <w:color w:val="000000"/>
                <w:highlight w:val="none"/>
              </w:rPr>
              <w:instrText xml:space="preserve"> STYLEREF 2 \s </w:instrText>
            </w:r>
            <w:r>
              <w:rPr>
                <w:rFonts w:hint="default" w:ascii="Times New Roman" w:hAnsi="Times New Roman" w:eastAsia="宋体" w:cs="Times New Roman"/>
                <w:b w:val="0"/>
                <w:bCs/>
                <w:color w:val="000000"/>
                <w:highlight w:val="none"/>
              </w:rPr>
              <w:fldChar w:fldCharType="separate"/>
            </w:r>
            <w:r>
              <w:rPr>
                <w:rFonts w:hint="default" w:ascii="Times New Roman" w:hAnsi="Times New Roman" w:eastAsia="宋体" w:cs="Times New Roman"/>
                <w:b w:val="0"/>
                <w:bCs/>
                <w:color w:val="000000"/>
                <w:highlight w:val="none"/>
              </w:rPr>
              <w:t>4.3</w:t>
            </w:r>
            <w:r>
              <w:rPr>
                <w:rFonts w:hint="default" w:ascii="Times New Roman" w:hAnsi="Times New Roman" w:eastAsia="宋体" w:cs="Times New Roman"/>
                <w:b w:val="0"/>
                <w:bCs/>
                <w:color w:val="000000"/>
                <w:highlight w:val="none"/>
              </w:rPr>
              <w:fldChar w:fldCharType="end"/>
            </w:r>
            <w:r>
              <w:rPr>
                <w:rFonts w:hint="default" w:ascii="Times New Roman" w:hAnsi="Times New Roman" w:eastAsia="宋体" w:cs="Times New Roman"/>
                <w:b w:val="0"/>
                <w:bCs/>
                <w:color w:val="000000"/>
                <w:highlight w:val="none"/>
                <w:lang w:eastAsia="zh-CN"/>
              </w:rPr>
              <w:t>-</w:t>
            </w:r>
            <w:r>
              <w:rPr>
                <w:rFonts w:hint="default" w:ascii="Times New Roman" w:hAnsi="Times New Roman" w:eastAsia="宋体" w:cs="Times New Roman"/>
                <w:b w:val="0"/>
                <w:bCs/>
                <w:color w:val="000000"/>
                <w:highlight w:val="none"/>
              </w:rPr>
              <w:t>3</w:t>
            </w:r>
            <w:r>
              <w:rPr>
                <w:rFonts w:hint="default" w:ascii="Times New Roman" w:hAnsi="Times New Roman" w:eastAsia="宋体" w:cs="Times New Roman"/>
                <w:b w:val="0"/>
                <w:bCs/>
                <w:color w:val="000000"/>
                <w:highlight w:val="none"/>
                <w:lang w:val="en-US" w:eastAsia="zh-CN"/>
              </w:rPr>
              <w:fldChar w:fldCharType="end"/>
            </w:r>
            <w:r>
              <w:rPr>
                <w:rFonts w:hint="default" w:ascii="Times New Roman" w:hAnsi="Times New Roman" w:eastAsia="宋体" w:cs="Times New Roman"/>
                <w:b w:val="0"/>
                <w:bCs/>
                <w:color w:val="000000"/>
                <w:highlight w:val="none"/>
                <w:lang w:val="en-US" w:eastAsia="zh-CN"/>
              </w:rPr>
              <w:t>、</w:t>
            </w:r>
            <w:r>
              <w:rPr>
                <w:rFonts w:hint="default" w:ascii="Times New Roman" w:hAnsi="Times New Roman" w:eastAsia="宋体" w:cs="Times New Roman"/>
                <w:b w:val="0"/>
                <w:bCs/>
                <w:color w:val="000000"/>
                <w:highlight w:val="none"/>
                <w:lang w:val="en-US" w:eastAsia="zh-CN"/>
              </w:rPr>
              <w:fldChar w:fldCharType="begin"/>
            </w:r>
            <w:r>
              <w:rPr>
                <w:rFonts w:hint="default" w:ascii="Times New Roman" w:hAnsi="Times New Roman" w:eastAsia="宋体" w:cs="Times New Roman"/>
                <w:b w:val="0"/>
                <w:bCs/>
                <w:color w:val="000000"/>
                <w:highlight w:val="none"/>
                <w:lang w:val="en-US" w:eastAsia="zh-CN"/>
              </w:rPr>
              <w:instrText xml:space="preserve"> REF _Ref24102 \h </w:instrText>
            </w:r>
            <w:r>
              <w:rPr>
                <w:rFonts w:hint="default" w:ascii="Times New Roman" w:hAnsi="Times New Roman" w:eastAsia="宋体" w:cs="Times New Roman"/>
                <w:b w:val="0"/>
                <w:bCs/>
                <w:color w:val="000000"/>
                <w:highlight w:val="none"/>
                <w:lang w:val="en-US" w:eastAsia="zh-CN"/>
              </w:rPr>
              <w:fldChar w:fldCharType="separate"/>
            </w:r>
            <w:r>
              <w:rPr>
                <w:rFonts w:hint="default" w:ascii="Times New Roman" w:hAnsi="Times New Roman" w:eastAsia="宋体" w:cs="Times New Roman"/>
                <w:b w:val="0"/>
                <w:bCs/>
                <w:color w:val="000000"/>
                <w:highlight w:val="none"/>
                <w:lang w:val="en-US" w:eastAsia="zh-CN"/>
              </w:rPr>
              <w:t>图</w:t>
            </w:r>
            <w:r>
              <w:rPr>
                <w:rFonts w:hint="default" w:ascii="Times New Roman" w:hAnsi="Times New Roman" w:eastAsia="宋体" w:cs="Times New Roman"/>
                <w:b w:val="0"/>
                <w:bCs/>
                <w:color w:val="000000"/>
                <w:highlight w:val="none"/>
                <w:lang w:val="en-US" w:eastAsia="zh-CN"/>
              </w:rPr>
              <w:fldChar w:fldCharType="begin"/>
            </w:r>
            <w:r>
              <w:rPr>
                <w:rFonts w:hint="default" w:ascii="Times New Roman" w:hAnsi="Times New Roman" w:eastAsia="宋体" w:cs="Times New Roman"/>
                <w:b w:val="0"/>
                <w:bCs/>
                <w:color w:val="000000"/>
                <w:highlight w:val="none"/>
                <w:lang w:val="en-US" w:eastAsia="zh-CN"/>
              </w:rPr>
              <w:instrText xml:space="preserve"> STYLEREF 2 \s </w:instrText>
            </w:r>
            <w:r>
              <w:rPr>
                <w:rFonts w:hint="default" w:ascii="Times New Roman" w:hAnsi="Times New Roman" w:eastAsia="宋体" w:cs="Times New Roman"/>
                <w:b w:val="0"/>
                <w:bCs/>
                <w:color w:val="000000"/>
                <w:highlight w:val="none"/>
                <w:lang w:val="en-US" w:eastAsia="zh-CN"/>
              </w:rPr>
              <w:fldChar w:fldCharType="separate"/>
            </w:r>
            <w:r>
              <w:rPr>
                <w:rFonts w:hint="default" w:ascii="Times New Roman" w:hAnsi="Times New Roman" w:eastAsia="宋体" w:cs="Times New Roman"/>
                <w:b w:val="0"/>
                <w:bCs/>
                <w:color w:val="000000"/>
                <w:highlight w:val="none"/>
                <w:lang w:val="en-US" w:eastAsia="zh-CN"/>
              </w:rPr>
              <w:t>4.3</w:t>
            </w:r>
            <w:r>
              <w:rPr>
                <w:rFonts w:hint="default" w:ascii="Times New Roman" w:hAnsi="Times New Roman" w:eastAsia="宋体" w:cs="Times New Roman"/>
                <w:b w:val="0"/>
                <w:bCs/>
                <w:color w:val="000000"/>
                <w:highlight w:val="none"/>
                <w:lang w:val="en-US" w:eastAsia="zh-CN"/>
              </w:rPr>
              <w:fldChar w:fldCharType="end"/>
            </w:r>
            <w:r>
              <w:rPr>
                <w:rFonts w:hint="default" w:ascii="Times New Roman" w:hAnsi="Times New Roman" w:eastAsia="宋体" w:cs="Times New Roman"/>
                <w:b w:val="0"/>
                <w:bCs/>
                <w:color w:val="000000"/>
                <w:highlight w:val="none"/>
                <w:lang w:val="en-US" w:eastAsia="zh-CN"/>
              </w:rPr>
              <w:t>-18</w:t>
            </w:r>
            <w:r>
              <w:rPr>
                <w:rFonts w:hint="default" w:ascii="Times New Roman" w:hAnsi="Times New Roman" w:eastAsia="宋体" w:cs="Times New Roman"/>
                <w:b w:val="0"/>
                <w:bCs/>
                <w:color w:val="000000"/>
                <w:highlight w:val="none"/>
                <w:lang w:val="en-US" w:eastAsia="zh-CN"/>
              </w:rPr>
              <w:fldChar w:fldCharType="end"/>
            </w:r>
            <w:r>
              <w:rPr>
                <w:rFonts w:hint="default" w:ascii="Times New Roman" w:hAnsi="Times New Roman" w:eastAsia="宋体" w:cs="Times New Roman"/>
                <w:b w:val="0"/>
                <w:bCs/>
                <w:color w:val="000000"/>
                <w:highlight w:val="none"/>
                <w:lang w:val="en-US" w:eastAsia="zh-CN"/>
              </w:rPr>
              <w:t>可知，本项目</w:t>
            </w:r>
            <w:r>
              <w:rPr>
                <w:rFonts w:hint="default" w:ascii="Times New Roman" w:hAnsi="Times New Roman" w:eastAsia="宋体" w:cs="Times New Roman"/>
                <w:b w:val="0"/>
                <w:bCs/>
                <w:color w:val="000000"/>
                <w:highlight w:val="none"/>
                <w:lang w:eastAsia="zh-CN"/>
              </w:rPr>
              <w:t>块石抛填施工作业悬浮物增量浓度的影响范围所形成的最大运动半径，受涨落潮的影响，中心点距10mg/L等值线的距离南北侧最远，最大运动半径为1.4km。</w:t>
            </w:r>
            <w:r>
              <w:rPr>
                <w:rFonts w:hint="default" w:ascii="Times New Roman" w:hAnsi="Times New Roman" w:eastAsia="宋体" w:cs="Times New Roman"/>
                <w:b w:val="0"/>
                <w:bCs/>
                <w:color w:val="000000"/>
                <w:highlight w:val="none"/>
                <w:lang w:val="en-US" w:eastAsia="zh-CN"/>
              </w:rPr>
              <w:t>块石抛填</w:t>
            </w:r>
            <w:r>
              <w:rPr>
                <w:rFonts w:hint="default" w:ascii="Times New Roman" w:hAnsi="Times New Roman" w:eastAsia="宋体" w:cs="Times New Roman"/>
                <w:b w:val="0"/>
                <w:bCs/>
                <w:color w:val="000000"/>
                <w:szCs w:val="24"/>
                <w:highlight w:val="none"/>
              </w:rPr>
              <w:t>施工过程中产生的悬浮泥沙增量在</w:t>
            </w:r>
            <w:r>
              <w:rPr>
                <w:rFonts w:hint="default" w:ascii="Times New Roman" w:hAnsi="Times New Roman" w:eastAsia="宋体" w:cs="Times New Roman"/>
                <w:b w:val="0"/>
                <w:bCs/>
                <w:color w:val="000000"/>
                <w:szCs w:val="24"/>
                <w:highlight w:val="none"/>
                <w:lang w:val="en-US" w:eastAsia="zh-CN"/>
              </w:rPr>
              <w:t>&gt;</w:t>
            </w:r>
            <w:r>
              <w:rPr>
                <w:rFonts w:hint="default" w:ascii="Times New Roman" w:hAnsi="Times New Roman" w:eastAsia="宋体" w:cs="Times New Roman"/>
                <w:b w:val="0"/>
                <w:bCs/>
                <w:color w:val="000000"/>
                <w:szCs w:val="24"/>
                <w:highlight w:val="none"/>
              </w:rPr>
              <w:t>10mg/L、</w:t>
            </w:r>
            <w:r>
              <w:rPr>
                <w:rFonts w:hint="default" w:ascii="Times New Roman" w:hAnsi="Times New Roman" w:eastAsia="宋体" w:cs="Times New Roman"/>
                <w:b w:val="0"/>
                <w:bCs/>
                <w:color w:val="000000"/>
                <w:szCs w:val="24"/>
                <w:highlight w:val="none"/>
                <w:lang w:val="en-US" w:eastAsia="zh-CN"/>
              </w:rPr>
              <w:t>&gt;</w:t>
            </w:r>
            <w:r>
              <w:rPr>
                <w:rFonts w:hint="default" w:ascii="Times New Roman" w:hAnsi="Times New Roman" w:eastAsia="宋体" w:cs="Times New Roman"/>
                <w:b w:val="0"/>
                <w:bCs/>
                <w:color w:val="000000"/>
                <w:szCs w:val="24"/>
                <w:highlight w:val="none"/>
              </w:rPr>
              <w:t>20mg/L、</w:t>
            </w:r>
            <w:r>
              <w:rPr>
                <w:rFonts w:hint="default" w:ascii="Times New Roman" w:hAnsi="Times New Roman" w:eastAsia="宋体" w:cs="Times New Roman"/>
                <w:b w:val="0"/>
                <w:bCs/>
                <w:color w:val="000000"/>
                <w:szCs w:val="24"/>
                <w:highlight w:val="none"/>
                <w:lang w:val="en-US" w:eastAsia="zh-CN"/>
              </w:rPr>
              <w:t>&gt;</w:t>
            </w:r>
            <w:r>
              <w:rPr>
                <w:rFonts w:hint="default" w:ascii="Times New Roman" w:hAnsi="Times New Roman" w:eastAsia="宋体" w:cs="Times New Roman"/>
                <w:b w:val="0"/>
                <w:bCs/>
                <w:color w:val="000000"/>
                <w:szCs w:val="24"/>
                <w:highlight w:val="none"/>
              </w:rPr>
              <w:t>50mg/L、</w:t>
            </w:r>
            <w:r>
              <w:rPr>
                <w:rFonts w:hint="default" w:ascii="Times New Roman" w:hAnsi="Times New Roman" w:eastAsia="宋体" w:cs="Times New Roman"/>
                <w:b w:val="0"/>
                <w:bCs/>
                <w:color w:val="000000"/>
                <w:szCs w:val="24"/>
                <w:highlight w:val="none"/>
                <w:lang w:val="en-US" w:eastAsia="zh-CN"/>
              </w:rPr>
              <w:t>&gt;</w:t>
            </w:r>
            <w:r>
              <w:rPr>
                <w:rFonts w:hint="default" w:ascii="Times New Roman" w:hAnsi="Times New Roman" w:eastAsia="宋体" w:cs="Times New Roman"/>
                <w:b w:val="0"/>
                <w:bCs/>
                <w:color w:val="000000"/>
                <w:szCs w:val="24"/>
                <w:highlight w:val="none"/>
              </w:rPr>
              <w:t>100mg/L、</w:t>
            </w:r>
            <w:r>
              <w:rPr>
                <w:rFonts w:hint="default" w:ascii="Times New Roman" w:hAnsi="Times New Roman" w:eastAsia="宋体" w:cs="Times New Roman"/>
                <w:b w:val="0"/>
                <w:bCs/>
                <w:color w:val="000000"/>
                <w:szCs w:val="24"/>
                <w:highlight w:val="none"/>
                <w:lang w:val="en-US" w:eastAsia="zh-CN"/>
              </w:rPr>
              <w:t>&gt;</w:t>
            </w:r>
            <w:r>
              <w:rPr>
                <w:rFonts w:hint="default" w:ascii="Times New Roman" w:hAnsi="Times New Roman" w:eastAsia="宋体" w:cs="Times New Roman"/>
                <w:b w:val="0"/>
                <w:bCs/>
                <w:color w:val="000000"/>
                <w:szCs w:val="24"/>
                <w:highlight w:val="none"/>
              </w:rPr>
              <w:t>150mg/L以上的海域面积最大值分别为</w:t>
            </w:r>
            <w:r>
              <w:rPr>
                <w:rFonts w:hint="default" w:ascii="Times New Roman" w:hAnsi="Times New Roman" w:eastAsia="宋体" w:cs="Times New Roman"/>
                <w:b w:val="0"/>
                <w:bCs/>
                <w:color w:val="000000"/>
                <w:szCs w:val="24"/>
                <w:highlight w:val="none"/>
                <w:lang w:val="en-US" w:eastAsia="zh-CN"/>
              </w:rPr>
              <w:t>2.83</w:t>
            </w:r>
            <w:r>
              <w:rPr>
                <w:rFonts w:hint="default" w:ascii="Times New Roman" w:hAnsi="Times New Roman" w:eastAsia="宋体" w:cs="Times New Roman"/>
                <w:b w:val="0"/>
                <w:bCs/>
                <w:color w:val="000000"/>
                <w:szCs w:val="24"/>
                <w:highlight w:val="none"/>
              </w:rPr>
              <w:t>km</w:t>
            </w:r>
            <w:r>
              <w:rPr>
                <w:rFonts w:hint="default" w:ascii="Times New Roman" w:hAnsi="Times New Roman" w:eastAsia="宋体" w:cs="Times New Roman"/>
                <w:b w:val="0"/>
                <w:bCs/>
                <w:color w:val="000000"/>
                <w:szCs w:val="24"/>
                <w:highlight w:val="none"/>
                <w:vertAlign w:val="superscript"/>
              </w:rPr>
              <w:t>2</w:t>
            </w:r>
            <w:r>
              <w:rPr>
                <w:rFonts w:hint="default" w:ascii="Times New Roman" w:hAnsi="Times New Roman" w:eastAsia="宋体" w:cs="Times New Roman"/>
                <w:b w:val="0"/>
                <w:bCs/>
                <w:color w:val="000000"/>
                <w:szCs w:val="24"/>
                <w:highlight w:val="none"/>
              </w:rPr>
              <w:t>、</w:t>
            </w:r>
            <w:r>
              <w:rPr>
                <w:rFonts w:hint="default" w:ascii="Times New Roman" w:hAnsi="Times New Roman" w:eastAsia="宋体" w:cs="Times New Roman"/>
                <w:b w:val="0"/>
                <w:bCs/>
                <w:color w:val="000000"/>
                <w:szCs w:val="24"/>
                <w:highlight w:val="none"/>
                <w:lang w:val="en-US" w:eastAsia="zh-CN"/>
              </w:rPr>
              <w:t>2.19</w:t>
            </w:r>
            <w:r>
              <w:rPr>
                <w:rFonts w:hint="default" w:ascii="Times New Roman" w:hAnsi="Times New Roman" w:eastAsia="宋体" w:cs="Times New Roman"/>
                <w:b w:val="0"/>
                <w:bCs/>
                <w:color w:val="000000"/>
                <w:szCs w:val="24"/>
                <w:highlight w:val="none"/>
              </w:rPr>
              <w:t>km</w:t>
            </w:r>
            <w:r>
              <w:rPr>
                <w:rFonts w:hint="default" w:ascii="Times New Roman" w:hAnsi="Times New Roman" w:eastAsia="宋体" w:cs="Times New Roman"/>
                <w:b w:val="0"/>
                <w:bCs/>
                <w:color w:val="000000"/>
                <w:szCs w:val="24"/>
                <w:highlight w:val="none"/>
                <w:vertAlign w:val="superscript"/>
              </w:rPr>
              <w:t>2</w:t>
            </w:r>
            <w:r>
              <w:rPr>
                <w:rFonts w:hint="default" w:ascii="Times New Roman" w:hAnsi="Times New Roman" w:eastAsia="宋体" w:cs="Times New Roman"/>
                <w:b w:val="0"/>
                <w:bCs/>
                <w:color w:val="000000"/>
                <w:szCs w:val="24"/>
                <w:highlight w:val="none"/>
              </w:rPr>
              <w:t>、</w:t>
            </w:r>
            <w:r>
              <w:rPr>
                <w:rFonts w:hint="default" w:ascii="Times New Roman" w:hAnsi="Times New Roman" w:eastAsia="宋体" w:cs="Times New Roman"/>
                <w:b w:val="0"/>
                <w:bCs/>
                <w:color w:val="000000"/>
                <w:szCs w:val="24"/>
                <w:highlight w:val="none"/>
                <w:lang w:val="en-US" w:eastAsia="zh-CN"/>
              </w:rPr>
              <w:t>1.38</w:t>
            </w:r>
            <w:r>
              <w:rPr>
                <w:rFonts w:hint="default" w:ascii="Times New Roman" w:hAnsi="Times New Roman" w:eastAsia="宋体" w:cs="Times New Roman"/>
                <w:b w:val="0"/>
                <w:bCs/>
                <w:color w:val="000000"/>
                <w:szCs w:val="24"/>
                <w:highlight w:val="none"/>
              </w:rPr>
              <w:t>km</w:t>
            </w:r>
            <w:r>
              <w:rPr>
                <w:rFonts w:hint="default" w:ascii="Times New Roman" w:hAnsi="Times New Roman" w:eastAsia="宋体" w:cs="Times New Roman"/>
                <w:b w:val="0"/>
                <w:bCs/>
                <w:color w:val="000000"/>
                <w:szCs w:val="24"/>
                <w:highlight w:val="none"/>
                <w:vertAlign w:val="superscript"/>
              </w:rPr>
              <w:t>2</w:t>
            </w:r>
            <w:r>
              <w:rPr>
                <w:rFonts w:hint="default" w:ascii="Times New Roman" w:hAnsi="Times New Roman" w:eastAsia="宋体" w:cs="Times New Roman"/>
                <w:b w:val="0"/>
                <w:bCs/>
                <w:color w:val="000000"/>
                <w:szCs w:val="24"/>
                <w:highlight w:val="none"/>
              </w:rPr>
              <w:t>、</w:t>
            </w:r>
            <w:r>
              <w:rPr>
                <w:rFonts w:hint="default" w:ascii="Times New Roman" w:hAnsi="Times New Roman" w:eastAsia="宋体" w:cs="Times New Roman"/>
                <w:b w:val="0"/>
                <w:bCs/>
                <w:color w:val="000000"/>
                <w:szCs w:val="24"/>
                <w:highlight w:val="none"/>
                <w:lang w:val="en-US" w:eastAsia="zh-CN"/>
              </w:rPr>
              <w:t>0.84</w:t>
            </w:r>
            <w:r>
              <w:rPr>
                <w:rFonts w:hint="default" w:ascii="Times New Roman" w:hAnsi="Times New Roman" w:eastAsia="宋体" w:cs="Times New Roman"/>
                <w:b w:val="0"/>
                <w:bCs/>
                <w:color w:val="000000"/>
                <w:szCs w:val="24"/>
                <w:highlight w:val="none"/>
              </w:rPr>
              <w:t>km</w:t>
            </w:r>
            <w:r>
              <w:rPr>
                <w:rFonts w:hint="default" w:ascii="Times New Roman" w:hAnsi="Times New Roman" w:eastAsia="宋体" w:cs="Times New Roman"/>
                <w:b w:val="0"/>
                <w:bCs/>
                <w:color w:val="000000"/>
                <w:szCs w:val="24"/>
                <w:highlight w:val="none"/>
                <w:vertAlign w:val="superscript"/>
              </w:rPr>
              <w:t>2</w:t>
            </w:r>
            <w:r>
              <w:rPr>
                <w:rFonts w:hint="default" w:ascii="Times New Roman" w:hAnsi="Times New Roman" w:eastAsia="宋体" w:cs="Times New Roman"/>
                <w:b w:val="0"/>
                <w:bCs/>
                <w:color w:val="000000"/>
                <w:szCs w:val="24"/>
                <w:highlight w:val="none"/>
              </w:rPr>
              <w:t>、</w:t>
            </w:r>
            <w:r>
              <w:rPr>
                <w:rFonts w:hint="default" w:ascii="Times New Roman" w:hAnsi="Times New Roman" w:eastAsia="宋体" w:cs="Times New Roman"/>
                <w:b w:val="0"/>
                <w:bCs/>
                <w:color w:val="000000"/>
                <w:szCs w:val="24"/>
                <w:highlight w:val="none"/>
                <w:lang w:val="en-US" w:eastAsia="zh-CN"/>
              </w:rPr>
              <w:t>0.58</w:t>
            </w:r>
            <w:r>
              <w:rPr>
                <w:rFonts w:hint="default" w:ascii="Times New Roman" w:hAnsi="Times New Roman" w:eastAsia="宋体" w:cs="Times New Roman"/>
                <w:b w:val="0"/>
                <w:bCs/>
                <w:color w:val="000000"/>
                <w:szCs w:val="24"/>
                <w:highlight w:val="none"/>
              </w:rPr>
              <w:t>km</w:t>
            </w:r>
            <w:r>
              <w:rPr>
                <w:rFonts w:hint="default" w:ascii="Times New Roman" w:hAnsi="Times New Roman" w:eastAsia="宋体" w:cs="Times New Roman"/>
                <w:b w:val="0"/>
                <w:bCs/>
                <w:color w:val="000000"/>
                <w:szCs w:val="24"/>
                <w:highlight w:val="none"/>
                <w:vertAlign w:val="superscript"/>
              </w:rPr>
              <w:t>2</w:t>
            </w:r>
            <w:r>
              <w:rPr>
                <w:rFonts w:hint="default" w:ascii="Times New Roman" w:hAnsi="Times New Roman" w:eastAsia="宋体" w:cs="Times New Roman"/>
                <w:b w:val="0"/>
                <w:bCs/>
                <w:color w:val="000000"/>
                <w:szCs w:val="24"/>
                <w:highlight w:val="none"/>
                <w:vertAlign w:val="baseline"/>
                <w:lang w:eastAsia="zh-CN"/>
              </w:rPr>
              <w:t>。</w:t>
            </w:r>
          </w:p>
          <w:p w14:paraId="7CADCA9C">
            <w:pPr>
              <w:ind w:firstLine="480" w:firstLineChars="200"/>
              <w:rPr>
                <w:rFonts w:hint="default" w:ascii="Times New Roman" w:hAnsi="Times New Roman" w:cs="Times New Roman"/>
                <w:color w:val="000000"/>
                <w:szCs w:val="24"/>
                <w:highlight w:val="none"/>
              </w:rPr>
            </w:pPr>
            <w:r>
              <w:rPr>
                <w:rFonts w:hint="default" w:ascii="Times New Roman" w:hAnsi="Times New Roman" w:cs="Times New Roman"/>
                <w:color w:val="000000"/>
                <w:kern w:val="2"/>
                <w:highlight w:val="none"/>
              </w:rPr>
              <w:t>总体而言，</w:t>
            </w:r>
            <w:r>
              <w:rPr>
                <w:rFonts w:hint="default" w:ascii="Times New Roman" w:hAnsi="Times New Roman" w:cs="Times New Roman"/>
                <w:color w:val="000000"/>
                <w:highlight w:val="none"/>
                <w:lang w:val="en-US" w:eastAsia="zh-CN"/>
              </w:rPr>
              <w:t>块石抛填</w:t>
            </w:r>
            <w:r>
              <w:rPr>
                <w:rFonts w:hint="default" w:ascii="Times New Roman" w:hAnsi="Times New Roman" w:cs="Times New Roman"/>
                <w:color w:val="000000"/>
                <w:szCs w:val="24"/>
                <w:highlight w:val="none"/>
              </w:rPr>
              <w:t>施工</w:t>
            </w:r>
            <w:r>
              <w:rPr>
                <w:rFonts w:hint="default" w:ascii="Times New Roman" w:hAnsi="Times New Roman" w:cs="Times New Roman"/>
                <w:color w:val="000000"/>
                <w:highlight w:val="none"/>
              </w:rPr>
              <w:t>悬沙增量超过10mg/L水域最大影响面积为</w:t>
            </w:r>
            <w:r>
              <w:rPr>
                <w:rFonts w:hint="default" w:ascii="Times New Roman" w:hAnsi="Times New Roman" w:cs="Times New Roman"/>
                <w:color w:val="000000"/>
                <w:szCs w:val="24"/>
                <w:highlight w:val="none"/>
                <w:lang w:val="en-US" w:eastAsia="zh-CN"/>
              </w:rPr>
              <w:t>2.83</w:t>
            </w:r>
            <w:r>
              <w:rPr>
                <w:rFonts w:hint="default" w:ascii="Times New Roman" w:hAnsi="Times New Roman" w:cs="Times New Roman"/>
                <w:color w:val="000000"/>
                <w:szCs w:val="24"/>
                <w:highlight w:val="none"/>
              </w:rPr>
              <w:t>km</w:t>
            </w:r>
            <w:r>
              <w:rPr>
                <w:rFonts w:hint="default" w:ascii="Times New Roman" w:hAnsi="Times New Roman" w:cs="Times New Roman"/>
                <w:color w:val="000000"/>
                <w:szCs w:val="24"/>
                <w:highlight w:val="none"/>
                <w:vertAlign w:val="superscript"/>
              </w:rPr>
              <w:t>2</w:t>
            </w:r>
            <w:r>
              <w:rPr>
                <w:rFonts w:hint="default" w:ascii="Times New Roman" w:hAnsi="Times New Roman" w:cs="Times New Roman"/>
                <w:color w:val="000000"/>
                <w:kern w:val="2"/>
                <w:highlight w:val="none"/>
                <w:lang w:eastAsia="zh-CN"/>
              </w:rPr>
              <w:t>，不会到达生态保护红线区，</w:t>
            </w:r>
            <w:r>
              <w:rPr>
                <w:rFonts w:hint="default" w:ascii="Times New Roman" w:hAnsi="Times New Roman" w:cs="Times New Roman"/>
                <w:color w:val="000000"/>
                <w:kern w:val="2"/>
                <w:highlight w:val="none"/>
              </w:rPr>
              <w:t>施工形成的悬浮泥沙仅对周边海域产生一定影响。</w:t>
            </w:r>
          </w:p>
          <w:p w14:paraId="5F9164B4">
            <w:pPr>
              <w:pStyle w:val="30"/>
              <w:bidi w:val="0"/>
              <w:rPr>
                <w:rFonts w:hint="default" w:ascii="Times New Roman" w:hAnsi="Times New Roman" w:cs="Times New Roman"/>
                <w:color w:val="000000"/>
                <w:highlight w:val="none"/>
              </w:rPr>
            </w:pPr>
            <w:bookmarkStart w:id="325" w:name="_Ref24160"/>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4.3</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表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w:t>
            </w:r>
            <w:r>
              <w:rPr>
                <w:rFonts w:hint="default" w:ascii="Times New Roman" w:hAnsi="Times New Roman" w:cs="Times New Roman"/>
                <w:color w:val="000000"/>
                <w:highlight w:val="none"/>
              </w:rPr>
              <w:fldChar w:fldCharType="end"/>
            </w:r>
            <w:bookmarkEnd w:id="325"/>
            <w:r>
              <w:rPr>
                <w:rFonts w:hint="default" w:ascii="Times New Roman" w:hAnsi="Times New Roman" w:cs="Times New Roman"/>
                <w:color w:val="000000"/>
                <w:highlight w:val="none"/>
                <w:lang w:val="en-US" w:eastAsia="zh-CN"/>
              </w:rPr>
              <w:t xml:space="preserve"> </w:t>
            </w:r>
            <w:r>
              <w:rPr>
                <w:rFonts w:hint="default" w:ascii="Times New Roman" w:hAnsi="Times New Roman" w:cs="Times New Roman"/>
                <w:color w:val="000000"/>
                <w:highlight w:val="none"/>
                <w:lang w:eastAsia="zh-CN"/>
              </w:rPr>
              <w:t>块石抛填施工作业悬浮物增量浓度的影响范围</w:t>
            </w:r>
          </w:p>
          <w:tbl>
            <w:tblPr>
              <w:tblStyle w:val="2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54"/>
              <w:gridCol w:w="1046"/>
              <w:gridCol w:w="1046"/>
              <w:gridCol w:w="1046"/>
              <w:gridCol w:w="1046"/>
              <w:gridCol w:w="1046"/>
              <w:gridCol w:w="1049"/>
            </w:tblGrid>
            <w:tr w14:paraId="6C42DB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6" w:type="pct"/>
                  <w:noWrap w:val="0"/>
                  <w:vAlign w:val="center"/>
                </w:tcPr>
                <w:p w14:paraId="17074897">
                  <w:pPr>
                    <w:pStyle w:val="31"/>
                    <w:bidi w:val="0"/>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rPr>
                    <w:t>悬浮泥沙浓度（mg/L）</w:t>
                  </w:r>
                </w:p>
              </w:tc>
              <w:tc>
                <w:tcPr>
                  <w:tcW w:w="635" w:type="pct"/>
                  <w:noWrap/>
                  <w:vAlign w:val="center"/>
                </w:tcPr>
                <w:p w14:paraId="734D0B0E">
                  <w:pPr>
                    <w:pStyle w:val="31"/>
                    <w:bidi w:val="0"/>
                    <w:rPr>
                      <w:rFonts w:hint="default" w:ascii="Times New Roman" w:hAnsi="Times New Roman" w:cs="Times New Roman"/>
                      <w:b/>
                      <w:bCs/>
                      <w:color w:val="000000"/>
                      <w:highlight w:val="none"/>
                      <w:lang w:val="en-US"/>
                    </w:rPr>
                  </w:pPr>
                  <w:r>
                    <w:rPr>
                      <w:rFonts w:hint="default" w:ascii="Times New Roman" w:hAnsi="Times New Roman" w:cs="Times New Roman"/>
                      <w:b/>
                      <w:bCs/>
                      <w:color w:val="000000"/>
                      <w:highlight w:val="none"/>
                      <w:lang w:val="en-US" w:eastAsia="zh-CN"/>
                    </w:rPr>
                    <w:t>10~20</w:t>
                  </w:r>
                </w:p>
              </w:tc>
              <w:tc>
                <w:tcPr>
                  <w:tcW w:w="635" w:type="pct"/>
                  <w:noWrap/>
                  <w:vAlign w:val="center"/>
                </w:tcPr>
                <w:p w14:paraId="037B4521">
                  <w:pPr>
                    <w:pStyle w:val="31"/>
                    <w:bidi w:val="0"/>
                    <w:rPr>
                      <w:rFonts w:hint="default" w:ascii="Times New Roman" w:hAnsi="Times New Roman" w:cs="Times New Roman"/>
                      <w:b/>
                      <w:bCs/>
                      <w:color w:val="000000"/>
                      <w:highlight w:val="none"/>
                      <w:lang w:val="en-US"/>
                    </w:rPr>
                  </w:pPr>
                  <w:r>
                    <w:rPr>
                      <w:rFonts w:hint="default" w:ascii="Times New Roman" w:hAnsi="Times New Roman" w:cs="Times New Roman"/>
                      <w:b/>
                      <w:bCs/>
                      <w:color w:val="000000"/>
                      <w:highlight w:val="none"/>
                      <w:lang w:val="en-US" w:eastAsia="zh-CN"/>
                    </w:rPr>
                    <w:t>20~50</w:t>
                  </w:r>
                </w:p>
              </w:tc>
              <w:tc>
                <w:tcPr>
                  <w:tcW w:w="635" w:type="pct"/>
                  <w:noWrap/>
                  <w:vAlign w:val="center"/>
                </w:tcPr>
                <w:p w14:paraId="22E8A0FD">
                  <w:pPr>
                    <w:pStyle w:val="31"/>
                    <w:bidi w:val="0"/>
                    <w:rPr>
                      <w:rFonts w:hint="default" w:ascii="Times New Roman" w:hAnsi="Times New Roman" w:cs="Times New Roman"/>
                      <w:b/>
                      <w:bCs/>
                      <w:color w:val="000000"/>
                      <w:highlight w:val="none"/>
                      <w:lang w:val="en-US"/>
                    </w:rPr>
                  </w:pPr>
                  <w:r>
                    <w:rPr>
                      <w:rFonts w:hint="default" w:ascii="Times New Roman" w:hAnsi="Times New Roman" w:cs="Times New Roman"/>
                      <w:b/>
                      <w:bCs/>
                      <w:color w:val="000000"/>
                      <w:highlight w:val="none"/>
                      <w:lang w:val="en-US" w:eastAsia="zh-CN"/>
                    </w:rPr>
                    <w:t>50~100</w:t>
                  </w:r>
                </w:p>
              </w:tc>
              <w:tc>
                <w:tcPr>
                  <w:tcW w:w="635" w:type="pct"/>
                  <w:noWrap/>
                  <w:vAlign w:val="center"/>
                </w:tcPr>
                <w:p w14:paraId="533D6072">
                  <w:pPr>
                    <w:pStyle w:val="31"/>
                    <w:bidi w:val="0"/>
                    <w:rPr>
                      <w:rFonts w:hint="default" w:ascii="Times New Roman" w:hAnsi="Times New Roman" w:cs="Times New Roman"/>
                      <w:b/>
                      <w:bCs/>
                      <w:color w:val="000000"/>
                      <w:highlight w:val="none"/>
                      <w:lang w:val="en-US"/>
                    </w:rPr>
                  </w:pPr>
                  <w:r>
                    <w:rPr>
                      <w:rFonts w:hint="default" w:ascii="Times New Roman" w:hAnsi="Times New Roman" w:cs="Times New Roman"/>
                      <w:b/>
                      <w:bCs/>
                      <w:color w:val="000000"/>
                      <w:highlight w:val="none"/>
                      <w:lang w:val="en-US" w:eastAsia="zh-CN"/>
                    </w:rPr>
                    <w:t>100~150</w:t>
                  </w:r>
                </w:p>
              </w:tc>
              <w:tc>
                <w:tcPr>
                  <w:tcW w:w="635" w:type="pct"/>
                  <w:noWrap/>
                  <w:vAlign w:val="center"/>
                </w:tcPr>
                <w:p w14:paraId="04D620C3">
                  <w:pPr>
                    <w:pStyle w:val="31"/>
                    <w:bidi w:val="0"/>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lang w:val="en-US" w:eastAsia="zh-CN"/>
                    </w:rPr>
                    <w:t>&gt;</w:t>
                  </w:r>
                  <w:r>
                    <w:rPr>
                      <w:rFonts w:hint="default" w:ascii="Times New Roman" w:hAnsi="Times New Roman" w:cs="Times New Roman"/>
                      <w:b/>
                      <w:bCs/>
                      <w:color w:val="000000"/>
                      <w:highlight w:val="none"/>
                    </w:rPr>
                    <w:t>150mg/L</w:t>
                  </w:r>
                </w:p>
              </w:tc>
              <w:tc>
                <w:tcPr>
                  <w:tcW w:w="637" w:type="pct"/>
                  <w:noWrap/>
                  <w:vAlign w:val="center"/>
                </w:tcPr>
                <w:p w14:paraId="016F338D">
                  <w:pPr>
                    <w:pStyle w:val="31"/>
                    <w:bidi w:val="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扩散半径</w:t>
                  </w:r>
                </w:p>
              </w:tc>
            </w:tr>
            <w:tr w14:paraId="097CF6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6" w:type="pct"/>
                  <w:noWrap/>
                  <w:vAlign w:val="center"/>
                </w:tcPr>
                <w:p w14:paraId="4BD88D06">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悬沙面积（km</w:t>
                  </w:r>
                  <w:r>
                    <w:rPr>
                      <w:rFonts w:hint="default" w:ascii="Times New Roman" w:hAnsi="Times New Roman" w:cs="Times New Roman"/>
                      <w:color w:val="000000"/>
                      <w:highlight w:val="none"/>
                      <w:vertAlign w:val="superscript"/>
                    </w:rPr>
                    <w:t>2</w:t>
                  </w:r>
                  <w:r>
                    <w:rPr>
                      <w:rFonts w:hint="default" w:ascii="Times New Roman" w:hAnsi="Times New Roman" w:cs="Times New Roman"/>
                      <w:color w:val="000000"/>
                      <w:highlight w:val="none"/>
                    </w:rPr>
                    <w:t>）</w:t>
                  </w:r>
                </w:p>
              </w:tc>
              <w:tc>
                <w:tcPr>
                  <w:tcW w:w="635" w:type="pct"/>
                  <w:noWrap/>
                  <w:vAlign w:val="center"/>
                </w:tcPr>
                <w:p w14:paraId="728B4BB8">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0.64</w:t>
                  </w:r>
                </w:p>
              </w:tc>
              <w:tc>
                <w:tcPr>
                  <w:tcW w:w="635" w:type="pct"/>
                  <w:noWrap/>
                  <w:vAlign w:val="center"/>
                </w:tcPr>
                <w:p w14:paraId="56B21467">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0.81</w:t>
                  </w:r>
                </w:p>
              </w:tc>
              <w:tc>
                <w:tcPr>
                  <w:tcW w:w="635" w:type="pct"/>
                  <w:noWrap/>
                  <w:vAlign w:val="center"/>
                </w:tcPr>
                <w:p w14:paraId="28169D39">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0.54</w:t>
                  </w:r>
                </w:p>
              </w:tc>
              <w:tc>
                <w:tcPr>
                  <w:tcW w:w="635" w:type="pct"/>
                  <w:noWrap/>
                  <w:vAlign w:val="center"/>
                </w:tcPr>
                <w:p w14:paraId="64EDC3BD">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0.26</w:t>
                  </w:r>
                </w:p>
              </w:tc>
              <w:tc>
                <w:tcPr>
                  <w:tcW w:w="635" w:type="pct"/>
                  <w:noWrap/>
                  <w:vAlign w:val="center"/>
                </w:tcPr>
                <w:p w14:paraId="53742414">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0.58</w:t>
                  </w:r>
                </w:p>
              </w:tc>
              <w:tc>
                <w:tcPr>
                  <w:tcW w:w="637" w:type="pct"/>
                  <w:noWrap/>
                  <w:vAlign w:val="center"/>
                </w:tcPr>
                <w:p w14:paraId="4508F024">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1.2km</w:t>
                  </w:r>
                </w:p>
              </w:tc>
            </w:tr>
          </w:tbl>
          <w:p w14:paraId="5D8F78BB">
            <w:pPr>
              <w:pStyle w:val="31"/>
              <w:bidi w:val="0"/>
              <w:rPr>
                <w:rFonts w:hint="default" w:ascii="Times New Roman" w:hAnsi="Times New Roman" w:cs="Times New Roman"/>
                <w:color w:val="000000"/>
                <w:highlight w:val="none"/>
              </w:rPr>
            </w:pPr>
          </w:p>
          <w:p w14:paraId="7B596779">
            <w:pPr>
              <w:pStyle w:val="31"/>
              <w:bidi w:val="0"/>
              <w:rPr>
                <w:rFonts w:hint="default" w:ascii="Times New Roman" w:hAnsi="Times New Roman" w:cs="Times New Roman"/>
                <w:color w:val="000000"/>
                <w:highlight w:val="none"/>
                <w:lang w:eastAsia="zh-CN"/>
              </w:rPr>
            </w:pPr>
            <w:r>
              <w:rPr>
                <w:rFonts w:hint="eastAsia" w:cs="Times New Roman"/>
                <w:color w:val="000000"/>
                <w:kern w:val="2"/>
                <w:sz w:val="21"/>
                <w:szCs w:val="28"/>
                <w:highlight w:val="none"/>
                <w:lang w:val="en-US" w:eastAsia="zh-CN" w:bidi="ar-SA"/>
              </w:rPr>
              <w:t>（涉密删除）</w:t>
            </w:r>
          </w:p>
          <w:p w14:paraId="5D8DE4E7">
            <w:pPr>
              <w:pStyle w:val="30"/>
              <w:bidi w:val="0"/>
              <w:rPr>
                <w:rFonts w:hint="default" w:ascii="Times New Roman" w:hAnsi="Times New Roman" w:cs="Times New Roman"/>
                <w:color w:val="000000"/>
                <w:highlight w:val="none"/>
                <w:lang w:val="en-US" w:eastAsia="zh-CN"/>
              </w:rPr>
            </w:pPr>
            <w:bookmarkStart w:id="326" w:name="_Ref24102"/>
            <w:r>
              <w:rPr>
                <w:rFonts w:hint="default" w:ascii="Times New Roman" w:hAnsi="Times New Roman" w:cs="Times New Roman"/>
                <w:color w:val="000000"/>
                <w:highlight w:val="none"/>
                <w:lang w:val="en-US" w:eastAsia="zh-CN"/>
              </w:rPr>
              <w:t>图</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STYLEREF 2 \s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lang w:val="en-US" w:eastAsia="zh-CN"/>
              </w:rPr>
              <w:t>4.3</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val="en-US" w:eastAsia="zh-CN"/>
              </w:rPr>
              <w:t>-</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SEQ 图 \* ARABIC \s 2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lang w:val="en-US" w:eastAsia="zh-CN"/>
              </w:rPr>
              <w:t>18</w:t>
            </w:r>
            <w:r>
              <w:rPr>
                <w:rFonts w:hint="default" w:ascii="Times New Roman" w:hAnsi="Times New Roman" w:cs="Times New Roman"/>
                <w:color w:val="000000"/>
                <w:highlight w:val="none"/>
                <w:lang w:val="en-US" w:eastAsia="zh-CN"/>
              </w:rPr>
              <w:fldChar w:fldCharType="end"/>
            </w:r>
            <w:bookmarkEnd w:id="326"/>
            <w:r>
              <w:rPr>
                <w:rFonts w:hint="default" w:ascii="Times New Roman" w:hAnsi="Times New Roman" w:cs="Times New Roman"/>
                <w:color w:val="000000"/>
                <w:highlight w:val="none"/>
                <w:lang w:val="en-US" w:eastAsia="zh-CN"/>
              </w:rPr>
              <w:t xml:space="preserve"> </w:t>
            </w:r>
            <w:r>
              <w:rPr>
                <w:rFonts w:hint="default" w:ascii="Times New Roman" w:hAnsi="Times New Roman" w:cs="Times New Roman"/>
                <w:color w:val="000000"/>
                <w:highlight w:val="none"/>
                <w:lang w:eastAsia="zh-CN"/>
              </w:rPr>
              <w:t>块石抛填施工作业悬浮物增量浓度包络图</w:t>
            </w:r>
          </w:p>
          <w:p w14:paraId="61A8C96E">
            <w:pPr>
              <w:ind w:firstLine="482" w:firstLineChars="20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③基槽开挖、港池疏浚、基床抛石的水质叠加影响</w:t>
            </w:r>
          </w:p>
          <w:p w14:paraId="5A78B4ED">
            <w:pPr>
              <w:ind w:firstLine="480" w:firstLineChars="200"/>
              <w:rPr>
                <w:rFonts w:hint="default" w:ascii="Times New Roman" w:hAnsi="Times New Roman" w:cs="Times New Roman"/>
                <w:color w:val="000000"/>
                <w:szCs w:val="24"/>
                <w:highlight w:val="none"/>
                <w:vertAlign w:val="baseline"/>
                <w:lang w:eastAsia="zh-CN"/>
              </w:rPr>
            </w:pPr>
            <w:r>
              <w:rPr>
                <w:rFonts w:hint="default" w:ascii="Times New Roman" w:hAnsi="Times New Roman" w:cs="Times New Roman"/>
                <w:color w:val="000000"/>
                <w:highlight w:val="none"/>
                <w:lang w:val="en-US" w:eastAsia="zh-CN"/>
              </w:rPr>
              <w:t>根据</w:t>
            </w:r>
            <w:r>
              <w:rPr>
                <w:rFonts w:hint="default" w:ascii="Times New Roman" w:hAnsi="Times New Roman" w:cs="Times New Roman"/>
                <w:color w:val="000000"/>
                <w:highlight w:val="none"/>
                <w:lang w:val="en-US"/>
              </w:rPr>
              <w:fldChar w:fldCharType="begin"/>
            </w:r>
            <w:r>
              <w:rPr>
                <w:rFonts w:hint="default" w:ascii="Times New Roman" w:hAnsi="Times New Roman" w:cs="Times New Roman"/>
                <w:color w:val="000000"/>
                <w:highlight w:val="none"/>
                <w:lang w:val="en-US"/>
              </w:rPr>
              <w:instrText xml:space="preserve"> REF _Ref8691 \h </w:instrText>
            </w:r>
            <w:r>
              <w:rPr>
                <w:rFonts w:hint="default" w:ascii="Times New Roman" w:hAnsi="Times New Roman" w:cs="Times New Roman"/>
                <w:color w:val="000000"/>
                <w:highlight w:val="none"/>
                <w:lang w:val="en-US"/>
              </w:rPr>
              <w:fldChar w:fldCharType="separate"/>
            </w:r>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4.3</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4</w:t>
            </w:r>
            <w:r>
              <w:rPr>
                <w:rFonts w:hint="default" w:ascii="Times New Roman" w:hAnsi="Times New Roman" w:cs="Times New Roman"/>
                <w:color w:val="000000"/>
                <w:highlight w:val="none"/>
                <w:lang w:val="en-US"/>
              </w:rPr>
              <w:fldChar w:fldCharType="end"/>
            </w:r>
            <w:r>
              <w:rPr>
                <w:rFonts w:hint="default" w:ascii="Times New Roman" w:hAnsi="Times New Roman" w:cs="Times New Roman"/>
                <w:color w:val="000000"/>
                <w:highlight w:val="none"/>
                <w:lang w:val="en-US" w:eastAsia="zh-CN"/>
              </w:rPr>
              <w:t>、</w:t>
            </w:r>
            <w:r>
              <w:rPr>
                <w:rFonts w:hint="default" w:ascii="Times New Roman" w:hAnsi="Times New Roman" w:cs="Times New Roman"/>
                <w:color w:val="000000"/>
                <w:szCs w:val="24"/>
                <w:highlight w:val="none"/>
              </w:rPr>
              <w:fldChar w:fldCharType="begin"/>
            </w:r>
            <w:r>
              <w:rPr>
                <w:rFonts w:hint="default" w:ascii="Times New Roman" w:hAnsi="Times New Roman" w:cs="Times New Roman"/>
                <w:color w:val="000000"/>
                <w:szCs w:val="24"/>
                <w:highlight w:val="none"/>
              </w:rPr>
              <w:instrText xml:space="preserve"> REF _Ref8691 \h </w:instrText>
            </w:r>
            <w:r>
              <w:rPr>
                <w:rFonts w:hint="default" w:ascii="Times New Roman" w:hAnsi="Times New Roman" w:cs="Times New Roman"/>
                <w:color w:val="000000"/>
                <w:szCs w:val="24"/>
                <w:highlight w:val="none"/>
              </w:rPr>
              <w:fldChar w:fldCharType="separate"/>
            </w:r>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4.3</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4</w:t>
            </w:r>
            <w:r>
              <w:rPr>
                <w:rFonts w:hint="default" w:ascii="Times New Roman" w:hAnsi="Times New Roman" w:cs="Times New Roman"/>
                <w:color w:val="000000"/>
                <w:szCs w:val="24"/>
                <w:highlight w:val="none"/>
              </w:rPr>
              <w:fldChar w:fldCharType="end"/>
            </w:r>
            <w:r>
              <w:rPr>
                <w:rFonts w:hint="default" w:ascii="Times New Roman" w:hAnsi="Times New Roman" w:cs="Times New Roman"/>
                <w:color w:val="000000"/>
                <w:highlight w:val="none"/>
                <w:lang w:val="en-US" w:eastAsia="zh-CN"/>
              </w:rPr>
              <w:t>可知，本项目</w:t>
            </w:r>
            <w:r>
              <w:rPr>
                <w:rFonts w:hint="default" w:ascii="Times New Roman" w:hAnsi="Times New Roman" w:cs="Times New Roman"/>
                <w:color w:val="000000"/>
                <w:highlight w:val="none"/>
                <w:lang w:eastAsia="zh-CN"/>
              </w:rPr>
              <w:t>基槽开挖、疏浚</w:t>
            </w:r>
            <w:r>
              <w:rPr>
                <w:rFonts w:hint="default" w:ascii="Times New Roman" w:hAnsi="Times New Roman" w:cs="Times New Roman"/>
                <w:color w:val="000000"/>
                <w:highlight w:val="none"/>
                <w:lang w:val="en-US" w:eastAsia="zh-CN"/>
              </w:rPr>
              <w:t>和块石抛填施工叠加悬浮物增量浓度</w:t>
            </w:r>
            <w:r>
              <w:rPr>
                <w:rFonts w:hint="default" w:ascii="Times New Roman" w:hAnsi="Times New Roman" w:cs="Times New Roman"/>
                <w:color w:val="000000"/>
                <w:highlight w:val="none"/>
              </w:rPr>
              <w:t>的影响范围所形成的最大运动半径，受涨落潮的影响，中心点距10mg/L等值线的</w:t>
            </w:r>
            <w:r>
              <w:rPr>
                <w:rFonts w:hint="default" w:ascii="Times New Roman" w:hAnsi="Times New Roman" w:cs="Times New Roman"/>
                <w:color w:val="000000"/>
                <w:kern w:val="2"/>
                <w:highlight w:val="none"/>
              </w:rPr>
              <w:t>距离</w:t>
            </w:r>
            <w:r>
              <w:rPr>
                <w:rFonts w:hint="default" w:ascii="Times New Roman" w:hAnsi="Times New Roman" w:cs="Times New Roman"/>
                <w:color w:val="000000"/>
                <w:kern w:val="2"/>
                <w:highlight w:val="none"/>
                <w:lang w:val="en-US" w:eastAsia="zh-CN"/>
              </w:rPr>
              <w:t>南北侧</w:t>
            </w:r>
            <w:r>
              <w:rPr>
                <w:rFonts w:hint="default" w:ascii="Times New Roman" w:hAnsi="Times New Roman" w:cs="Times New Roman"/>
                <w:color w:val="000000"/>
                <w:kern w:val="2"/>
                <w:highlight w:val="none"/>
              </w:rPr>
              <w:t>最远，最大运动半径</w:t>
            </w:r>
            <w:r>
              <w:rPr>
                <w:rFonts w:hint="default" w:ascii="Times New Roman" w:hAnsi="Times New Roman" w:cs="Times New Roman"/>
                <w:color w:val="000000"/>
                <w:kern w:val="2"/>
                <w:highlight w:val="none"/>
                <w:lang w:val="en-US" w:eastAsia="zh-CN"/>
              </w:rPr>
              <w:t>为1.4</w:t>
            </w:r>
            <w:r>
              <w:rPr>
                <w:rFonts w:hint="default" w:ascii="Times New Roman" w:hAnsi="Times New Roman" w:cs="Times New Roman"/>
                <w:color w:val="000000"/>
                <w:kern w:val="2"/>
                <w:highlight w:val="none"/>
              </w:rPr>
              <w:t>km。</w:t>
            </w:r>
            <w:r>
              <w:rPr>
                <w:rFonts w:hint="default" w:ascii="Times New Roman" w:hAnsi="Times New Roman" w:cs="Times New Roman"/>
                <w:color w:val="000000"/>
                <w:highlight w:val="none"/>
                <w:lang w:eastAsia="zh-CN"/>
              </w:rPr>
              <w:t>基槽开挖、疏浚</w:t>
            </w:r>
            <w:r>
              <w:rPr>
                <w:rFonts w:hint="default" w:ascii="Times New Roman" w:hAnsi="Times New Roman" w:cs="Times New Roman"/>
                <w:color w:val="000000"/>
                <w:highlight w:val="none"/>
                <w:lang w:val="en-US" w:eastAsia="zh-CN"/>
              </w:rPr>
              <w:t>和块石抛填施工叠加</w:t>
            </w:r>
            <w:r>
              <w:rPr>
                <w:rFonts w:hint="default" w:ascii="Times New Roman" w:hAnsi="Times New Roman" w:cs="Times New Roman"/>
                <w:color w:val="000000"/>
                <w:szCs w:val="24"/>
                <w:highlight w:val="none"/>
              </w:rPr>
              <w:t>过程中产生的悬浮泥沙增量在</w:t>
            </w:r>
            <w:r>
              <w:rPr>
                <w:rFonts w:hint="default" w:ascii="Times New Roman" w:hAnsi="Times New Roman" w:cs="Times New Roman"/>
                <w:color w:val="000000"/>
                <w:szCs w:val="24"/>
                <w:highlight w:val="none"/>
                <w:lang w:val="en-US" w:eastAsia="zh-CN"/>
              </w:rPr>
              <w:t>&gt;</w:t>
            </w:r>
            <w:r>
              <w:rPr>
                <w:rFonts w:hint="default" w:ascii="Times New Roman" w:hAnsi="Times New Roman" w:cs="Times New Roman"/>
                <w:color w:val="000000"/>
                <w:szCs w:val="24"/>
                <w:highlight w:val="none"/>
              </w:rPr>
              <w:t>10mg/L、</w:t>
            </w:r>
            <w:r>
              <w:rPr>
                <w:rFonts w:hint="default" w:ascii="Times New Roman" w:hAnsi="Times New Roman" w:cs="Times New Roman"/>
                <w:color w:val="000000"/>
                <w:szCs w:val="24"/>
                <w:highlight w:val="none"/>
                <w:lang w:val="en-US" w:eastAsia="zh-CN"/>
              </w:rPr>
              <w:t>&gt;</w:t>
            </w:r>
            <w:r>
              <w:rPr>
                <w:rFonts w:hint="default" w:ascii="Times New Roman" w:hAnsi="Times New Roman" w:cs="Times New Roman"/>
                <w:color w:val="000000"/>
                <w:szCs w:val="24"/>
                <w:highlight w:val="none"/>
              </w:rPr>
              <w:t>20mg/L、</w:t>
            </w:r>
            <w:r>
              <w:rPr>
                <w:rFonts w:hint="default" w:ascii="Times New Roman" w:hAnsi="Times New Roman" w:cs="Times New Roman"/>
                <w:color w:val="000000"/>
                <w:szCs w:val="24"/>
                <w:highlight w:val="none"/>
                <w:lang w:val="en-US" w:eastAsia="zh-CN"/>
              </w:rPr>
              <w:t>&gt;</w:t>
            </w:r>
            <w:r>
              <w:rPr>
                <w:rFonts w:hint="default" w:ascii="Times New Roman" w:hAnsi="Times New Roman" w:cs="Times New Roman"/>
                <w:color w:val="000000"/>
                <w:szCs w:val="24"/>
                <w:highlight w:val="none"/>
              </w:rPr>
              <w:t>50mg/L、</w:t>
            </w:r>
            <w:r>
              <w:rPr>
                <w:rFonts w:hint="default" w:ascii="Times New Roman" w:hAnsi="Times New Roman" w:cs="Times New Roman"/>
                <w:color w:val="000000"/>
                <w:szCs w:val="24"/>
                <w:highlight w:val="none"/>
                <w:lang w:val="en-US" w:eastAsia="zh-CN"/>
              </w:rPr>
              <w:t>&gt;</w:t>
            </w:r>
            <w:r>
              <w:rPr>
                <w:rFonts w:hint="default" w:ascii="Times New Roman" w:hAnsi="Times New Roman" w:cs="Times New Roman"/>
                <w:color w:val="000000"/>
                <w:szCs w:val="24"/>
                <w:highlight w:val="none"/>
              </w:rPr>
              <w:t>100mg/L、</w:t>
            </w:r>
            <w:r>
              <w:rPr>
                <w:rFonts w:hint="default" w:ascii="Times New Roman" w:hAnsi="Times New Roman" w:cs="Times New Roman"/>
                <w:color w:val="000000"/>
                <w:szCs w:val="24"/>
                <w:highlight w:val="none"/>
                <w:lang w:val="en-US" w:eastAsia="zh-CN"/>
              </w:rPr>
              <w:t>&gt;</w:t>
            </w:r>
            <w:r>
              <w:rPr>
                <w:rFonts w:hint="default" w:ascii="Times New Roman" w:hAnsi="Times New Roman" w:cs="Times New Roman"/>
                <w:color w:val="000000"/>
                <w:szCs w:val="24"/>
                <w:highlight w:val="none"/>
              </w:rPr>
              <w:t>150mg/L以上的海域面积最大值分别为</w:t>
            </w:r>
            <w:r>
              <w:rPr>
                <w:rFonts w:hint="default" w:ascii="Times New Roman" w:hAnsi="Times New Roman" w:cs="Times New Roman"/>
                <w:color w:val="000000"/>
                <w:szCs w:val="24"/>
                <w:highlight w:val="none"/>
                <w:lang w:val="en-US" w:eastAsia="zh-CN"/>
              </w:rPr>
              <w:t>3.24</w:t>
            </w:r>
            <w:r>
              <w:rPr>
                <w:rFonts w:hint="default" w:ascii="Times New Roman" w:hAnsi="Times New Roman" w:cs="Times New Roman"/>
                <w:color w:val="000000"/>
                <w:szCs w:val="24"/>
                <w:highlight w:val="none"/>
              </w:rPr>
              <w:t>km</w:t>
            </w:r>
            <w:r>
              <w:rPr>
                <w:rFonts w:hint="default" w:ascii="Times New Roman" w:hAnsi="Times New Roman" w:cs="Times New Roman"/>
                <w:color w:val="000000"/>
                <w:szCs w:val="24"/>
                <w:highlight w:val="none"/>
                <w:vertAlign w:val="superscript"/>
              </w:rPr>
              <w:t>2</w:t>
            </w:r>
            <w:r>
              <w:rPr>
                <w:rFonts w:hint="default" w:ascii="Times New Roman" w:hAnsi="Times New Roman" w:cs="Times New Roman"/>
                <w:color w:val="000000"/>
                <w:szCs w:val="24"/>
                <w:highlight w:val="none"/>
              </w:rPr>
              <w:t>、</w:t>
            </w:r>
            <w:r>
              <w:rPr>
                <w:rFonts w:hint="default" w:ascii="Times New Roman" w:hAnsi="Times New Roman" w:cs="Times New Roman"/>
                <w:color w:val="000000"/>
                <w:szCs w:val="24"/>
                <w:highlight w:val="none"/>
                <w:lang w:val="en-US" w:eastAsia="zh-CN"/>
              </w:rPr>
              <w:t>2.54</w:t>
            </w:r>
            <w:r>
              <w:rPr>
                <w:rFonts w:hint="default" w:ascii="Times New Roman" w:hAnsi="Times New Roman" w:cs="Times New Roman"/>
                <w:color w:val="000000"/>
                <w:szCs w:val="24"/>
                <w:highlight w:val="none"/>
              </w:rPr>
              <w:t>km</w:t>
            </w:r>
            <w:r>
              <w:rPr>
                <w:rFonts w:hint="default" w:ascii="Times New Roman" w:hAnsi="Times New Roman" w:cs="Times New Roman"/>
                <w:color w:val="000000"/>
                <w:szCs w:val="24"/>
                <w:highlight w:val="none"/>
                <w:vertAlign w:val="superscript"/>
              </w:rPr>
              <w:t>2</w:t>
            </w:r>
            <w:r>
              <w:rPr>
                <w:rFonts w:hint="default" w:ascii="Times New Roman" w:hAnsi="Times New Roman" w:cs="Times New Roman"/>
                <w:color w:val="000000"/>
                <w:szCs w:val="24"/>
                <w:highlight w:val="none"/>
              </w:rPr>
              <w:t>、</w:t>
            </w:r>
            <w:r>
              <w:rPr>
                <w:rFonts w:hint="default" w:ascii="Times New Roman" w:hAnsi="Times New Roman" w:cs="Times New Roman"/>
                <w:color w:val="000000"/>
                <w:szCs w:val="24"/>
                <w:highlight w:val="none"/>
                <w:lang w:val="en-US" w:eastAsia="zh-CN"/>
              </w:rPr>
              <w:t>1.78</w:t>
            </w:r>
            <w:r>
              <w:rPr>
                <w:rFonts w:hint="default" w:ascii="Times New Roman" w:hAnsi="Times New Roman" w:cs="Times New Roman"/>
                <w:color w:val="000000"/>
                <w:szCs w:val="24"/>
                <w:highlight w:val="none"/>
              </w:rPr>
              <w:t>km</w:t>
            </w:r>
            <w:r>
              <w:rPr>
                <w:rFonts w:hint="default" w:ascii="Times New Roman" w:hAnsi="Times New Roman" w:cs="Times New Roman"/>
                <w:color w:val="000000"/>
                <w:szCs w:val="24"/>
                <w:highlight w:val="none"/>
                <w:vertAlign w:val="superscript"/>
              </w:rPr>
              <w:t>2</w:t>
            </w:r>
            <w:r>
              <w:rPr>
                <w:rFonts w:hint="default" w:ascii="Times New Roman" w:hAnsi="Times New Roman" w:cs="Times New Roman"/>
                <w:color w:val="000000"/>
                <w:szCs w:val="24"/>
                <w:highlight w:val="none"/>
              </w:rPr>
              <w:t>、</w:t>
            </w:r>
            <w:r>
              <w:rPr>
                <w:rFonts w:hint="default" w:ascii="Times New Roman" w:hAnsi="Times New Roman" w:cs="Times New Roman"/>
                <w:color w:val="000000"/>
                <w:szCs w:val="24"/>
                <w:highlight w:val="none"/>
                <w:lang w:val="en-US" w:eastAsia="zh-CN"/>
              </w:rPr>
              <w:t>1.18</w:t>
            </w:r>
            <w:r>
              <w:rPr>
                <w:rFonts w:hint="default" w:ascii="Times New Roman" w:hAnsi="Times New Roman" w:cs="Times New Roman"/>
                <w:color w:val="000000"/>
                <w:szCs w:val="24"/>
                <w:highlight w:val="none"/>
              </w:rPr>
              <w:t>km</w:t>
            </w:r>
            <w:r>
              <w:rPr>
                <w:rFonts w:hint="default" w:ascii="Times New Roman" w:hAnsi="Times New Roman" w:cs="Times New Roman"/>
                <w:color w:val="000000"/>
                <w:szCs w:val="24"/>
                <w:highlight w:val="none"/>
                <w:vertAlign w:val="superscript"/>
              </w:rPr>
              <w:t>2</w:t>
            </w:r>
            <w:r>
              <w:rPr>
                <w:rFonts w:hint="default" w:ascii="Times New Roman" w:hAnsi="Times New Roman" w:cs="Times New Roman"/>
                <w:color w:val="000000"/>
                <w:szCs w:val="24"/>
                <w:highlight w:val="none"/>
              </w:rPr>
              <w:t>、</w:t>
            </w:r>
            <w:r>
              <w:rPr>
                <w:rFonts w:hint="default" w:ascii="Times New Roman" w:hAnsi="Times New Roman" w:cs="Times New Roman"/>
                <w:color w:val="000000"/>
                <w:szCs w:val="24"/>
                <w:highlight w:val="none"/>
                <w:lang w:val="en-US" w:eastAsia="zh-CN"/>
              </w:rPr>
              <w:t>0.87</w:t>
            </w:r>
            <w:r>
              <w:rPr>
                <w:rFonts w:hint="default" w:ascii="Times New Roman" w:hAnsi="Times New Roman" w:cs="Times New Roman"/>
                <w:color w:val="000000"/>
                <w:szCs w:val="24"/>
                <w:highlight w:val="none"/>
              </w:rPr>
              <w:t>km</w:t>
            </w:r>
            <w:r>
              <w:rPr>
                <w:rFonts w:hint="default" w:ascii="Times New Roman" w:hAnsi="Times New Roman" w:cs="Times New Roman"/>
                <w:color w:val="000000"/>
                <w:szCs w:val="24"/>
                <w:highlight w:val="none"/>
                <w:vertAlign w:val="superscript"/>
              </w:rPr>
              <w:t>2</w:t>
            </w:r>
            <w:r>
              <w:rPr>
                <w:rFonts w:hint="default" w:ascii="Times New Roman" w:hAnsi="Times New Roman" w:cs="Times New Roman"/>
                <w:color w:val="000000"/>
                <w:szCs w:val="24"/>
                <w:highlight w:val="none"/>
                <w:vertAlign w:val="baseline"/>
                <w:lang w:eastAsia="zh-CN"/>
              </w:rPr>
              <w:t>。</w:t>
            </w:r>
          </w:p>
          <w:p w14:paraId="04087337">
            <w:pPr>
              <w:ind w:firstLine="480" w:firstLineChars="200"/>
              <w:rPr>
                <w:rFonts w:hint="default" w:ascii="Times New Roman" w:hAnsi="Times New Roman" w:cs="Times New Roman"/>
                <w:color w:val="000000"/>
                <w:highlight w:val="none"/>
                <w:lang w:val="en-US" w:eastAsia="zh-CN"/>
              </w:rPr>
            </w:pPr>
            <w:r>
              <w:rPr>
                <w:rFonts w:hint="default" w:ascii="Times New Roman" w:hAnsi="Times New Roman" w:cs="Times New Roman"/>
                <w:color w:val="000000"/>
                <w:kern w:val="2"/>
                <w:highlight w:val="none"/>
              </w:rPr>
              <w:t>总体而言，</w:t>
            </w:r>
            <w:r>
              <w:rPr>
                <w:rFonts w:hint="default" w:ascii="Times New Roman" w:hAnsi="Times New Roman" w:cs="Times New Roman"/>
                <w:color w:val="000000"/>
                <w:szCs w:val="24"/>
                <w:highlight w:val="none"/>
              </w:rPr>
              <w:t>施工</w:t>
            </w:r>
            <w:r>
              <w:rPr>
                <w:rFonts w:hint="default" w:ascii="Times New Roman" w:hAnsi="Times New Roman" w:cs="Times New Roman"/>
                <w:color w:val="000000"/>
                <w:szCs w:val="24"/>
                <w:highlight w:val="none"/>
                <w:lang w:val="en-US" w:eastAsia="zh-CN"/>
              </w:rPr>
              <w:t>叠加</w:t>
            </w:r>
            <w:r>
              <w:rPr>
                <w:rFonts w:hint="default" w:ascii="Times New Roman" w:hAnsi="Times New Roman" w:cs="Times New Roman"/>
                <w:color w:val="000000"/>
                <w:highlight w:val="none"/>
              </w:rPr>
              <w:t>悬沙增量超过10mg/L水域最大影响面积为</w:t>
            </w:r>
            <w:r>
              <w:rPr>
                <w:rFonts w:hint="default" w:ascii="Times New Roman" w:hAnsi="Times New Roman" w:cs="Times New Roman"/>
                <w:color w:val="000000"/>
                <w:szCs w:val="24"/>
                <w:highlight w:val="none"/>
                <w:lang w:val="en-US" w:eastAsia="zh-CN"/>
              </w:rPr>
              <w:t>3.24</w:t>
            </w:r>
            <w:r>
              <w:rPr>
                <w:rFonts w:hint="default" w:ascii="Times New Roman" w:hAnsi="Times New Roman" w:cs="Times New Roman"/>
                <w:color w:val="000000"/>
                <w:szCs w:val="24"/>
                <w:highlight w:val="none"/>
              </w:rPr>
              <w:t>km</w:t>
            </w:r>
            <w:r>
              <w:rPr>
                <w:rFonts w:hint="default" w:ascii="Times New Roman" w:hAnsi="Times New Roman" w:cs="Times New Roman"/>
                <w:color w:val="000000"/>
                <w:szCs w:val="24"/>
                <w:highlight w:val="none"/>
                <w:vertAlign w:val="superscript"/>
              </w:rPr>
              <w:t>2</w:t>
            </w:r>
            <w:r>
              <w:rPr>
                <w:rFonts w:hint="default" w:ascii="Times New Roman" w:hAnsi="Times New Roman" w:cs="Times New Roman"/>
                <w:color w:val="000000"/>
                <w:kern w:val="2"/>
                <w:highlight w:val="none"/>
                <w:lang w:eastAsia="zh-CN"/>
              </w:rPr>
              <w:t>，不会到达生态保护红线区，</w:t>
            </w:r>
            <w:r>
              <w:rPr>
                <w:rFonts w:hint="default" w:ascii="Times New Roman" w:hAnsi="Times New Roman" w:cs="Times New Roman"/>
                <w:color w:val="000000"/>
                <w:kern w:val="2"/>
                <w:highlight w:val="none"/>
              </w:rPr>
              <w:t>施工形成的悬浮泥沙仅对周边海域产生一定影响。</w:t>
            </w:r>
          </w:p>
          <w:p w14:paraId="450F7281">
            <w:pPr>
              <w:pStyle w:val="30"/>
              <w:bidi w:val="0"/>
              <w:rPr>
                <w:rFonts w:hint="default" w:ascii="Times New Roman" w:hAnsi="Times New Roman" w:cs="Times New Roman"/>
                <w:color w:val="000000"/>
                <w:highlight w:val="none"/>
              </w:rPr>
            </w:pPr>
            <w:bookmarkStart w:id="327" w:name="_Ref8691"/>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4.3</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表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w:t>
            </w:r>
            <w:r>
              <w:rPr>
                <w:rFonts w:hint="default" w:ascii="Times New Roman" w:hAnsi="Times New Roman" w:cs="Times New Roman"/>
                <w:color w:val="000000"/>
                <w:highlight w:val="none"/>
              </w:rPr>
              <w:fldChar w:fldCharType="end"/>
            </w:r>
            <w:bookmarkEnd w:id="327"/>
            <w:r>
              <w:rPr>
                <w:rFonts w:hint="default" w:ascii="Times New Roman" w:hAnsi="Times New Roman" w:cs="Times New Roman"/>
                <w:color w:val="000000"/>
                <w:highlight w:val="none"/>
                <w:lang w:val="en-US" w:eastAsia="zh-CN"/>
              </w:rPr>
              <w:t xml:space="preserve"> </w:t>
            </w:r>
            <w:r>
              <w:rPr>
                <w:rFonts w:hint="default" w:ascii="Times New Roman" w:hAnsi="Times New Roman" w:cs="Times New Roman"/>
                <w:color w:val="000000"/>
                <w:highlight w:val="none"/>
                <w:lang w:eastAsia="zh-CN"/>
              </w:rPr>
              <w:t>基槽开挖、疏浚</w:t>
            </w:r>
            <w:r>
              <w:rPr>
                <w:rFonts w:hint="default" w:ascii="Times New Roman" w:hAnsi="Times New Roman" w:cs="Times New Roman"/>
                <w:color w:val="000000"/>
                <w:highlight w:val="none"/>
                <w:lang w:val="en-US" w:eastAsia="zh-CN"/>
              </w:rPr>
              <w:t>和块石抛填施工叠加悬浮物增量浓度</w:t>
            </w:r>
            <w:r>
              <w:rPr>
                <w:rFonts w:hint="default" w:ascii="Times New Roman" w:hAnsi="Times New Roman" w:cs="Times New Roman"/>
                <w:color w:val="000000"/>
                <w:highlight w:val="none"/>
              </w:rPr>
              <w:t>的影响范围（km</w:t>
            </w:r>
            <w:r>
              <w:rPr>
                <w:rFonts w:hint="default" w:ascii="Times New Roman" w:hAnsi="Times New Roman" w:cs="Times New Roman"/>
                <w:color w:val="000000"/>
                <w:highlight w:val="none"/>
                <w:vertAlign w:val="superscript"/>
              </w:rPr>
              <w:t>2</w:t>
            </w:r>
            <w:r>
              <w:rPr>
                <w:rFonts w:hint="default" w:ascii="Times New Roman" w:hAnsi="Times New Roman" w:cs="Times New Roman"/>
                <w:color w:val="000000"/>
                <w:highlight w:val="none"/>
              </w:rPr>
              <w:t>）</w:t>
            </w:r>
          </w:p>
          <w:tbl>
            <w:tblPr>
              <w:tblStyle w:val="2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83"/>
              <w:gridCol w:w="1174"/>
              <w:gridCol w:w="1174"/>
              <w:gridCol w:w="1174"/>
              <w:gridCol w:w="1174"/>
              <w:gridCol w:w="875"/>
              <w:gridCol w:w="879"/>
            </w:tblGrid>
            <w:tr w14:paraId="633EB6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6" w:type="pct"/>
                  <w:noWrap w:val="0"/>
                  <w:vAlign w:val="center"/>
                </w:tcPr>
                <w:p w14:paraId="312CA450">
                  <w:pPr>
                    <w:pStyle w:val="31"/>
                    <w:bidi w:val="0"/>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rPr>
                    <w:t>悬浮泥沙浓度（mg/L）</w:t>
                  </w:r>
                </w:p>
              </w:tc>
              <w:tc>
                <w:tcPr>
                  <w:tcW w:w="635" w:type="pct"/>
                  <w:noWrap/>
                  <w:vAlign w:val="center"/>
                </w:tcPr>
                <w:p w14:paraId="297775C4">
                  <w:pPr>
                    <w:pStyle w:val="31"/>
                    <w:bidi w:val="0"/>
                    <w:rPr>
                      <w:rFonts w:hint="default" w:ascii="Times New Roman" w:hAnsi="Times New Roman" w:cs="Times New Roman"/>
                      <w:b/>
                      <w:bCs/>
                      <w:color w:val="000000"/>
                      <w:highlight w:val="none"/>
                      <w:lang w:val="en-US"/>
                    </w:rPr>
                  </w:pPr>
                  <w:r>
                    <w:rPr>
                      <w:rFonts w:hint="default" w:ascii="Times New Roman" w:hAnsi="Times New Roman" w:cs="Times New Roman"/>
                      <w:b/>
                      <w:bCs/>
                      <w:color w:val="000000"/>
                      <w:highlight w:val="none"/>
                      <w:lang w:val="en-US" w:eastAsia="zh-CN"/>
                    </w:rPr>
                    <w:t>10~20</w:t>
                  </w:r>
                </w:p>
              </w:tc>
              <w:tc>
                <w:tcPr>
                  <w:tcW w:w="635" w:type="pct"/>
                  <w:noWrap/>
                  <w:vAlign w:val="center"/>
                </w:tcPr>
                <w:p w14:paraId="04B732FD">
                  <w:pPr>
                    <w:pStyle w:val="31"/>
                    <w:bidi w:val="0"/>
                    <w:rPr>
                      <w:rFonts w:hint="default" w:ascii="Times New Roman" w:hAnsi="Times New Roman" w:cs="Times New Roman"/>
                      <w:b/>
                      <w:bCs/>
                      <w:color w:val="000000"/>
                      <w:highlight w:val="none"/>
                      <w:lang w:val="en-US"/>
                    </w:rPr>
                  </w:pPr>
                  <w:r>
                    <w:rPr>
                      <w:rFonts w:hint="default" w:ascii="Times New Roman" w:hAnsi="Times New Roman" w:cs="Times New Roman"/>
                      <w:b/>
                      <w:bCs/>
                      <w:color w:val="000000"/>
                      <w:highlight w:val="none"/>
                      <w:lang w:val="en-US" w:eastAsia="zh-CN"/>
                    </w:rPr>
                    <w:t>20~50</w:t>
                  </w:r>
                </w:p>
              </w:tc>
              <w:tc>
                <w:tcPr>
                  <w:tcW w:w="635" w:type="pct"/>
                  <w:noWrap/>
                  <w:vAlign w:val="center"/>
                </w:tcPr>
                <w:p w14:paraId="1F8CB3E2">
                  <w:pPr>
                    <w:pStyle w:val="31"/>
                    <w:bidi w:val="0"/>
                    <w:rPr>
                      <w:rFonts w:hint="default" w:ascii="Times New Roman" w:hAnsi="Times New Roman" w:cs="Times New Roman"/>
                      <w:b/>
                      <w:bCs/>
                      <w:color w:val="000000"/>
                      <w:highlight w:val="none"/>
                      <w:lang w:val="en-US"/>
                    </w:rPr>
                  </w:pPr>
                  <w:r>
                    <w:rPr>
                      <w:rFonts w:hint="default" w:ascii="Times New Roman" w:hAnsi="Times New Roman" w:cs="Times New Roman"/>
                      <w:b/>
                      <w:bCs/>
                      <w:color w:val="000000"/>
                      <w:highlight w:val="none"/>
                      <w:lang w:val="en-US" w:eastAsia="zh-CN"/>
                    </w:rPr>
                    <w:t>50~100</w:t>
                  </w:r>
                </w:p>
              </w:tc>
              <w:tc>
                <w:tcPr>
                  <w:tcW w:w="635" w:type="pct"/>
                  <w:noWrap/>
                  <w:vAlign w:val="center"/>
                </w:tcPr>
                <w:p w14:paraId="55B3F225">
                  <w:pPr>
                    <w:pStyle w:val="31"/>
                    <w:bidi w:val="0"/>
                    <w:rPr>
                      <w:rFonts w:hint="default" w:ascii="Times New Roman" w:hAnsi="Times New Roman" w:cs="Times New Roman"/>
                      <w:b/>
                      <w:bCs/>
                      <w:color w:val="000000"/>
                      <w:highlight w:val="none"/>
                      <w:lang w:val="en-US"/>
                    </w:rPr>
                  </w:pPr>
                  <w:r>
                    <w:rPr>
                      <w:rFonts w:hint="default" w:ascii="Times New Roman" w:hAnsi="Times New Roman" w:cs="Times New Roman"/>
                      <w:b/>
                      <w:bCs/>
                      <w:color w:val="000000"/>
                      <w:highlight w:val="none"/>
                      <w:lang w:val="en-US" w:eastAsia="zh-CN"/>
                    </w:rPr>
                    <w:t>100~150</w:t>
                  </w:r>
                </w:p>
              </w:tc>
              <w:tc>
                <w:tcPr>
                  <w:tcW w:w="635" w:type="pct"/>
                  <w:noWrap/>
                  <w:vAlign w:val="center"/>
                </w:tcPr>
                <w:p w14:paraId="6BBF943C">
                  <w:pPr>
                    <w:pStyle w:val="31"/>
                    <w:bidi w:val="0"/>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lang w:val="en-US" w:eastAsia="zh-CN"/>
                    </w:rPr>
                    <w:t>&gt;</w:t>
                  </w:r>
                  <w:r>
                    <w:rPr>
                      <w:rFonts w:hint="default" w:ascii="Times New Roman" w:hAnsi="Times New Roman" w:cs="Times New Roman"/>
                      <w:b/>
                      <w:bCs/>
                      <w:color w:val="000000"/>
                      <w:highlight w:val="none"/>
                    </w:rPr>
                    <w:t>150mg/L</w:t>
                  </w:r>
                </w:p>
              </w:tc>
              <w:tc>
                <w:tcPr>
                  <w:tcW w:w="637" w:type="pct"/>
                  <w:noWrap/>
                  <w:vAlign w:val="center"/>
                </w:tcPr>
                <w:p w14:paraId="7605D12A">
                  <w:pPr>
                    <w:pStyle w:val="31"/>
                    <w:bidi w:val="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扩散半径</w:t>
                  </w:r>
                </w:p>
              </w:tc>
            </w:tr>
            <w:tr w14:paraId="7F4331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6" w:type="pct"/>
                  <w:noWrap/>
                  <w:vAlign w:val="center"/>
                </w:tcPr>
                <w:p w14:paraId="36E96092">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悬沙面积（km</w:t>
                  </w:r>
                  <w:r>
                    <w:rPr>
                      <w:rFonts w:hint="default" w:ascii="Times New Roman" w:hAnsi="Times New Roman" w:cs="Times New Roman"/>
                      <w:color w:val="000000"/>
                      <w:highlight w:val="none"/>
                      <w:vertAlign w:val="superscript"/>
                    </w:rPr>
                    <w:t>2</w:t>
                  </w:r>
                  <w:r>
                    <w:rPr>
                      <w:rFonts w:hint="default" w:ascii="Times New Roman" w:hAnsi="Times New Roman" w:cs="Times New Roman"/>
                      <w:color w:val="000000"/>
                      <w:highlight w:val="none"/>
                    </w:rPr>
                    <w:t>）</w:t>
                  </w:r>
                </w:p>
              </w:tc>
              <w:tc>
                <w:tcPr>
                  <w:tcW w:w="1174" w:type="dxa"/>
                  <w:noWrap/>
                  <w:vAlign w:val="center"/>
                </w:tcPr>
                <w:p w14:paraId="21D21D7E">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0.70</w:t>
                  </w:r>
                </w:p>
              </w:tc>
              <w:tc>
                <w:tcPr>
                  <w:tcW w:w="1174" w:type="dxa"/>
                  <w:noWrap/>
                  <w:vAlign w:val="center"/>
                </w:tcPr>
                <w:p w14:paraId="1F94DEDF">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0.76</w:t>
                  </w:r>
                </w:p>
              </w:tc>
              <w:tc>
                <w:tcPr>
                  <w:tcW w:w="1174" w:type="dxa"/>
                  <w:noWrap/>
                  <w:vAlign w:val="center"/>
                </w:tcPr>
                <w:p w14:paraId="57131A55">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0.60</w:t>
                  </w:r>
                </w:p>
              </w:tc>
              <w:tc>
                <w:tcPr>
                  <w:tcW w:w="1174" w:type="dxa"/>
                  <w:noWrap/>
                  <w:vAlign w:val="center"/>
                </w:tcPr>
                <w:p w14:paraId="5ED66075">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0.31</w:t>
                  </w:r>
                </w:p>
              </w:tc>
              <w:tc>
                <w:tcPr>
                  <w:tcW w:w="635" w:type="pct"/>
                  <w:noWrap/>
                  <w:vAlign w:val="center"/>
                </w:tcPr>
                <w:p w14:paraId="1453E087">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0.87</w:t>
                  </w:r>
                </w:p>
              </w:tc>
              <w:tc>
                <w:tcPr>
                  <w:tcW w:w="637" w:type="pct"/>
                  <w:noWrap/>
                  <w:vAlign w:val="center"/>
                </w:tcPr>
                <w:p w14:paraId="26071697">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1.4km</w:t>
                  </w:r>
                </w:p>
              </w:tc>
            </w:tr>
          </w:tbl>
          <w:p w14:paraId="7EC54309">
            <w:pPr>
              <w:pStyle w:val="31"/>
              <w:bidi w:val="0"/>
              <w:rPr>
                <w:rFonts w:hint="default" w:ascii="Times New Roman" w:hAnsi="Times New Roman" w:cs="Times New Roman"/>
                <w:color w:val="000000"/>
                <w:highlight w:val="none"/>
              </w:rPr>
            </w:pPr>
          </w:p>
          <w:p w14:paraId="777428E3">
            <w:pPr>
              <w:pStyle w:val="31"/>
              <w:bidi w:val="0"/>
              <w:rPr>
                <w:rFonts w:hint="default" w:ascii="Times New Roman" w:hAnsi="Times New Roman" w:cs="Times New Roman"/>
                <w:color w:val="000000"/>
                <w:highlight w:val="none"/>
                <w:lang w:eastAsia="zh-CN"/>
              </w:rPr>
            </w:pPr>
            <w:r>
              <w:rPr>
                <w:rFonts w:hint="eastAsia" w:cs="Times New Roman"/>
                <w:color w:val="000000"/>
                <w:kern w:val="2"/>
                <w:sz w:val="21"/>
                <w:szCs w:val="28"/>
                <w:highlight w:val="none"/>
                <w:lang w:val="en-US" w:eastAsia="zh-CN" w:bidi="ar-SA"/>
              </w:rPr>
              <w:t>（涉密删除）</w:t>
            </w:r>
          </w:p>
          <w:p w14:paraId="35A8362D">
            <w:pPr>
              <w:pStyle w:val="30"/>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图</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STYLEREF 2 \s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lang w:val="en-US" w:eastAsia="zh-CN"/>
              </w:rPr>
              <w:t>4.3</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val="en-US" w:eastAsia="zh-CN"/>
              </w:rPr>
              <w:t>-</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SEQ 图 \* ARABIC \s 2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lang w:val="en-US" w:eastAsia="zh-CN"/>
              </w:rPr>
              <w:t>19</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val="en-US" w:eastAsia="zh-CN"/>
              </w:rPr>
              <w:t xml:space="preserve"> </w:t>
            </w:r>
            <w:r>
              <w:rPr>
                <w:rFonts w:hint="default" w:ascii="Times New Roman" w:hAnsi="Times New Roman" w:cs="Times New Roman"/>
                <w:color w:val="000000"/>
                <w:highlight w:val="none"/>
                <w:lang w:eastAsia="zh-CN"/>
              </w:rPr>
              <w:t>基槽开挖、疏浚</w:t>
            </w:r>
            <w:r>
              <w:rPr>
                <w:rFonts w:hint="default" w:ascii="Times New Roman" w:hAnsi="Times New Roman" w:cs="Times New Roman"/>
                <w:color w:val="000000"/>
                <w:highlight w:val="none"/>
                <w:lang w:val="en-US" w:eastAsia="zh-CN"/>
              </w:rPr>
              <w:t>和块石抛填施工叠加悬浮物增量浓度包络图</w:t>
            </w:r>
          </w:p>
          <w:p w14:paraId="6ADC7935">
            <w:pPr>
              <w:pStyle w:val="5"/>
              <w:bidi w:val="0"/>
              <w:rPr>
                <w:rFonts w:hint="default"/>
              </w:rPr>
            </w:pPr>
            <w:bookmarkStart w:id="328" w:name="_Toc14391"/>
            <w:r>
              <w:rPr>
                <w:rFonts w:hint="default"/>
                <w:lang w:val="en-US" w:eastAsia="zh-CN"/>
              </w:rPr>
              <w:t>施工期污水排放对海水水质的影响分析</w:t>
            </w:r>
            <w:bookmarkEnd w:id="328"/>
          </w:p>
          <w:p w14:paraId="73C86B80">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1</w:t>
            </w: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rPr>
              <w:t>施工船舶污水对海水水质的影响</w:t>
            </w:r>
          </w:p>
          <w:p w14:paraId="740C2B89">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施工期间，施工船舶（抓斗挖泥船、起重船、方驳等）在使用和维修过程中将产生含油废污水，废污水产生量为</w:t>
            </w:r>
            <w:r>
              <w:rPr>
                <w:rFonts w:hint="default" w:ascii="Times New Roman" w:hAnsi="Times New Roman" w:cs="Times New Roman"/>
                <w:color w:val="000000"/>
                <w:highlight w:val="none"/>
                <w:lang w:val="en-US" w:eastAsia="zh-CN"/>
              </w:rPr>
              <w:t>2.7m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/d，施工船舶生活污水产生量为1.5m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/d，</w:t>
            </w:r>
            <w:r>
              <w:rPr>
                <w:rFonts w:hint="default" w:ascii="Times New Roman" w:hAnsi="Times New Roman" w:cs="Times New Roman"/>
                <w:color w:val="000000"/>
                <w:highlight w:val="none"/>
              </w:rPr>
              <w:t>若直接排入海中，将对海域的水生生物造成一定的影响。因此，必须加强管理，严禁施工船舶含油污水未经处理直接排放，以减轻含油污水排放对海水水质、海洋生物生态造成的危害。施工船舶应严格执行《防治船舶污染海洋环境管理条例》《沿海海域船舶排污设备铅封管理规定》等相关法规要求，施工船舶应设置油污水及生活污水储存舱，油污水和船舶生活污水应收集并由海事部门认可的专业单位接收处理，严禁在港区内排放。因此，在正常情况下，施工船舶污水对港区海域的影响可控。</w:t>
            </w:r>
          </w:p>
          <w:p w14:paraId="69C602AB">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eastAsia="宋体" w:cs="Times New Roman"/>
                <w:b/>
                <w:bCs/>
                <w:color w:val="000000"/>
                <w:highlight w:val="none"/>
                <w:lang w:val="en-US" w:eastAsia="zh-CN"/>
              </w:rPr>
            </w:pPr>
            <w:r>
              <w:rPr>
                <w:rFonts w:hint="default" w:ascii="Times New Roman" w:hAnsi="Times New Roman" w:cs="Times New Roman"/>
                <w:b/>
                <w:bCs/>
                <w:color w:val="000000"/>
                <w:highlight w:val="none"/>
                <w:lang w:val="en-US" w:eastAsia="zh-CN"/>
              </w:rPr>
              <w:t>（2）施工</w:t>
            </w:r>
            <w:r>
              <w:rPr>
                <w:rFonts w:hint="default" w:ascii="Times New Roman" w:hAnsi="Times New Roman" w:cs="Times New Roman"/>
                <w:b/>
                <w:bCs/>
                <w:color w:val="000000"/>
                <w:highlight w:val="none"/>
                <w:lang w:eastAsia="zh-CN"/>
              </w:rPr>
              <w:t>机械设备冲洗废水</w:t>
            </w:r>
            <w:r>
              <w:rPr>
                <w:rFonts w:hint="default" w:ascii="Times New Roman" w:hAnsi="Times New Roman" w:cs="Times New Roman"/>
                <w:b/>
                <w:bCs/>
                <w:color w:val="000000"/>
                <w:highlight w:val="none"/>
                <w:lang w:val="en-US" w:eastAsia="zh-CN"/>
              </w:rPr>
              <w:t>对海水水质的影响</w:t>
            </w:r>
          </w:p>
          <w:p w14:paraId="46683E42">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施工车辆设备冲洗和维护保养过程中产生的冲洗废水量约为8.0m</w:t>
            </w:r>
            <w:r>
              <w:rPr>
                <w:rFonts w:hint="default" w:ascii="Times New Roman" w:hAnsi="Times New Roman" w:cs="Times New Roman"/>
                <w:color w:val="000000"/>
                <w:highlight w:val="none"/>
                <w:vertAlign w:val="superscript"/>
              </w:rPr>
              <w:t>3</w:t>
            </w:r>
            <w:r>
              <w:rPr>
                <w:rFonts w:hint="default" w:ascii="Times New Roman" w:hAnsi="Times New Roman" w:cs="Times New Roman"/>
                <w:color w:val="000000"/>
                <w:highlight w:val="none"/>
              </w:rPr>
              <w:t>/d，主要含有SS、石油类等水污染物，经沉淀池沉淀后可回用于车辆冲洗。</w:t>
            </w:r>
          </w:p>
          <w:p w14:paraId="6FED9C13">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lang w:val="en-US" w:eastAsia="zh-CN"/>
              </w:rPr>
              <w:t>（3）</w:t>
            </w:r>
            <w:r>
              <w:rPr>
                <w:rFonts w:hint="default" w:ascii="Times New Roman" w:hAnsi="Times New Roman" w:cs="Times New Roman"/>
                <w:b/>
                <w:bCs/>
                <w:color w:val="000000"/>
                <w:highlight w:val="none"/>
              </w:rPr>
              <w:t>施工人员生活污水对海水水质的影响</w:t>
            </w:r>
          </w:p>
          <w:p w14:paraId="22E37AF1">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本项目</w:t>
            </w:r>
            <w:r>
              <w:rPr>
                <w:rFonts w:hint="default" w:ascii="Times New Roman" w:hAnsi="Times New Roman" w:cs="Times New Roman"/>
                <w:color w:val="000000"/>
                <w:highlight w:val="none"/>
                <w:lang w:val="en-US" w:eastAsia="zh-CN"/>
              </w:rPr>
              <w:t>陆域</w:t>
            </w:r>
            <w:r>
              <w:rPr>
                <w:rFonts w:hint="default" w:ascii="Times New Roman" w:hAnsi="Times New Roman" w:cs="Times New Roman"/>
                <w:color w:val="000000"/>
                <w:highlight w:val="none"/>
              </w:rPr>
              <w:t>施工人员生活污水产生量约</w:t>
            </w:r>
            <w:r>
              <w:rPr>
                <w:rFonts w:hint="default" w:ascii="Times New Roman" w:hAnsi="Times New Roman" w:cs="Times New Roman"/>
                <w:color w:val="000000"/>
                <w:highlight w:val="none"/>
                <w:lang w:val="en-US" w:eastAsia="zh-CN"/>
              </w:rPr>
              <w:t>1.25</w:t>
            </w:r>
            <w:r>
              <w:rPr>
                <w:rFonts w:hint="default" w:ascii="Times New Roman" w:hAnsi="Times New Roman" w:cs="Times New Roman"/>
                <w:color w:val="000000"/>
                <w:highlight w:val="none"/>
              </w:rPr>
              <w:t>m</w:t>
            </w:r>
            <w:r>
              <w:rPr>
                <w:rFonts w:hint="default" w:ascii="Times New Roman" w:hAnsi="Times New Roman" w:cs="Times New Roman"/>
                <w:color w:val="000000"/>
                <w:highlight w:val="none"/>
                <w:vertAlign w:val="superscript"/>
              </w:rPr>
              <w:t>3</w:t>
            </w:r>
            <w:r>
              <w:rPr>
                <w:rFonts w:hint="default" w:ascii="Times New Roman" w:hAnsi="Times New Roman" w:cs="Times New Roman"/>
                <w:color w:val="000000"/>
                <w:highlight w:val="none"/>
              </w:rPr>
              <w:t>/d，施工期未修建施工营地，租用当地民房供施工人员居住，居住地生活污水依托当地居民污水处理设施处理</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不外排</w:t>
            </w:r>
            <w:r>
              <w:rPr>
                <w:rFonts w:hint="default" w:ascii="Times New Roman" w:hAnsi="Times New Roman" w:cs="Times New Roman"/>
                <w:color w:val="000000"/>
                <w:highlight w:val="none"/>
              </w:rPr>
              <w:t>。</w:t>
            </w:r>
          </w:p>
          <w:p w14:paraId="0D2331BA">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综上所述</w:t>
            </w:r>
            <w:r>
              <w:rPr>
                <w:rFonts w:hint="default" w:ascii="Times New Roman" w:hAnsi="Times New Roman" w:cs="Times New Roman"/>
                <w:color w:val="000000"/>
                <w:highlight w:val="none"/>
              </w:rPr>
              <w:t>，项目施工期生产及生活</w:t>
            </w:r>
            <w:r>
              <w:rPr>
                <w:rFonts w:hint="default" w:ascii="Times New Roman" w:hAnsi="Times New Roman" w:cs="Times New Roman"/>
                <w:color w:val="000000"/>
                <w:highlight w:val="none"/>
                <w:lang w:val="en-US" w:eastAsia="zh-CN"/>
              </w:rPr>
              <w:t>污水采取</w:t>
            </w:r>
            <w:r>
              <w:rPr>
                <w:rFonts w:hint="default" w:ascii="Times New Roman" w:hAnsi="Times New Roman" w:cs="Times New Roman"/>
                <w:color w:val="000000"/>
                <w:highlight w:val="none"/>
              </w:rPr>
              <w:t>一定措施</w:t>
            </w:r>
            <w:r>
              <w:rPr>
                <w:rFonts w:hint="default" w:ascii="Times New Roman" w:hAnsi="Times New Roman" w:cs="Times New Roman"/>
                <w:color w:val="000000"/>
                <w:highlight w:val="none"/>
                <w:lang w:val="en-US" w:eastAsia="zh-CN"/>
              </w:rPr>
              <w:t>处理</w:t>
            </w:r>
            <w:r>
              <w:rPr>
                <w:rFonts w:hint="default" w:ascii="Times New Roman" w:hAnsi="Times New Roman" w:cs="Times New Roman"/>
                <w:color w:val="000000"/>
                <w:highlight w:val="none"/>
              </w:rPr>
              <w:t>后对海域水环境的影响较小。</w:t>
            </w:r>
          </w:p>
          <w:p w14:paraId="7D31A31D">
            <w:pPr>
              <w:pStyle w:val="4"/>
              <w:bidi w:val="0"/>
              <w:rPr>
                <w:rFonts w:hint="default" w:ascii="Times New Roman" w:hAnsi="Times New Roman" w:cs="Times New Roman"/>
                <w:color w:val="000000"/>
                <w:highlight w:val="none"/>
              </w:rPr>
            </w:pPr>
            <w:bookmarkStart w:id="329" w:name="_Toc15573"/>
            <w:r>
              <w:rPr>
                <w:rFonts w:hint="default" w:ascii="Times New Roman" w:hAnsi="Times New Roman" w:cs="Times New Roman"/>
                <w:color w:val="000000"/>
                <w:highlight w:val="none"/>
                <w:lang w:val="en-US" w:eastAsia="zh-CN"/>
              </w:rPr>
              <w:t>施工期</w:t>
            </w:r>
            <w:r>
              <w:rPr>
                <w:rFonts w:hint="default" w:ascii="Times New Roman" w:hAnsi="Times New Roman" w:cs="Times New Roman"/>
                <w:color w:val="000000"/>
                <w:highlight w:val="none"/>
              </w:rPr>
              <w:t>污染物排放对沉积物环境的影响</w:t>
            </w:r>
            <w:bookmarkEnd w:id="329"/>
          </w:p>
          <w:p w14:paraId="5A087ACD">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rPr>
              <w:t>（1）施工期悬浮泥沙入海对沉积物环境的影响</w:t>
            </w:r>
          </w:p>
          <w:p w14:paraId="3F88860A">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施工过</w:t>
            </w:r>
            <w:r>
              <w:rPr>
                <w:rFonts w:hint="default" w:ascii="Times New Roman" w:hAnsi="Times New Roman" w:cs="Times New Roman"/>
                <w:color w:val="000000"/>
                <w:highlight w:val="none"/>
                <w:lang w:eastAsia="zh-CN"/>
              </w:rPr>
              <w:t>程中</w:t>
            </w:r>
            <w:r>
              <w:rPr>
                <w:rFonts w:hint="default" w:ascii="Times New Roman" w:hAnsi="Times New Roman" w:cs="Times New Roman"/>
                <w:color w:val="000000"/>
                <w:highlight w:val="none"/>
              </w:rPr>
              <w:t>入海的泥沙在随潮流涨落运移过程中，其粗颗粒</w:t>
            </w:r>
            <w:r>
              <w:rPr>
                <w:rFonts w:hint="default" w:ascii="Times New Roman" w:hAnsi="Times New Roman" w:cs="Times New Roman"/>
                <w:color w:val="000000"/>
                <w:highlight w:val="none"/>
                <w:lang w:val="en-US" w:eastAsia="zh-CN"/>
              </w:rPr>
              <w:t>部分</w:t>
            </w:r>
            <w:r>
              <w:rPr>
                <w:rFonts w:hint="default" w:ascii="Times New Roman" w:hAnsi="Times New Roman" w:cs="Times New Roman"/>
                <w:color w:val="000000"/>
                <w:highlight w:val="none"/>
              </w:rPr>
              <w:t>将迅速沉降于防波堤附近海底，而细颗粒</w:t>
            </w:r>
            <w:r>
              <w:rPr>
                <w:rFonts w:hint="default" w:ascii="Times New Roman" w:hAnsi="Times New Roman" w:cs="Times New Roman"/>
                <w:color w:val="000000"/>
                <w:highlight w:val="none"/>
                <w:lang w:val="en-US" w:eastAsia="zh-CN"/>
              </w:rPr>
              <w:t>部分</w:t>
            </w:r>
            <w:r>
              <w:rPr>
                <w:rFonts w:hint="default" w:ascii="Times New Roman" w:hAnsi="Times New Roman" w:cs="Times New Roman"/>
                <w:color w:val="000000"/>
                <w:highlight w:val="none"/>
              </w:rPr>
              <w:t>在随潮流向边滩运移过程中遇到平潮期流速趋于零而慢慢沉降于海底。散落泥沙的扩散运移和沉降的范围与泥沙的粒径、水深和流速有关。</w:t>
            </w:r>
          </w:p>
          <w:p w14:paraId="73D7ED59">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施工期的悬浮物</w:t>
            </w:r>
            <w:r>
              <w:rPr>
                <w:rFonts w:hint="default" w:ascii="Times New Roman" w:hAnsi="Times New Roman" w:cs="Times New Roman"/>
                <w:color w:val="000000"/>
                <w:highlight w:val="none"/>
                <w:lang w:val="en-US" w:eastAsia="zh-CN"/>
              </w:rPr>
              <w:t>主要为基槽开挖、基床抛石、港池疏浚产生的悬浮物</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主要</w:t>
            </w:r>
            <w:r>
              <w:rPr>
                <w:rFonts w:hint="default" w:ascii="Times New Roman" w:hAnsi="Times New Roman" w:cs="Times New Roman"/>
                <w:color w:val="000000"/>
                <w:highlight w:val="none"/>
                <w:lang w:eastAsia="zh-CN"/>
              </w:rPr>
              <w:t>来自</w:t>
            </w:r>
            <w:r>
              <w:rPr>
                <w:rFonts w:hint="default" w:ascii="Times New Roman" w:hAnsi="Times New Roman" w:cs="Times New Roman"/>
                <w:color w:val="000000"/>
                <w:highlight w:val="none"/>
              </w:rPr>
              <w:t>本工程及其附近海域，它们的环境背景值与工程海域沉积物背景值相近或一样，施工过程只是将沉积物的分布进行了重新调整，对沉积物环境影响较小，不会明显改变工程海域沉积物的质量。</w:t>
            </w:r>
          </w:p>
          <w:p w14:paraId="1DE173D5">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rPr>
              <w:t>（2）施工期污染物排放对沉积物环境的影响</w:t>
            </w:r>
          </w:p>
          <w:p w14:paraId="2CAD59D5">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污染物排放入海后在上覆水相、沉积物相和间隙水相三相中迁移转化，可能引起沉积物环境的变化，特别是悬浮物质可能通过吸附水体营养物质以及有毒、有害物质，并最终沉降到沉积物表层，从而对沉积物环境造成影响。</w:t>
            </w:r>
          </w:p>
          <w:p w14:paraId="56D72412">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本项目施工污水主要为施工生产废水和施工人员生活污水。施工废水量少，生产废水经处理后回用于设备冲洗、施工场地喷洒降尘用水；生活污水依托当地居民污水处理设施处理</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不外排</w:t>
            </w:r>
            <w:r>
              <w:rPr>
                <w:rFonts w:hint="default" w:ascii="Times New Roman" w:hAnsi="Times New Roman" w:cs="Times New Roman"/>
                <w:color w:val="000000"/>
                <w:highlight w:val="none"/>
              </w:rPr>
              <w:t>，</w:t>
            </w:r>
            <w:r>
              <w:rPr>
                <w:rFonts w:hint="default" w:ascii="Times New Roman" w:hAnsi="Times New Roman" w:cs="Times New Roman"/>
                <w:color w:val="000000"/>
                <w:highlight w:val="none"/>
                <w:lang w:val="en-US" w:eastAsia="zh-CN"/>
              </w:rPr>
              <w:t>施工污水</w:t>
            </w:r>
            <w:r>
              <w:rPr>
                <w:rFonts w:hint="default" w:ascii="Times New Roman" w:hAnsi="Times New Roman" w:cs="Times New Roman"/>
                <w:color w:val="000000"/>
                <w:highlight w:val="none"/>
              </w:rPr>
              <w:t>对海域水质的影响都不大，对沉积物环境基本上没有影响。</w:t>
            </w:r>
          </w:p>
          <w:p w14:paraId="5A3E098E">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此外，施工中</w:t>
            </w:r>
            <w:r>
              <w:rPr>
                <w:rFonts w:hint="default" w:ascii="Times New Roman" w:hAnsi="Times New Roman" w:cs="Times New Roman"/>
                <w:color w:val="000000"/>
                <w:highlight w:val="none"/>
                <w:lang w:eastAsia="zh-CN"/>
              </w:rPr>
              <w:t>要</w:t>
            </w:r>
            <w:r>
              <w:rPr>
                <w:rFonts w:hint="default" w:ascii="Times New Roman" w:hAnsi="Times New Roman" w:cs="Times New Roman"/>
                <w:color w:val="000000"/>
                <w:highlight w:val="none"/>
              </w:rPr>
              <w:t>加强管理，并将施工生活垃圾和施工废弃物一同清运至垃圾</w:t>
            </w:r>
            <w:r>
              <w:rPr>
                <w:rFonts w:hint="default" w:ascii="Times New Roman" w:hAnsi="Times New Roman" w:cs="Times New Roman"/>
                <w:color w:val="000000"/>
                <w:highlight w:val="none"/>
                <w:lang w:eastAsia="zh-CN"/>
              </w:rPr>
              <w:t>处理厂</w:t>
            </w:r>
            <w:r>
              <w:rPr>
                <w:rFonts w:hint="default" w:ascii="Times New Roman" w:hAnsi="Times New Roman" w:cs="Times New Roman"/>
                <w:color w:val="000000"/>
                <w:highlight w:val="none"/>
              </w:rPr>
              <w:t>处理，避免直接排入海域，对工程海域沉积物的质量影响很小。</w:t>
            </w:r>
          </w:p>
          <w:p w14:paraId="106517AB">
            <w:pPr>
              <w:pStyle w:val="4"/>
              <w:bidi w:val="0"/>
              <w:rPr>
                <w:rFonts w:hint="default" w:ascii="Times New Roman" w:hAnsi="Times New Roman" w:cs="Times New Roman"/>
                <w:color w:val="000000"/>
                <w:highlight w:val="none"/>
              </w:rPr>
            </w:pPr>
            <w:bookmarkStart w:id="330" w:name="_Toc8881"/>
            <w:r>
              <w:rPr>
                <w:rFonts w:hint="default" w:ascii="Times New Roman" w:hAnsi="Times New Roman" w:cs="Times New Roman"/>
                <w:color w:val="000000"/>
                <w:highlight w:val="none"/>
                <w:lang w:val="en-US" w:eastAsia="zh-CN"/>
              </w:rPr>
              <w:t>施工期海洋生态环境影响分析</w:t>
            </w:r>
            <w:bookmarkEnd w:id="330"/>
          </w:p>
          <w:p w14:paraId="38EE21CC">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根据工程分析，本项目施工期间会引起海水中悬浮物含量的增加，在一定范围内的海水将变得浑浊，海水透明度降低，对浮游生物、游泳动物、鱼卵仔稚鱼和底栖生物产生一定的影响。</w:t>
            </w:r>
          </w:p>
          <w:p w14:paraId="28495DD6">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rPr>
              <w:t>（1）对浮游生物的影响</w:t>
            </w:r>
          </w:p>
          <w:p w14:paraId="516A6815">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施工过程产生的入海泥沙将对浮游生物产生影响，首先反映在悬浮泥沙导致海水的</w:t>
            </w:r>
            <w:r>
              <w:rPr>
                <w:rFonts w:hint="default" w:ascii="Times New Roman" w:hAnsi="Times New Roman" w:cs="Times New Roman"/>
                <w:color w:val="000000"/>
                <w:highlight w:val="none"/>
                <w:lang w:eastAsia="zh-CN"/>
              </w:rPr>
              <w:t>浑浊度</w:t>
            </w:r>
            <w:r>
              <w:rPr>
                <w:rFonts w:hint="default" w:ascii="Times New Roman" w:hAnsi="Times New Roman" w:cs="Times New Roman"/>
                <w:color w:val="000000"/>
                <w:highlight w:val="none"/>
              </w:rPr>
              <w:t>增大，透明度降低，不利于浮游植物的光合作用，对浮游生物的生长起到抑制作用，降低单位水体内浮游植物的数量；其次，还将对浮游动物的生长率、摄食率、丰度、生产量及群落结构等方面的影响；此外，由于悬浮物快速下沉，有部分浮游植物被携带下沉，导致浮游植物受到一定损害。</w:t>
            </w:r>
          </w:p>
          <w:p w14:paraId="79536AA7">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数模预测结果表明，施工</w:t>
            </w:r>
            <w:r>
              <w:rPr>
                <w:rFonts w:hint="default" w:ascii="Times New Roman" w:hAnsi="Times New Roman" w:cs="Times New Roman"/>
                <w:color w:val="000000"/>
                <w:highlight w:val="none"/>
                <w:lang w:val="en-US" w:eastAsia="zh-CN"/>
              </w:rPr>
              <w:t>叠加</w:t>
            </w:r>
            <w:r>
              <w:rPr>
                <w:rFonts w:hint="default" w:ascii="Times New Roman" w:hAnsi="Times New Roman" w:cs="Times New Roman"/>
                <w:color w:val="000000"/>
                <w:highlight w:val="none"/>
              </w:rPr>
              <w:t>悬沙增量超过10mg/L水域最大影响面积为</w:t>
            </w:r>
            <w:r>
              <w:rPr>
                <w:rFonts w:hint="default" w:ascii="Times New Roman" w:hAnsi="Times New Roman" w:cs="Times New Roman"/>
                <w:color w:val="000000"/>
                <w:szCs w:val="24"/>
                <w:highlight w:val="none"/>
                <w:lang w:val="en-US" w:eastAsia="zh-CN"/>
              </w:rPr>
              <w:t>3.24</w:t>
            </w:r>
            <w:r>
              <w:rPr>
                <w:rFonts w:hint="default" w:ascii="Times New Roman" w:hAnsi="Times New Roman" w:cs="Times New Roman"/>
                <w:color w:val="000000"/>
                <w:szCs w:val="24"/>
                <w:highlight w:val="none"/>
              </w:rPr>
              <w:t>km</w:t>
            </w:r>
            <w:r>
              <w:rPr>
                <w:rFonts w:hint="default" w:ascii="Times New Roman" w:hAnsi="Times New Roman" w:cs="Times New Roman"/>
                <w:color w:val="000000"/>
                <w:szCs w:val="24"/>
                <w:highlight w:val="none"/>
                <w:vertAlign w:val="superscript"/>
              </w:rPr>
              <w:t>2</w:t>
            </w:r>
            <w:r>
              <w:rPr>
                <w:rFonts w:hint="default" w:ascii="Times New Roman" w:hAnsi="Times New Roman" w:cs="Times New Roman"/>
                <w:color w:val="000000"/>
                <w:highlight w:val="none"/>
              </w:rPr>
              <w:t>，较大增量的悬浮物虽然</w:t>
            </w:r>
            <w:r>
              <w:rPr>
                <w:rFonts w:hint="default" w:ascii="Times New Roman" w:hAnsi="Times New Roman" w:cs="Times New Roman"/>
                <w:color w:val="000000"/>
                <w:highlight w:val="none"/>
                <w:lang w:eastAsia="zh-CN"/>
              </w:rPr>
              <w:t>能导</w:t>
            </w:r>
            <w:r>
              <w:rPr>
                <w:rFonts w:hint="default" w:ascii="Times New Roman" w:hAnsi="Times New Roman" w:cs="Times New Roman"/>
                <w:color w:val="000000"/>
                <w:highlight w:val="none"/>
              </w:rPr>
              <w:t>致浮游动植物死亡，但每天工程施工活动停止后，由于潮汐作用，会将外海浮游动植物带入施工区及其附近海域，使施工区浮游动植物得以补充，总体而言，本项目施工期入海泥沙对海域浮游生物影响不大。</w:t>
            </w:r>
          </w:p>
          <w:p w14:paraId="41004299">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rPr>
              <w:t>（2）对鱼卵仔鱼的影响</w:t>
            </w:r>
          </w:p>
          <w:p w14:paraId="25DE100F">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施工期间，高浓度悬浮颗粒扩散场对海洋生物仔幼体会造成伤害，主要表现为影响胚胎发育，悬浮物堵塞生物的鳃部造成窒息死亡，大量悬浮物造成水体严重缺氧而导致生物死亡，悬浮物有害物质二次污染造成生物死亡等。不同种类的海洋生物对悬浮物浓度的忍受限度不同，一般说来，仔幼体对悬浮物浓度的忍受限度比成鱼低得多。根据渔业水质标准要求，人为增加悬浮物浓度大于10mg/L，会对鱼类生长造成影响。施工悬沙增量超过10mg/L水域最大影响面积为4.91km</w:t>
            </w:r>
            <w:r>
              <w:rPr>
                <w:rFonts w:hint="default" w:ascii="Times New Roman" w:hAnsi="Times New Roman" w:cs="Times New Roman"/>
                <w:color w:val="000000"/>
                <w:highlight w:val="none"/>
                <w:vertAlign w:val="superscript"/>
              </w:rPr>
              <w:t>2</w:t>
            </w:r>
            <w:r>
              <w:rPr>
                <w:rFonts w:hint="default" w:ascii="Times New Roman" w:hAnsi="Times New Roman" w:cs="Times New Roman"/>
                <w:color w:val="000000"/>
                <w:highlight w:val="none"/>
              </w:rPr>
              <w:t>，该范围内鱼卵仔鱼受到的影响较大，但这种影响是暂时的，持续时间不长，随着施工结束影响也随之结束。</w:t>
            </w:r>
          </w:p>
          <w:p w14:paraId="5B7CD578">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rPr>
              <w:t>（3）对底栖生物的影响</w:t>
            </w:r>
          </w:p>
          <w:p w14:paraId="4A5E94F3">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底栖生物栖息于海底，对悬浮物多具有较强的耐受能力；但海水中的悬浮物大量增加仍会对其群落产生直接和间接的影响。悬浮物增加会消耗水中含氧，使得海水含氧浓度降低影响贝类呼吸；此外，对于以浮游生物为饵料的底栖生物而言，悬浮物还可通过影响浮游生物的生长间接对底栖生物产生影响。底栖生物量损失主要是底栖生物死亡和栖息地丧失而引起的生物量存量的减少。</w:t>
            </w:r>
          </w:p>
          <w:p w14:paraId="0FAE6FB1">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根据本工程数模结果分析，正常施工情况下，悬砂入海的影响范围不大</w:t>
            </w:r>
            <w:r>
              <w:rPr>
                <w:rFonts w:hint="eastAsia" w:cs="Times New Roman"/>
                <w:color w:val="000000"/>
                <w:highlight w:val="none"/>
                <w:lang w:eastAsia="zh-CN"/>
              </w:rPr>
              <w:t>且</w:t>
            </w:r>
            <w:r>
              <w:rPr>
                <w:rFonts w:hint="default" w:ascii="Times New Roman" w:hAnsi="Times New Roman" w:cs="Times New Roman"/>
                <w:color w:val="000000"/>
                <w:highlight w:val="none"/>
              </w:rPr>
              <w:t>随着施工期的结束，悬浮泥沙的影响也将逐渐消失。因此，本工程的建设对该海域底栖生物的影响较小。</w:t>
            </w:r>
          </w:p>
          <w:p w14:paraId="424A8D20">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rPr>
              <w:t>（4）对游泳动物的影响</w:t>
            </w:r>
          </w:p>
          <w:p w14:paraId="68F8B0EB">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对于游泳动物而言，悬浮微粒对鱼类影响较大。首先，悬浮微粒对鱼类机械作用，水体中含有大小不同的，从几微米到十余微米的矿质颗粒，在悬浮微粒过多时将导致水的</w:t>
            </w:r>
            <w:r>
              <w:rPr>
                <w:rFonts w:hint="default" w:ascii="Times New Roman" w:hAnsi="Times New Roman" w:cs="Times New Roman"/>
                <w:color w:val="000000"/>
                <w:highlight w:val="none"/>
                <w:lang w:eastAsia="zh-CN"/>
              </w:rPr>
              <w:t>浑浊度</w:t>
            </w:r>
            <w:r>
              <w:rPr>
                <w:rFonts w:hint="default" w:ascii="Times New Roman" w:hAnsi="Times New Roman" w:cs="Times New Roman"/>
                <w:color w:val="000000"/>
                <w:highlight w:val="none"/>
              </w:rPr>
              <w:t>增大，透明度降低现象，不利于</w:t>
            </w:r>
            <w:r>
              <w:rPr>
                <w:rFonts w:hint="default" w:ascii="Times New Roman" w:hAnsi="Times New Roman" w:cs="Times New Roman"/>
                <w:color w:val="000000"/>
                <w:highlight w:val="none"/>
                <w:lang w:eastAsia="zh-CN"/>
              </w:rPr>
              <w:t>天然饵料</w:t>
            </w:r>
            <w:r>
              <w:rPr>
                <w:rFonts w:hint="default" w:ascii="Times New Roman" w:hAnsi="Times New Roman" w:cs="Times New Roman"/>
                <w:color w:val="000000"/>
                <w:highlight w:val="none"/>
              </w:rPr>
              <w:t>的繁殖生长，影响鱼类的摄食活动；其次，水中大量存在的悬浮物也会使游泳生物，特别是鱼类造成呼吸困难和窒息现象，当悬浮微粒随鱼的呼吸动作进入鱼的鳃部时，将</w:t>
            </w:r>
            <w:r>
              <w:rPr>
                <w:rFonts w:hint="eastAsia" w:cs="Times New Roman"/>
                <w:color w:val="000000"/>
                <w:highlight w:val="none"/>
                <w:lang w:eastAsia="zh-CN"/>
              </w:rPr>
              <w:t>黏附</w:t>
            </w:r>
            <w:r>
              <w:rPr>
                <w:rFonts w:hint="default" w:ascii="Times New Roman" w:hAnsi="Times New Roman" w:cs="Times New Roman"/>
                <w:color w:val="000000"/>
                <w:highlight w:val="none"/>
              </w:rPr>
              <w:t>于鳃瓣鳃丝及鳃小片上，不仅损伤鳃组织，而且将隔断气体交换的进行，严重时甚至导致鱼类窒息而死。有资料表明，悬浮物质的含量水平为80000mg/L时，鱼类最多只能存活一天，含量水平为600mg/L时，最多只能存活一周；悬浮物质的含量在200mg/L时以下影响较短期时，不会导致鱼类直接死亡。</w:t>
            </w:r>
          </w:p>
          <w:p w14:paraId="7853F411">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由于工程拟建区域的水域较开阔，鱼类等游泳动物的规避空间较大，并且施工过程中驱赶鱼类采用适当的方式，因此项目建设对当地鱼类资源影响较小。虾蟹类因其本身生活习性，大多对悬浮泥沙具有较强的抗性，故工程施工对该海域虾蟹类的影响很小。</w:t>
            </w:r>
            <w:r>
              <w:rPr>
                <w:rFonts w:hint="default" w:ascii="Times New Roman" w:hAnsi="Times New Roman" w:cs="Times New Roman"/>
                <w:color w:val="000000"/>
                <w:highlight w:val="none"/>
                <w:lang w:eastAsia="zh-CN"/>
              </w:rPr>
              <w:t>施工期对鱼类的影响较大但这些影响持续时间不长，不会对工程区游泳动物产生长期不利的影响。</w:t>
            </w:r>
          </w:p>
          <w:p w14:paraId="2C7188A5">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rPr>
            </w:pPr>
            <w:bookmarkStart w:id="331" w:name="_Toc18713"/>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5</w:t>
            </w: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rPr>
              <w:t>施工废水对海洋生态环境的影响</w:t>
            </w:r>
            <w:bookmarkEnd w:id="331"/>
          </w:p>
          <w:p w14:paraId="29FDD6F9">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施工期间，陆上的施工机械和海域的施工船舶在使用和维修过程中将产生含油废污水，这些废污水若直接排入海中，油污通过附着在悬浮物上并随之沉降到海底，或溶于海水中，随海流扩散，或</w:t>
            </w:r>
            <w:r>
              <w:rPr>
                <w:rFonts w:hint="eastAsia" w:cs="Times New Roman"/>
                <w:color w:val="000000"/>
                <w:highlight w:val="none"/>
                <w:lang w:eastAsia="zh-CN"/>
              </w:rPr>
              <w:t>飘浮</w:t>
            </w:r>
            <w:r>
              <w:rPr>
                <w:rFonts w:hint="default" w:ascii="Times New Roman" w:hAnsi="Times New Roman" w:cs="Times New Roman"/>
                <w:color w:val="000000"/>
                <w:highlight w:val="none"/>
              </w:rPr>
              <w:t>在水面上随旋流漂移，油污</w:t>
            </w:r>
            <w:r>
              <w:rPr>
                <w:rFonts w:hint="eastAsia" w:cs="Times New Roman"/>
                <w:color w:val="000000"/>
                <w:highlight w:val="none"/>
                <w:lang w:eastAsia="zh-CN"/>
              </w:rPr>
              <w:t>飘浮</w:t>
            </w:r>
            <w:r>
              <w:rPr>
                <w:rFonts w:hint="default" w:ascii="Times New Roman" w:hAnsi="Times New Roman" w:cs="Times New Roman"/>
                <w:color w:val="000000"/>
                <w:highlight w:val="none"/>
              </w:rPr>
              <w:t>于水面上，造成阳光透过率降低，阻碍植物光合作用，从而影响海洋生态环境，而且油污具有一定的粘性，会破坏部分海洋生物的呼吸系统，造成其呼吸困难而死亡。</w:t>
            </w:r>
          </w:p>
          <w:p w14:paraId="72D0F8CB">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根据工程分析，本项目施工期间含油废水排放量较小，只要加强管理，严禁施工船舶、施工机械产生的各种污水未经处理直接排放；同时对施工过程中产生的各类含油污水进行收集，交给有资质单位处理，进入水体的石油类等污染物的量就很小，对水生生物的影响程度和范围也就很小。</w:t>
            </w:r>
          </w:p>
          <w:p w14:paraId="030819FD">
            <w:pPr>
              <w:pStyle w:val="4"/>
              <w:bidi w:val="0"/>
              <w:rPr>
                <w:rFonts w:hint="default" w:ascii="Times New Roman" w:hAnsi="Times New Roman" w:cs="Times New Roman"/>
                <w:color w:val="000000"/>
                <w:highlight w:val="none"/>
              </w:rPr>
            </w:pPr>
            <w:bookmarkStart w:id="332" w:name="_Toc12789"/>
            <w:bookmarkStart w:id="333" w:name="_Toc20365"/>
            <w:r>
              <w:rPr>
                <w:rFonts w:hint="default" w:ascii="Times New Roman" w:hAnsi="Times New Roman" w:cs="Times New Roman"/>
                <w:color w:val="000000"/>
                <w:highlight w:val="none"/>
              </w:rPr>
              <w:t>项目建设海洋生物资源影响分析</w:t>
            </w:r>
            <w:bookmarkEnd w:id="332"/>
            <w:bookmarkEnd w:id="333"/>
          </w:p>
          <w:p w14:paraId="48901E0E">
            <w:pPr>
              <w:ind w:firstLine="480" w:firstLineChars="200"/>
              <w:rPr>
                <w:rFonts w:hint="default" w:ascii="Times New Roman" w:hAnsi="Times New Roman" w:cs="Times New Roman"/>
                <w:color w:val="000000"/>
                <w:highlight w:val="none"/>
              </w:rPr>
            </w:pPr>
            <w:r>
              <w:rPr>
                <w:rFonts w:hint="default" w:ascii="Times New Roman" w:hAnsi="Times New Roman" w:cs="Times New Roman"/>
                <w:color w:val="000000"/>
                <w:highlight w:val="none"/>
              </w:rPr>
              <w:t>项目建设影响用海范围内海洋生物的生境，导致用海范围内海洋生物资源受损，对海域生态系统功能造成影响。底栖生物量损失主要是防波堤永久性占海和施工便桥占海导致的底栖生物死亡和栖息地丧失而引起的生物存量减少，施工期悬浮物大量增加亦会对海洋生物产生影响。</w:t>
            </w:r>
          </w:p>
          <w:p w14:paraId="60DE0E08">
            <w:pPr>
              <w:ind w:firstLine="482" w:firstLineChars="200"/>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rPr>
              <w:t>（1）</w:t>
            </w:r>
            <w:r>
              <w:rPr>
                <w:rFonts w:hint="default" w:ascii="Times New Roman" w:hAnsi="Times New Roman" w:cs="Times New Roman"/>
                <w:b/>
                <w:bCs/>
                <w:color w:val="000000"/>
                <w:highlight w:val="none"/>
                <w:lang w:val="en-US" w:eastAsia="zh-CN"/>
              </w:rPr>
              <w:t>工程占海</w:t>
            </w:r>
            <w:r>
              <w:rPr>
                <w:rFonts w:hint="default" w:ascii="Times New Roman" w:hAnsi="Times New Roman" w:cs="Times New Roman"/>
                <w:b/>
                <w:bCs/>
                <w:color w:val="000000"/>
                <w:highlight w:val="none"/>
              </w:rPr>
              <w:t>导致底栖生物损失</w:t>
            </w:r>
          </w:p>
          <w:p w14:paraId="1164027D">
            <w:pPr>
              <w:ind w:firstLine="480"/>
              <w:rPr>
                <w:rFonts w:hint="default" w:ascii="Times New Roman" w:hAnsi="Times New Roman" w:cs="Times New Roman"/>
                <w:color w:val="000000"/>
                <w:highlight w:val="none"/>
                <w:u w:val="none"/>
                <w:lang w:val="en-US" w:eastAsia="zh-CN"/>
              </w:rPr>
            </w:pPr>
            <w:r>
              <w:rPr>
                <w:rFonts w:hint="default" w:ascii="Times New Roman" w:hAnsi="Times New Roman" w:cs="Times New Roman"/>
                <w:color w:val="000000"/>
                <w:highlight w:val="none"/>
                <w:u w:val="none"/>
                <w:lang w:val="en-US" w:eastAsia="zh-CN"/>
              </w:rPr>
              <w:t>根据《建设项目对海洋生物资源影响评价技术规程》（SC/T9110-2007）中的规定，因工程建设需要，占用渔业水域，使渔业水域功能被破坏或海洋生物资源栖息地丧失，各种类生物资源损害量评估公式如下：</w:t>
            </w:r>
          </w:p>
          <w:p w14:paraId="72841446">
            <w:pPr>
              <w:ind w:firstLine="480"/>
              <w:jc w:val="center"/>
              <w:rPr>
                <w:rFonts w:hint="default" w:ascii="Times New Roman" w:hAnsi="Times New Roman" w:cs="Times New Roman"/>
                <w:color w:val="000000"/>
                <w:highlight w:val="none"/>
                <w:u w:val="none"/>
                <w:lang w:val="en-US" w:eastAsia="zh-CN"/>
              </w:rPr>
            </w:pPr>
            <w:r>
              <w:rPr>
                <w:rFonts w:hint="default" w:ascii="Times New Roman" w:hAnsi="Times New Roman" w:cs="Times New Roman"/>
                <w:color w:val="000000"/>
                <w:position w:val="-12"/>
                <w:highlight w:val="none"/>
                <w:u w:val="none"/>
              </w:rPr>
              <w:object>
                <v:shape id="_x0000_i1065" o:spt="75" type="#_x0000_t75" style="height:18.1pt;width:58pt;" o:ole="t" filled="f" o:preferrelative="t" stroked="f" coordsize="21600,21600">
                  <v:path/>
                  <v:fill on="f" focussize="0,0"/>
                  <v:stroke on="f"/>
                  <v:imagedata r:id="rId111" o:title=""/>
                  <o:lock v:ext="edit" aspectratio="t"/>
                  <w10:wrap type="none"/>
                  <w10:anchorlock/>
                </v:shape>
                <o:OLEObject Type="Embed" ProgID="Equation.KSEE3" ShapeID="_x0000_i1065" DrawAspect="Content" ObjectID="_1468075766" r:id="rId110">
                  <o:LockedField>false</o:LockedField>
                </o:OLEObject>
              </w:object>
            </w:r>
          </w:p>
          <w:p w14:paraId="5C0EDFB8">
            <w:pPr>
              <w:ind w:firstLine="480"/>
              <w:rPr>
                <w:rFonts w:hint="default" w:ascii="Times New Roman" w:hAnsi="Times New Roman" w:cs="Times New Roman"/>
                <w:color w:val="000000"/>
                <w:highlight w:val="none"/>
                <w:u w:val="none"/>
              </w:rPr>
            </w:pPr>
            <w:r>
              <w:rPr>
                <w:rFonts w:hint="default" w:ascii="Times New Roman" w:hAnsi="Times New Roman" w:cs="Times New Roman"/>
                <w:color w:val="000000"/>
                <w:highlight w:val="none"/>
                <w:u w:val="none"/>
              </w:rPr>
              <w:t>式中：</w:t>
            </w:r>
            <w:r>
              <w:rPr>
                <w:rFonts w:hint="default" w:ascii="Times New Roman" w:hAnsi="Times New Roman" w:cs="Times New Roman"/>
                <w:i/>
                <w:iCs/>
                <w:color w:val="000000"/>
                <w:highlight w:val="none"/>
                <w:u w:val="none"/>
              </w:rPr>
              <w:t>W</w:t>
            </w:r>
            <w:r>
              <w:rPr>
                <w:rFonts w:hint="default" w:ascii="Times New Roman" w:hAnsi="Times New Roman" w:cs="Times New Roman"/>
                <w:i/>
                <w:iCs/>
                <w:color w:val="000000"/>
                <w:highlight w:val="none"/>
                <w:u w:val="none"/>
                <w:vertAlign w:val="subscript"/>
              </w:rPr>
              <w:t>i</w:t>
            </w:r>
            <w:r>
              <w:rPr>
                <w:rFonts w:hint="default" w:ascii="Times New Roman" w:hAnsi="Times New Roman" w:cs="Times New Roman"/>
                <w:color w:val="000000"/>
                <w:highlight w:val="none"/>
                <w:u w:val="none"/>
              </w:rPr>
              <w:t>——第</w:t>
            </w:r>
            <w:r>
              <w:rPr>
                <w:rFonts w:hint="default" w:ascii="Times New Roman" w:hAnsi="Times New Roman" w:cs="Times New Roman"/>
                <w:i/>
                <w:iCs/>
                <w:color w:val="000000"/>
                <w:highlight w:val="none"/>
                <w:u w:val="none"/>
              </w:rPr>
              <w:t>i</w:t>
            </w:r>
            <w:r>
              <w:rPr>
                <w:rFonts w:hint="default" w:ascii="Times New Roman" w:hAnsi="Times New Roman" w:cs="Times New Roman"/>
                <w:color w:val="000000"/>
                <w:highlight w:val="none"/>
                <w:u w:val="none"/>
              </w:rPr>
              <w:t>种类生物资源受损量</w:t>
            </w:r>
            <w:r>
              <w:rPr>
                <w:rFonts w:hint="default" w:ascii="Times New Roman" w:hAnsi="Times New Roman" w:cs="Times New Roman"/>
                <w:color w:val="000000"/>
                <w:highlight w:val="none"/>
                <w:u w:val="none"/>
                <w:lang w:eastAsia="zh-CN"/>
              </w:rPr>
              <w:t>，</w:t>
            </w:r>
            <w:r>
              <w:rPr>
                <w:rFonts w:hint="default" w:ascii="Times New Roman" w:hAnsi="Times New Roman" w:cs="Times New Roman"/>
                <w:color w:val="000000"/>
                <w:highlight w:val="none"/>
                <w:u w:val="none"/>
                <w:lang w:val="en-US" w:eastAsia="zh-CN"/>
              </w:rPr>
              <w:t>单位为尾、个、kg</w:t>
            </w:r>
            <w:r>
              <w:rPr>
                <w:rFonts w:hint="default" w:ascii="Times New Roman" w:hAnsi="Times New Roman" w:cs="Times New Roman"/>
                <w:color w:val="000000"/>
                <w:highlight w:val="none"/>
                <w:u w:val="none"/>
              </w:rPr>
              <w:t>；</w:t>
            </w:r>
          </w:p>
          <w:p w14:paraId="04C7BAAA">
            <w:pPr>
              <w:ind w:firstLine="1200" w:firstLineChars="500"/>
              <w:rPr>
                <w:rFonts w:hint="default" w:ascii="Times New Roman" w:hAnsi="Times New Roman" w:cs="Times New Roman"/>
                <w:i/>
                <w:iCs/>
                <w:color w:val="000000"/>
                <w:highlight w:val="none"/>
                <w:u w:val="none"/>
              </w:rPr>
            </w:pPr>
            <w:r>
              <w:rPr>
                <w:rFonts w:hint="default" w:ascii="Times New Roman" w:hAnsi="Times New Roman" w:cs="Times New Roman"/>
                <w:i/>
                <w:iCs/>
                <w:color w:val="000000"/>
                <w:highlight w:val="none"/>
                <w:u w:val="none"/>
              </w:rPr>
              <w:t>D</w:t>
            </w:r>
            <w:r>
              <w:rPr>
                <w:rFonts w:hint="default" w:ascii="Times New Roman" w:hAnsi="Times New Roman" w:cs="Times New Roman"/>
                <w:i/>
                <w:iCs/>
                <w:color w:val="000000"/>
                <w:highlight w:val="none"/>
                <w:u w:val="none"/>
                <w:vertAlign w:val="subscript"/>
              </w:rPr>
              <w:t>i</w:t>
            </w:r>
            <w:r>
              <w:rPr>
                <w:rFonts w:hint="default" w:ascii="Times New Roman" w:hAnsi="Times New Roman" w:cs="Times New Roman"/>
                <w:color w:val="000000"/>
                <w:highlight w:val="none"/>
                <w:u w:val="none"/>
              </w:rPr>
              <w:t>——</w:t>
            </w:r>
            <w:r>
              <w:rPr>
                <w:rFonts w:hint="default" w:ascii="Times New Roman" w:hAnsi="Times New Roman" w:cs="Times New Roman"/>
                <w:i w:val="0"/>
                <w:iCs w:val="0"/>
                <w:color w:val="000000"/>
                <w:highlight w:val="none"/>
                <w:u w:val="none"/>
              </w:rPr>
              <w:t>评估区域内第</w:t>
            </w:r>
            <w:r>
              <w:rPr>
                <w:rFonts w:hint="default" w:ascii="Times New Roman" w:hAnsi="Times New Roman" w:cs="Times New Roman"/>
                <w:i/>
                <w:iCs/>
                <w:color w:val="000000"/>
                <w:highlight w:val="none"/>
                <w:u w:val="none"/>
              </w:rPr>
              <w:t>i</w:t>
            </w:r>
            <w:r>
              <w:rPr>
                <w:rFonts w:hint="default" w:ascii="Times New Roman" w:hAnsi="Times New Roman" w:cs="Times New Roman"/>
                <w:i w:val="0"/>
                <w:iCs w:val="0"/>
                <w:color w:val="000000"/>
                <w:highlight w:val="none"/>
                <w:u w:val="none"/>
              </w:rPr>
              <w:t>种类生物资源密度</w:t>
            </w:r>
            <w:r>
              <w:rPr>
                <w:rFonts w:hint="default" w:ascii="Times New Roman" w:hAnsi="Times New Roman" w:cs="Times New Roman"/>
                <w:i w:val="0"/>
                <w:iCs w:val="0"/>
                <w:color w:val="000000"/>
                <w:highlight w:val="none"/>
                <w:u w:val="none"/>
                <w:lang w:eastAsia="zh-CN"/>
              </w:rPr>
              <w:t>，</w:t>
            </w:r>
            <w:r>
              <w:rPr>
                <w:rFonts w:hint="default" w:ascii="Times New Roman" w:hAnsi="Times New Roman" w:cs="Times New Roman"/>
                <w:i w:val="0"/>
                <w:iCs w:val="0"/>
                <w:color w:val="000000"/>
                <w:highlight w:val="none"/>
                <w:u w:val="none"/>
                <w:lang w:val="en-US" w:eastAsia="zh-CN"/>
              </w:rPr>
              <w:t>单位为</w:t>
            </w:r>
            <w:r>
              <w:rPr>
                <w:rFonts w:hint="default" w:ascii="Times New Roman" w:hAnsi="Times New Roman" w:cs="Times New Roman"/>
                <w:color w:val="000000"/>
                <w:highlight w:val="none"/>
                <w:u w:val="none"/>
                <w:lang w:val="en-US" w:eastAsia="zh-CN"/>
              </w:rPr>
              <w:t>尾（个）/km</w:t>
            </w:r>
            <w:r>
              <w:rPr>
                <w:rFonts w:hint="default" w:ascii="Times New Roman" w:hAnsi="Times New Roman" w:cs="Times New Roman"/>
                <w:color w:val="000000"/>
                <w:highlight w:val="none"/>
                <w:u w:val="none"/>
                <w:vertAlign w:val="superscript"/>
                <w:lang w:val="en-US" w:eastAsia="zh-CN"/>
              </w:rPr>
              <w:t>2</w:t>
            </w:r>
            <w:r>
              <w:rPr>
                <w:rFonts w:hint="default" w:ascii="Times New Roman" w:hAnsi="Times New Roman" w:cs="Times New Roman"/>
                <w:i w:val="0"/>
                <w:iCs w:val="0"/>
                <w:color w:val="000000"/>
                <w:highlight w:val="none"/>
                <w:u w:val="none"/>
                <w:lang w:val="en-US" w:eastAsia="zh-CN"/>
              </w:rPr>
              <w:t>、</w:t>
            </w:r>
            <w:r>
              <w:rPr>
                <w:rFonts w:hint="default" w:ascii="Times New Roman" w:hAnsi="Times New Roman" w:cs="Times New Roman"/>
                <w:color w:val="000000"/>
                <w:highlight w:val="none"/>
                <w:u w:val="none"/>
                <w:lang w:val="en-US" w:eastAsia="zh-CN"/>
              </w:rPr>
              <w:t>尾（个）/km</w:t>
            </w:r>
            <w:r>
              <w:rPr>
                <w:rFonts w:hint="default" w:ascii="Times New Roman" w:hAnsi="Times New Roman" w:cs="Times New Roman"/>
                <w:color w:val="000000"/>
                <w:highlight w:val="none"/>
                <w:u w:val="none"/>
                <w:vertAlign w:val="superscript"/>
                <w:lang w:val="en-US" w:eastAsia="zh-CN"/>
              </w:rPr>
              <w:t>3</w:t>
            </w:r>
            <w:r>
              <w:rPr>
                <w:rFonts w:hint="default" w:ascii="Times New Roman" w:hAnsi="Times New Roman" w:cs="Times New Roman"/>
                <w:i w:val="0"/>
                <w:iCs w:val="0"/>
                <w:color w:val="000000"/>
                <w:highlight w:val="none"/>
                <w:u w:val="none"/>
                <w:lang w:val="en-US" w:eastAsia="zh-CN"/>
              </w:rPr>
              <w:t>、</w:t>
            </w:r>
            <w:r>
              <w:rPr>
                <w:rFonts w:hint="default" w:ascii="Times New Roman" w:hAnsi="Times New Roman" w:cs="Times New Roman"/>
                <w:color w:val="000000"/>
                <w:highlight w:val="none"/>
                <w:u w:val="none"/>
                <w:lang w:val="en-US" w:eastAsia="zh-CN"/>
              </w:rPr>
              <w:t>kg/km</w:t>
            </w:r>
            <w:r>
              <w:rPr>
                <w:rFonts w:hint="default" w:ascii="Times New Roman" w:hAnsi="Times New Roman" w:cs="Times New Roman"/>
                <w:color w:val="000000"/>
                <w:highlight w:val="none"/>
                <w:u w:val="none"/>
                <w:vertAlign w:val="superscript"/>
                <w:lang w:val="en-US" w:eastAsia="zh-CN"/>
              </w:rPr>
              <w:t>2</w:t>
            </w:r>
            <w:r>
              <w:rPr>
                <w:rFonts w:hint="default" w:ascii="Times New Roman" w:hAnsi="Times New Roman" w:cs="Times New Roman"/>
                <w:i w:val="0"/>
                <w:iCs w:val="0"/>
                <w:color w:val="000000"/>
                <w:highlight w:val="none"/>
                <w:u w:val="none"/>
              </w:rPr>
              <w:t>。</w:t>
            </w:r>
          </w:p>
          <w:p w14:paraId="298DEE0A">
            <w:pPr>
              <w:ind w:firstLine="1200" w:firstLineChars="500"/>
              <w:rPr>
                <w:rFonts w:hint="default" w:ascii="Times New Roman" w:hAnsi="Times New Roman" w:eastAsia="宋体" w:cs="Times New Roman"/>
                <w:color w:val="000000"/>
                <w:highlight w:val="none"/>
                <w:u w:val="none"/>
                <w:lang w:val="en-US" w:eastAsia="zh-CN"/>
              </w:rPr>
            </w:pPr>
            <w:r>
              <w:rPr>
                <w:rFonts w:hint="default" w:ascii="Times New Roman" w:hAnsi="Times New Roman" w:cs="Times New Roman"/>
                <w:i/>
                <w:iCs/>
                <w:color w:val="000000"/>
                <w:highlight w:val="none"/>
                <w:u w:val="none"/>
              </w:rPr>
              <w:t>S</w:t>
            </w:r>
            <w:r>
              <w:rPr>
                <w:rFonts w:hint="default" w:ascii="Times New Roman" w:hAnsi="Times New Roman" w:cs="Times New Roman"/>
                <w:i/>
                <w:iCs/>
                <w:color w:val="000000"/>
                <w:highlight w:val="none"/>
                <w:u w:val="none"/>
                <w:vertAlign w:val="subscript"/>
              </w:rPr>
              <w:t>i</w:t>
            </w:r>
            <w:r>
              <w:rPr>
                <w:rFonts w:hint="default" w:ascii="Times New Roman" w:hAnsi="Times New Roman" w:cs="Times New Roman"/>
                <w:color w:val="000000"/>
                <w:highlight w:val="none"/>
                <w:u w:val="none"/>
              </w:rPr>
              <w:t>——第</w:t>
            </w:r>
            <w:r>
              <w:rPr>
                <w:rFonts w:hint="default" w:ascii="Times New Roman" w:hAnsi="Times New Roman" w:cs="Times New Roman"/>
                <w:i/>
                <w:iCs/>
                <w:color w:val="000000"/>
                <w:highlight w:val="none"/>
                <w:u w:val="none"/>
              </w:rPr>
              <w:t>i</w:t>
            </w:r>
            <w:r>
              <w:rPr>
                <w:rFonts w:hint="default" w:ascii="Times New Roman" w:hAnsi="Times New Roman" w:cs="Times New Roman"/>
                <w:color w:val="000000"/>
                <w:highlight w:val="none"/>
                <w:u w:val="none"/>
                <w:lang w:val="en-US" w:eastAsia="zh-CN"/>
              </w:rPr>
              <w:t>种类</w:t>
            </w:r>
            <w:r>
              <w:rPr>
                <w:rFonts w:hint="default" w:ascii="Times New Roman" w:hAnsi="Times New Roman" w:cs="Times New Roman"/>
                <w:color w:val="000000"/>
                <w:highlight w:val="none"/>
                <w:u w:val="none"/>
              </w:rPr>
              <w:t>生物占用的渔业水域面积或体积，单位为km</w:t>
            </w:r>
            <w:r>
              <w:rPr>
                <w:rFonts w:hint="default" w:ascii="Times New Roman" w:hAnsi="Times New Roman" w:cs="Times New Roman"/>
                <w:color w:val="000000"/>
                <w:highlight w:val="none"/>
                <w:u w:val="none"/>
                <w:vertAlign w:val="superscript"/>
              </w:rPr>
              <w:t>2</w:t>
            </w:r>
            <w:r>
              <w:rPr>
                <w:rFonts w:hint="default" w:ascii="Times New Roman" w:hAnsi="Times New Roman" w:cs="Times New Roman"/>
                <w:color w:val="000000"/>
                <w:highlight w:val="none"/>
                <w:u w:val="none"/>
              </w:rPr>
              <w:t>或km</w:t>
            </w:r>
            <w:r>
              <w:rPr>
                <w:rFonts w:hint="default" w:ascii="Times New Roman" w:hAnsi="Times New Roman" w:cs="Times New Roman"/>
                <w:color w:val="000000"/>
                <w:highlight w:val="none"/>
                <w:u w:val="none"/>
                <w:vertAlign w:val="superscript"/>
              </w:rPr>
              <w:t>3</w:t>
            </w:r>
            <w:r>
              <w:rPr>
                <w:rFonts w:hint="default" w:ascii="Times New Roman" w:hAnsi="Times New Roman" w:cs="Times New Roman"/>
                <w:color w:val="000000"/>
                <w:highlight w:val="none"/>
                <w:u w:val="none"/>
                <w:lang w:eastAsia="zh-CN"/>
              </w:rPr>
              <w:t>。</w:t>
            </w:r>
          </w:p>
          <w:p w14:paraId="777B21AD">
            <w:pPr>
              <w:ind w:firstLine="480" w:firstLineChars="20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本项目防波堤占海面积合计30.5995hm</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lang w:val="en-US" w:eastAsia="zh-CN"/>
              </w:rPr>
              <w:t>；施工期申请透水构筑物用海面积为0.1897hm</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lang w:val="en-US" w:eastAsia="zh-CN"/>
              </w:rPr>
              <w:t>，施工便桥桩基实际占海面积约为15.072m</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lang w:val="en-US" w:eastAsia="zh-CN"/>
              </w:rPr>
              <w:t>（30根直径800mm的钢管桩）。生物资源密度取2024年秋季潮下带底栖生物调查结果平均值，为11.68g/m</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lang w:val="en-US" w:eastAsia="zh-CN"/>
              </w:rPr>
              <w:t>。</w:t>
            </w:r>
          </w:p>
          <w:p w14:paraId="58AC7F7F">
            <w:pPr>
              <w:ind w:firstLine="480" w:firstLineChars="20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经计算可得：</w:t>
            </w:r>
          </w:p>
          <w:p w14:paraId="3716BAE0">
            <w:pPr>
              <w:ind w:firstLine="480" w:firstLineChars="200"/>
              <w:rPr>
                <w:rFonts w:hint="default" w:ascii="Times New Roman" w:hAnsi="Times New Roman" w:cs="Times New Roman"/>
                <w:color w:val="000000"/>
                <w:highlight w:val="none"/>
              </w:rPr>
            </w:pPr>
            <w:r>
              <w:rPr>
                <w:rFonts w:hint="default" w:ascii="Times New Roman" w:hAnsi="Times New Roman" w:cs="Times New Roman"/>
                <w:color w:val="000000"/>
                <w:highlight w:val="none"/>
              </w:rPr>
              <w:t>防波堤永久性占海</w:t>
            </w:r>
            <w:r>
              <w:rPr>
                <w:rFonts w:hint="default" w:ascii="Times New Roman" w:hAnsi="Times New Roman" w:cs="Times New Roman"/>
                <w:color w:val="000000"/>
                <w:highlight w:val="none"/>
                <w:lang w:val="en-US" w:eastAsia="zh-CN"/>
              </w:rPr>
              <w:t>造成的</w:t>
            </w:r>
            <w:r>
              <w:rPr>
                <w:rFonts w:hint="default" w:ascii="Times New Roman" w:hAnsi="Times New Roman" w:cs="Times New Roman"/>
                <w:color w:val="000000"/>
                <w:highlight w:val="none"/>
              </w:rPr>
              <w:t>底栖生物损失=占海面积×潮下带底栖生物量=305995m</w:t>
            </w:r>
            <w:r>
              <w:rPr>
                <w:rFonts w:hint="default" w:ascii="Times New Roman" w:hAnsi="Times New Roman" w:cs="Times New Roman"/>
                <w:color w:val="000000"/>
                <w:highlight w:val="none"/>
                <w:vertAlign w:val="superscript"/>
              </w:rPr>
              <w:t>2</w:t>
            </w:r>
            <w:r>
              <w:rPr>
                <w:rFonts w:hint="default" w:ascii="Times New Roman" w:hAnsi="Times New Roman" w:cs="Times New Roman"/>
                <w:color w:val="000000"/>
                <w:highlight w:val="none"/>
              </w:rPr>
              <w:t>×</w:t>
            </w:r>
            <w:r>
              <w:rPr>
                <w:rFonts w:hint="default" w:ascii="Times New Roman" w:hAnsi="Times New Roman" w:cs="Times New Roman"/>
                <w:color w:val="000000"/>
                <w:highlight w:val="none"/>
                <w:lang w:val="en-US" w:eastAsia="zh-CN"/>
              </w:rPr>
              <w:t>11.68</w:t>
            </w:r>
            <w:r>
              <w:rPr>
                <w:rFonts w:hint="default" w:ascii="Times New Roman" w:hAnsi="Times New Roman" w:cs="Times New Roman"/>
                <w:color w:val="000000"/>
                <w:highlight w:val="none"/>
              </w:rPr>
              <w:t>g/m</w:t>
            </w:r>
            <w:r>
              <w:rPr>
                <w:rFonts w:hint="default" w:ascii="Times New Roman" w:hAnsi="Times New Roman" w:cs="Times New Roman"/>
                <w:color w:val="000000"/>
                <w:highlight w:val="none"/>
                <w:vertAlign w:val="superscript"/>
              </w:rPr>
              <w:t>2</w:t>
            </w:r>
            <w:r>
              <w:rPr>
                <w:rFonts w:hint="default" w:ascii="Times New Roman" w:hAnsi="Times New Roman" w:cs="Times New Roman"/>
                <w:color w:val="000000"/>
                <w:highlight w:val="none"/>
              </w:rPr>
              <w:t>=3574.02kg。</w:t>
            </w:r>
          </w:p>
          <w:p w14:paraId="4B1198CB">
            <w:pPr>
              <w:ind w:firstLine="480" w:firstLineChars="200"/>
              <w:rPr>
                <w:rFonts w:hint="default" w:ascii="Times New Roman" w:hAnsi="Times New Roman" w:cs="Times New Roman"/>
                <w:b/>
                <w:bCs/>
                <w:color w:val="000000"/>
                <w:highlight w:val="none"/>
              </w:rPr>
            </w:pPr>
            <w:r>
              <w:rPr>
                <w:rFonts w:hint="default" w:ascii="Times New Roman" w:hAnsi="Times New Roman" w:cs="Times New Roman"/>
                <w:b w:val="0"/>
                <w:bCs w:val="0"/>
                <w:color w:val="000000"/>
                <w:highlight w:val="none"/>
                <w:lang w:val="en-US" w:eastAsia="zh-CN"/>
              </w:rPr>
              <w:t>施工便桥桩基占海造成的底栖生物损失=</w:t>
            </w:r>
            <w:r>
              <w:rPr>
                <w:rFonts w:hint="default" w:ascii="Times New Roman" w:hAnsi="Times New Roman" w:cs="Times New Roman"/>
                <w:color w:val="000000"/>
                <w:highlight w:val="none"/>
              </w:rPr>
              <w:t>占海面积×潮下带底栖生物量=</w:t>
            </w:r>
            <w:r>
              <w:rPr>
                <w:rFonts w:hint="default" w:ascii="Times New Roman" w:hAnsi="Times New Roman" w:cs="Times New Roman"/>
                <w:color w:val="000000"/>
                <w:highlight w:val="none"/>
                <w:lang w:val="en-US" w:eastAsia="zh-CN"/>
              </w:rPr>
              <w:t>15.072m</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rPr>
              <w:t>×</w:t>
            </w:r>
            <w:r>
              <w:rPr>
                <w:rFonts w:hint="default" w:ascii="Times New Roman" w:hAnsi="Times New Roman" w:cs="Times New Roman"/>
                <w:color w:val="000000"/>
                <w:highlight w:val="none"/>
                <w:lang w:val="en-US" w:eastAsia="zh-CN"/>
              </w:rPr>
              <w:t>11.68</w:t>
            </w:r>
            <w:r>
              <w:rPr>
                <w:rFonts w:hint="default" w:ascii="Times New Roman" w:hAnsi="Times New Roman" w:cs="Times New Roman"/>
                <w:color w:val="000000"/>
                <w:highlight w:val="none"/>
              </w:rPr>
              <w:t>g/m</w:t>
            </w:r>
            <w:r>
              <w:rPr>
                <w:rFonts w:hint="default" w:ascii="Times New Roman" w:hAnsi="Times New Roman" w:cs="Times New Roman"/>
                <w:color w:val="000000"/>
                <w:highlight w:val="none"/>
                <w:vertAlign w:val="superscript"/>
              </w:rPr>
              <w:t>2</w:t>
            </w:r>
            <w:r>
              <w:rPr>
                <w:rFonts w:hint="default" w:ascii="Times New Roman" w:hAnsi="Times New Roman" w:cs="Times New Roman"/>
                <w:color w:val="000000"/>
                <w:highlight w:val="none"/>
              </w:rPr>
              <w:t>=</w:t>
            </w:r>
            <w:r>
              <w:rPr>
                <w:rFonts w:hint="default" w:ascii="Times New Roman" w:hAnsi="Times New Roman" w:cs="Times New Roman"/>
                <w:color w:val="000000"/>
                <w:highlight w:val="none"/>
                <w:lang w:val="en-US" w:eastAsia="zh-CN"/>
              </w:rPr>
              <w:t>0.18</w:t>
            </w:r>
            <w:r>
              <w:rPr>
                <w:rFonts w:hint="default" w:ascii="Times New Roman" w:hAnsi="Times New Roman" w:cs="Times New Roman"/>
                <w:color w:val="000000"/>
                <w:highlight w:val="none"/>
              </w:rPr>
              <w:t>kg。</w:t>
            </w:r>
          </w:p>
          <w:p w14:paraId="422E4DA6">
            <w:pPr>
              <w:ind w:firstLine="482" w:firstLineChars="200"/>
              <w:rPr>
                <w:rFonts w:hint="default" w:ascii="Times New Roman" w:hAnsi="Times New Roman" w:eastAsia="宋体" w:cs="Times New Roman"/>
                <w:b/>
                <w:bCs/>
                <w:color w:val="000000"/>
                <w:highlight w:val="none"/>
                <w:lang w:val="en-US" w:eastAsia="zh-CN"/>
              </w:rPr>
            </w:pP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2</w:t>
            </w: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港池疏浚导致底栖生物损失</w:t>
            </w:r>
          </w:p>
          <w:p w14:paraId="626A52F8">
            <w:pPr>
              <w:keepNext w:val="0"/>
              <w:keepLines w:val="0"/>
              <w:pageBreakBefore w:val="0"/>
              <w:widowControl w:val="0"/>
              <w:kinsoku/>
              <w:wordWrap/>
              <w:overflowPunct/>
              <w:topLinePunct w:val="0"/>
              <w:autoSpaceDE/>
              <w:autoSpaceDN/>
              <w:bidi w:val="0"/>
              <w:adjustRightInd/>
              <w:snapToGrid/>
              <w:ind w:firstLine="480" w:firstLineChars="200"/>
              <w:jc w:val="both"/>
              <w:textAlignment w:val="auto"/>
              <w:rPr>
                <w:rFonts w:hint="default" w:ascii="Times New Roman" w:hAnsi="Times New Roman" w:cs="Times New Roman"/>
                <w:color w:val="000000"/>
                <w:highlight w:val="none"/>
                <w:u w:val="none"/>
                <w:lang w:val="en-US" w:eastAsia="zh-CN"/>
              </w:rPr>
            </w:pPr>
            <w:r>
              <w:rPr>
                <w:rFonts w:hint="default" w:ascii="Times New Roman" w:hAnsi="Times New Roman" w:cs="Times New Roman"/>
                <w:color w:val="000000"/>
                <w:highlight w:val="none"/>
                <w:u w:val="none"/>
                <w:lang w:val="en-US" w:eastAsia="zh-CN"/>
              </w:rPr>
              <w:t>本项目港池疏浚导致原先在海底生长的水生生物失去了重要的栖息地，根据《建设项目对海洋生物资源影响评价技术规程》（SC/T 9110-2007），生物资源损失量按下式计算：</w:t>
            </w:r>
          </w:p>
          <w:p w14:paraId="7DE9ED7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color w:val="000000"/>
                <w:highlight w:val="none"/>
                <w:u w:val="none"/>
                <w:lang w:val="en-US" w:eastAsia="zh-CN"/>
              </w:rPr>
            </w:pPr>
            <w:r>
              <w:rPr>
                <w:rFonts w:hint="default" w:ascii="Times New Roman" w:hAnsi="Times New Roman" w:eastAsia="宋体" w:cs="Times New Roman"/>
                <w:i w:val="0"/>
                <w:color w:val="000000"/>
                <w:kern w:val="2"/>
                <w:position w:val="-12"/>
                <w:sz w:val="24"/>
                <w:szCs w:val="24"/>
                <w:highlight w:val="none"/>
                <w:u w:val="none"/>
                <w:lang w:val="en-US" w:eastAsia="zh-CN" w:bidi="ar-SA"/>
              </w:rPr>
              <w:object>
                <v:shape id="_x0000_i1066" o:spt="75" type="#_x0000_t75" style="height:18pt;width:58pt;" o:ole="t" filled="f" o:preferrelative="t" stroked="f" coordsize="21600,21600">
                  <v:path/>
                  <v:fill on="f" focussize="0,0"/>
                  <v:stroke on="f"/>
                  <v:imagedata r:id="rId113" o:title=""/>
                  <o:lock v:ext="edit" aspectratio="t"/>
                  <w10:wrap type="none"/>
                  <w10:anchorlock/>
                </v:shape>
                <o:OLEObject Type="Embed" ProgID="Equation.KSEE3" ShapeID="_x0000_i1066" DrawAspect="Content" ObjectID="_1468075767" r:id="rId112">
                  <o:LockedField>false</o:LockedField>
                </o:OLEObject>
              </w:object>
            </w:r>
          </w:p>
          <w:p w14:paraId="78CB7802">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式中：</w:t>
            </w:r>
            <w:r>
              <w:rPr>
                <w:rFonts w:hint="default" w:ascii="Times New Roman" w:hAnsi="Times New Roman" w:eastAsia="宋体" w:cs="Times New Roman"/>
                <w:i w:val="0"/>
                <w:color w:val="000000"/>
                <w:kern w:val="2"/>
                <w:position w:val="-12"/>
                <w:sz w:val="24"/>
                <w:szCs w:val="24"/>
                <w:highlight w:val="none"/>
                <w:u w:val="none"/>
                <w:lang w:val="en-US" w:eastAsia="zh-CN" w:bidi="ar-SA"/>
              </w:rPr>
              <w:object>
                <v:shape id="_x0000_i1067" o:spt="75" type="#_x0000_t75" style="height:18pt;width:15pt;" o:ole="t" filled="f" o:preferrelative="t" stroked="f" coordsize="21600,21600">
                  <v:path/>
                  <v:fill on="f" focussize="0,0"/>
                  <v:stroke on="f"/>
                  <v:imagedata r:id="rId115" o:title=""/>
                  <o:lock v:ext="edit" aspectratio="t"/>
                  <w10:wrap type="none"/>
                  <w10:anchorlock/>
                </v:shape>
                <o:OLEObject Type="Embed" ProgID="Equation.KSEE3" ShapeID="_x0000_i1067" DrawAspect="Content" ObjectID="_1468075768" r:id="rId114">
                  <o:LockedField>false</o:LockedField>
                </o:OLEObject>
              </w:object>
            </w:r>
            <w:r>
              <w:rPr>
                <w:rFonts w:hint="default" w:ascii="Times New Roman" w:hAnsi="Times New Roman" w:cs="Times New Roman"/>
                <w:color w:val="000000"/>
                <w:highlight w:val="none"/>
                <w:lang w:val="en-US" w:eastAsia="zh-CN"/>
              </w:rPr>
              <w:t>—第</w:t>
            </w:r>
            <w:r>
              <w:rPr>
                <w:rFonts w:hint="default" w:ascii="Times New Roman" w:hAnsi="Times New Roman" w:cs="Times New Roman"/>
                <w:i/>
                <w:iCs/>
                <w:color w:val="000000"/>
                <w:highlight w:val="none"/>
                <w:lang w:val="en-US" w:eastAsia="zh-CN"/>
              </w:rPr>
              <w:t>i</w:t>
            </w:r>
            <w:r>
              <w:rPr>
                <w:rFonts w:hint="default" w:ascii="Times New Roman" w:hAnsi="Times New Roman" w:cs="Times New Roman"/>
                <w:color w:val="000000"/>
                <w:highlight w:val="none"/>
                <w:lang w:val="en-US" w:eastAsia="zh-CN"/>
              </w:rPr>
              <w:t>种类生物资源损失量，单位：尾、个、kg；</w:t>
            </w:r>
          </w:p>
          <w:p w14:paraId="5A9179AE">
            <w:pPr>
              <w:keepNext w:val="0"/>
              <w:keepLines w:val="0"/>
              <w:pageBreakBefore w:val="0"/>
              <w:widowControl w:val="0"/>
              <w:kinsoku/>
              <w:wordWrap/>
              <w:overflowPunct/>
              <w:topLinePunct w:val="0"/>
              <w:autoSpaceDE/>
              <w:autoSpaceDN/>
              <w:bidi w:val="0"/>
              <w:adjustRightInd/>
              <w:snapToGrid/>
              <w:ind w:firstLine="1200" w:firstLineChars="500"/>
              <w:textAlignment w:val="auto"/>
              <w:rPr>
                <w:rFonts w:hint="default" w:ascii="Times New Roman" w:hAnsi="Times New Roman" w:cs="Times New Roman"/>
                <w:color w:val="000000"/>
                <w:highlight w:val="none"/>
                <w:lang w:val="en-US" w:eastAsia="zh-CN"/>
              </w:rPr>
            </w:pPr>
            <w:r>
              <w:rPr>
                <w:rFonts w:hint="default" w:ascii="Times New Roman" w:hAnsi="Times New Roman" w:eastAsia="宋体" w:cs="Times New Roman"/>
                <w:i w:val="0"/>
                <w:color w:val="000000"/>
                <w:kern w:val="2"/>
                <w:position w:val="-12"/>
                <w:sz w:val="24"/>
                <w:szCs w:val="24"/>
                <w:highlight w:val="none"/>
                <w:u w:val="none"/>
                <w:lang w:val="en-US" w:eastAsia="zh-CN" w:bidi="ar-SA"/>
              </w:rPr>
              <w:object>
                <v:shape id="_x0000_i1068" o:spt="75" type="#_x0000_t75" style="height:18pt;width:15pt;" o:ole="t" filled="f" o:preferrelative="t" stroked="f" coordsize="21600,21600">
                  <v:path/>
                  <v:fill on="f" focussize="0,0"/>
                  <v:stroke on="f"/>
                  <v:imagedata r:id="rId117" o:title=""/>
                  <o:lock v:ext="edit" aspectratio="t"/>
                  <w10:wrap type="none"/>
                  <w10:anchorlock/>
                </v:shape>
                <o:OLEObject Type="Embed" ProgID="Equation.KSEE3" ShapeID="_x0000_i1068" DrawAspect="Content" ObjectID="_1468075769" r:id="rId116">
                  <o:LockedField>false</o:LockedField>
                </o:OLEObject>
              </w:object>
            </w:r>
            <w:r>
              <w:rPr>
                <w:rFonts w:hint="default" w:ascii="Times New Roman" w:hAnsi="Times New Roman" w:cs="Times New Roman"/>
                <w:color w:val="000000"/>
                <w:highlight w:val="none"/>
                <w:lang w:val="en-US" w:eastAsia="zh-CN"/>
              </w:rPr>
              <w:t>—评估区域内第</w:t>
            </w:r>
            <w:r>
              <w:rPr>
                <w:rFonts w:hint="default" w:ascii="Times New Roman" w:hAnsi="Times New Roman" w:cs="Times New Roman"/>
                <w:i/>
                <w:iCs/>
                <w:color w:val="000000"/>
                <w:highlight w:val="none"/>
                <w:lang w:val="en-US" w:eastAsia="zh-CN"/>
              </w:rPr>
              <w:t>i</w:t>
            </w:r>
            <w:r>
              <w:rPr>
                <w:rFonts w:hint="default" w:ascii="Times New Roman" w:hAnsi="Times New Roman" w:cs="Times New Roman"/>
                <w:color w:val="000000"/>
                <w:highlight w:val="none"/>
                <w:lang w:val="en-US" w:eastAsia="zh-CN"/>
              </w:rPr>
              <w:t>种类生物资源密度，单位：尾（个）/km</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lang w:val="en-US" w:eastAsia="zh-CN"/>
              </w:rPr>
              <w:t>、尾（个）/km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、kg/km</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lang w:val="en-US" w:eastAsia="zh-CN"/>
              </w:rPr>
              <w:t>；</w:t>
            </w:r>
          </w:p>
          <w:p w14:paraId="320778D1">
            <w:pPr>
              <w:keepNext w:val="0"/>
              <w:keepLines w:val="0"/>
              <w:pageBreakBefore w:val="0"/>
              <w:widowControl w:val="0"/>
              <w:kinsoku/>
              <w:wordWrap/>
              <w:overflowPunct/>
              <w:topLinePunct w:val="0"/>
              <w:autoSpaceDE/>
              <w:autoSpaceDN/>
              <w:bidi w:val="0"/>
              <w:adjustRightInd/>
              <w:snapToGrid/>
              <w:ind w:firstLine="1200" w:firstLineChars="500"/>
              <w:textAlignment w:val="auto"/>
              <w:rPr>
                <w:rFonts w:hint="default" w:ascii="Times New Roman" w:hAnsi="Times New Roman" w:cs="Times New Roman"/>
                <w:b w:val="0"/>
                <w:bCs w:val="0"/>
                <w:color w:val="000000"/>
                <w:highlight w:val="none"/>
              </w:rPr>
            </w:pPr>
            <w:r>
              <w:rPr>
                <w:rFonts w:hint="default" w:ascii="Times New Roman" w:hAnsi="Times New Roman" w:eastAsia="宋体" w:cs="Times New Roman"/>
                <w:i w:val="0"/>
                <w:color w:val="000000"/>
                <w:kern w:val="2"/>
                <w:position w:val="-12"/>
                <w:sz w:val="24"/>
                <w:szCs w:val="24"/>
                <w:highlight w:val="none"/>
                <w:u w:val="none"/>
                <w:lang w:val="en-US" w:eastAsia="zh-CN" w:bidi="ar-SA"/>
              </w:rPr>
              <w:object>
                <v:shape id="_x0000_i1069" o:spt="75" type="#_x0000_t75" style="height:18pt;width:13pt;" o:ole="t" filled="f" o:preferrelative="t" stroked="f" coordsize="21600,21600">
                  <v:path/>
                  <v:fill on="f" focussize="0,0"/>
                  <v:stroke on="f"/>
                  <v:imagedata r:id="rId119" o:title=""/>
                  <o:lock v:ext="edit" aspectratio="t"/>
                  <w10:wrap type="none"/>
                  <w10:anchorlock/>
                </v:shape>
                <o:OLEObject Type="Embed" ProgID="Equation.KSEE3" ShapeID="_x0000_i1069" DrawAspect="Content" ObjectID="_1468075770" r:id="rId118">
                  <o:LockedField>false</o:LockedField>
                </o:OLEObject>
              </w:object>
            </w:r>
            <w:r>
              <w:rPr>
                <w:rFonts w:hint="default" w:ascii="Times New Roman" w:hAnsi="Times New Roman" w:cs="Times New Roman"/>
                <w:color w:val="000000"/>
                <w:highlight w:val="none"/>
                <w:lang w:val="en-US" w:eastAsia="zh-CN"/>
              </w:rPr>
              <w:t>—第</w:t>
            </w:r>
            <w:r>
              <w:rPr>
                <w:rFonts w:hint="default" w:ascii="Times New Roman" w:hAnsi="Times New Roman" w:cs="Times New Roman"/>
                <w:i/>
                <w:iCs/>
                <w:color w:val="000000"/>
                <w:highlight w:val="none"/>
                <w:lang w:val="en-US" w:eastAsia="zh-CN"/>
              </w:rPr>
              <w:t>i</w:t>
            </w:r>
            <w:r>
              <w:rPr>
                <w:rFonts w:hint="default" w:ascii="Times New Roman" w:hAnsi="Times New Roman" w:cs="Times New Roman"/>
                <w:color w:val="000000"/>
                <w:highlight w:val="none"/>
                <w:lang w:val="en-US" w:eastAsia="zh-CN"/>
              </w:rPr>
              <w:t>种类生物占用的渔业水域面积或体积，单位：km</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lang w:val="en-US" w:eastAsia="zh-CN"/>
              </w:rPr>
              <w:t>、km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w:t>
            </w:r>
          </w:p>
          <w:p w14:paraId="0447C6BA">
            <w:pPr>
              <w:ind w:firstLine="480" w:firstLineChars="200"/>
              <w:rPr>
                <w:rFonts w:hint="default" w:ascii="Times New Roman" w:hAnsi="Times New Roman" w:eastAsia="宋体" w:cs="Times New Roman"/>
                <w:b w:val="0"/>
                <w:bCs w:val="0"/>
                <w:color w:val="000000"/>
                <w:highlight w:val="none"/>
                <w:lang w:val="en-US" w:eastAsia="zh-CN"/>
              </w:rPr>
            </w:pPr>
            <w:r>
              <w:rPr>
                <w:rFonts w:hint="default" w:ascii="Times New Roman" w:hAnsi="Times New Roman" w:cs="Times New Roman"/>
                <w:b w:val="0"/>
                <w:bCs w:val="0"/>
                <w:color w:val="000000"/>
                <w:highlight w:val="none"/>
                <w:lang w:val="en-US" w:eastAsia="zh-CN"/>
              </w:rPr>
              <w:t>本工程港池疏浚造成疏浚区的潮下带底栖生物损失，</w:t>
            </w:r>
            <w:r>
              <w:rPr>
                <w:rFonts w:hint="default" w:ascii="Times New Roman" w:hAnsi="Times New Roman" w:cs="Times New Roman"/>
                <w:color w:val="000000"/>
                <w:highlight w:val="none"/>
              </w:rPr>
              <w:t>疏浚坡底面积1.47万</w:t>
            </w:r>
            <w:r>
              <w:rPr>
                <w:rFonts w:hint="default" w:ascii="Times New Roman" w:hAnsi="Times New Roman" w:cs="Times New Roman"/>
                <w:color w:val="000000"/>
                <w:highlight w:val="none"/>
                <w:lang w:val="en-US" w:eastAsia="zh-CN"/>
              </w:rPr>
              <w:t>m</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生物资源密度取2024年秋季潮下带底栖生物调查结果平均值，为11.68g/m</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lang w:val="en-US" w:eastAsia="zh-CN"/>
              </w:rPr>
              <w:t>。经计算可得：港池疏浚造成的</w:t>
            </w:r>
            <w:r>
              <w:rPr>
                <w:rFonts w:hint="default" w:ascii="Times New Roman" w:hAnsi="Times New Roman" w:cs="Times New Roman"/>
                <w:color w:val="000000"/>
                <w:highlight w:val="none"/>
              </w:rPr>
              <w:t>底栖生物损失=</w:t>
            </w:r>
            <w:r>
              <w:rPr>
                <w:rFonts w:hint="default" w:ascii="Times New Roman" w:hAnsi="Times New Roman" w:cs="Times New Roman"/>
                <w:color w:val="000000"/>
                <w:highlight w:val="none"/>
                <w:lang w:val="en-US" w:eastAsia="zh-CN"/>
              </w:rPr>
              <w:t>疏浚面积</w:t>
            </w:r>
            <w:r>
              <w:rPr>
                <w:rFonts w:hint="default" w:ascii="Times New Roman" w:hAnsi="Times New Roman" w:cs="Times New Roman"/>
                <w:color w:val="000000"/>
                <w:highlight w:val="none"/>
              </w:rPr>
              <w:t>×潮下带底栖生物量=1.47万</w:t>
            </w:r>
            <w:r>
              <w:rPr>
                <w:rFonts w:hint="default" w:ascii="Times New Roman" w:hAnsi="Times New Roman" w:cs="Times New Roman"/>
                <w:color w:val="000000"/>
                <w:highlight w:val="none"/>
                <w:lang w:val="en-US" w:eastAsia="zh-CN"/>
              </w:rPr>
              <w:t>m</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rPr>
              <w:t>×</w:t>
            </w:r>
            <w:r>
              <w:rPr>
                <w:rFonts w:hint="default" w:ascii="Times New Roman" w:hAnsi="Times New Roman" w:cs="Times New Roman"/>
                <w:color w:val="000000"/>
                <w:highlight w:val="none"/>
                <w:lang w:val="en-US" w:eastAsia="zh-CN"/>
              </w:rPr>
              <w:t>11.68</w:t>
            </w:r>
            <w:r>
              <w:rPr>
                <w:rFonts w:hint="default" w:ascii="Times New Roman" w:hAnsi="Times New Roman" w:cs="Times New Roman"/>
                <w:color w:val="000000"/>
                <w:highlight w:val="none"/>
              </w:rPr>
              <w:t>g/m</w:t>
            </w:r>
            <w:r>
              <w:rPr>
                <w:rFonts w:hint="default" w:ascii="Times New Roman" w:hAnsi="Times New Roman" w:cs="Times New Roman"/>
                <w:color w:val="000000"/>
                <w:highlight w:val="none"/>
                <w:vertAlign w:val="superscript"/>
              </w:rPr>
              <w:t>2</w:t>
            </w:r>
            <w:r>
              <w:rPr>
                <w:rFonts w:hint="default" w:ascii="Times New Roman" w:hAnsi="Times New Roman" w:cs="Times New Roman"/>
                <w:color w:val="000000"/>
                <w:highlight w:val="none"/>
              </w:rPr>
              <w:t>=171.70kg。</w:t>
            </w:r>
          </w:p>
          <w:p w14:paraId="3AB6F5DB">
            <w:pPr>
              <w:ind w:firstLine="482" w:firstLineChars="200"/>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rPr>
              <w:t>（</w:t>
            </w:r>
            <w:r>
              <w:rPr>
                <w:rFonts w:hint="default" w:ascii="Times New Roman" w:hAnsi="Times New Roman" w:cs="Times New Roman"/>
                <w:b/>
                <w:bCs/>
                <w:color w:val="000000"/>
                <w:highlight w:val="none"/>
                <w:lang w:val="en-US" w:eastAsia="zh-CN"/>
              </w:rPr>
              <w:t>3</w:t>
            </w:r>
            <w:r>
              <w:rPr>
                <w:rFonts w:hint="default" w:ascii="Times New Roman" w:hAnsi="Times New Roman" w:cs="Times New Roman"/>
                <w:b/>
                <w:bCs/>
                <w:color w:val="000000"/>
                <w:highlight w:val="none"/>
              </w:rPr>
              <w:t>）施工悬浮泥沙入海导致生物损失</w:t>
            </w:r>
          </w:p>
          <w:p w14:paraId="393DF01E">
            <w:pPr>
              <w:ind w:firstLine="480"/>
              <w:rPr>
                <w:rFonts w:hint="default" w:ascii="Times New Roman" w:hAnsi="Times New Roman" w:cs="Times New Roman"/>
                <w:color w:val="000000"/>
                <w:highlight w:val="none"/>
                <w:u w:val="none"/>
                <w:lang w:val="en-US" w:eastAsia="zh-CN"/>
              </w:rPr>
            </w:pPr>
            <w:r>
              <w:rPr>
                <w:rFonts w:hint="default" w:ascii="Times New Roman" w:hAnsi="Times New Roman" w:cs="Times New Roman"/>
                <w:color w:val="000000"/>
                <w:highlight w:val="none"/>
                <w:u w:val="none"/>
                <w:lang w:val="en-US" w:eastAsia="zh-CN"/>
              </w:rPr>
              <w:t>根据《建设项目对海洋生物资源影响评价技术规程》（SC/T9110-2007）中的规定，污染物扩散范围内对海洋生物资源的损害评估，分一次性损害和持续性损害。</w:t>
            </w:r>
          </w:p>
          <w:p w14:paraId="3624B256">
            <w:pPr>
              <w:ind w:firstLine="480"/>
              <w:rPr>
                <w:rFonts w:hint="default" w:ascii="Times New Roman" w:hAnsi="Times New Roman" w:cs="Times New Roman"/>
                <w:color w:val="000000"/>
                <w:highlight w:val="none"/>
                <w:u w:val="none"/>
                <w:lang w:val="en-US" w:eastAsia="zh-CN"/>
              </w:rPr>
            </w:pPr>
            <w:r>
              <w:rPr>
                <w:rFonts w:hint="default" w:ascii="Times New Roman" w:hAnsi="Times New Roman" w:cs="Times New Roman"/>
                <w:color w:val="000000"/>
                <w:highlight w:val="none"/>
                <w:u w:val="none"/>
                <w:lang w:val="en-US" w:eastAsia="zh-CN"/>
              </w:rPr>
              <w:t>一次性损害：污染物浓度增量区域存在时间少于15d（不含15d）；</w:t>
            </w:r>
          </w:p>
          <w:p w14:paraId="56BFC457">
            <w:pPr>
              <w:ind w:firstLine="480"/>
              <w:rPr>
                <w:rFonts w:hint="default" w:ascii="Times New Roman" w:hAnsi="Times New Roman" w:cs="Times New Roman"/>
                <w:color w:val="000000"/>
                <w:highlight w:val="none"/>
                <w:u w:val="none"/>
                <w:lang w:val="en-US" w:eastAsia="zh-CN"/>
              </w:rPr>
            </w:pPr>
            <w:r>
              <w:rPr>
                <w:rFonts w:hint="default" w:ascii="Times New Roman" w:hAnsi="Times New Roman" w:cs="Times New Roman"/>
                <w:color w:val="000000"/>
                <w:highlight w:val="none"/>
                <w:u w:val="none"/>
                <w:lang w:val="en-US" w:eastAsia="zh-CN"/>
              </w:rPr>
              <w:t>持续性损害：污染物浓度增量区域存在时间超过15d。</w:t>
            </w:r>
          </w:p>
          <w:p w14:paraId="61916EEB">
            <w:pPr>
              <w:ind w:firstLine="480"/>
              <w:rPr>
                <w:rFonts w:hint="default" w:ascii="Times New Roman" w:hAnsi="Times New Roman" w:cs="Times New Roman"/>
                <w:b/>
                <w:bCs/>
                <w:color w:val="000000"/>
                <w:highlight w:val="none"/>
                <w:u w:val="none"/>
                <w:lang w:val="en-US" w:eastAsia="zh-CN"/>
              </w:rPr>
            </w:pPr>
            <w:r>
              <w:rPr>
                <w:rFonts w:hint="default" w:ascii="Times New Roman" w:hAnsi="Times New Roman" w:cs="Times New Roman"/>
                <w:b/>
                <w:bCs/>
                <w:color w:val="000000"/>
                <w:highlight w:val="none"/>
                <w:u w:val="none"/>
                <w:lang w:val="en-US" w:eastAsia="zh-CN"/>
              </w:rPr>
              <w:t>①一次性平均受损量评估</w:t>
            </w:r>
          </w:p>
          <w:p w14:paraId="09698444">
            <w:pPr>
              <w:ind w:firstLine="480"/>
              <w:rPr>
                <w:rFonts w:hint="default" w:ascii="Times New Roman" w:hAnsi="Times New Roman" w:cs="Times New Roman"/>
                <w:color w:val="000000"/>
                <w:highlight w:val="none"/>
                <w:u w:val="none"/>
                <w:lang w:val="en-US" w:eastAsia="zh-CN"/>
              </w:rPr>
            </w:pPr>
            <w:r>
              <w:rPr>
                <w:rFonts w:hint="default" w:ascii="Times New Roman" w:hAnsi="Times New Roman" w:cs="Times New Roman"/>
                <w:color w:val="000000"/>
                <w:highlight w:val="none"/>
                <w:u w:val="none"/>
                <w:lang w:val="en-US" w:eastAsia="zh-CN"/>
              </w:rPr>
              <w:t>一次性平均受损量评估计算公式如下：</w:t>
            </w:r>
          </w:p>
          <w:p w14:paraId="51925EF7">
            <w:pPr>
              <w:ind w:left="0" w:leftChars="0" w:firstLine="0" w:firstLineChars="0"/>
              <w:jc w:val="center"/>
              <w:rPr>
                <w:rFonts w:hint="default" w:ascii="Times New Roman" w:hAnsi="Times New Roman" w:cs="Times New Roman"/>
                <w:color w:val="000000"/>
                <w:highlight w:val="none"/>
                <w:u w:val="none"/>
                <w:lang w:val="en-US" w:eastAsia="zh-CN"/>
              </w:rPr>
            </w:pPr>
            <w:r>
              <w:rPr>
                <w:rFonts w:hint="default" w:ascii="Times New Roman" w:hAnsi="Times New Roman" w:cs="Times New Roman"/>
                <w:color w:val="000000"/>
                <w:position w:val="-30"/>
                <w:highlight w:val="none"/>
                <w:u w:val="none"/>
              </w:rPr>
              <w:object>
                <v:shape id="_x0000_i1070" o:spt="75" type="#_x0000_t75" style="height:35.15pt;width:99pt;" o:ole="t" filled="f" o:preferrelative="t" stroked="f" coordsize="21600,21600">
                  <v:path/>
                  <v:fill on="f" focussize="0,0"/>
                  <v:stroke on="f"/>
                  <v:imagedata r:id="rId121" o:title=""/>
                  <o:lock v:ext="edit" aspectratio="t"/>
                  <w10:wrap type="none"/>
                  <w10:anchorlock/>
                </v:shape>
                <o:OLEObject Type="Embed" ProgID="Equation.KSEE3" ShapeID="_x0000_i1070" DrawAspect="Content" ObjectID="_1468075771" r:id="rId120">
                  <o:LockedField>false</o:LockedField>
                </o:OLEObject>
              </w:object>
            </w:r>
          </w:p>
          <w:p w14:paraId="74375539">
            <w:pPr>
              <w:ind w:firstLine="480"/>
              <w:rPr>
                <w:rFonts w:hint="default" w:ascii="Times New Roman" w:hAnsi="Times New Roman" w:cs="Times New Roman"/>
                <w:color w:val="000000"/>
                <w:highlight w:val="none"/>
                <w:u w:val="none"/>
              </w:rPr>
            </w:pPr>
            <w:r>
              <w:rPr>
                <w:rFonts w:hint="default" w:ascii="Times New Roman" w:hAnsi="Times New Roman" w:cs="Times New Roman"/>
                <w:color w:val="000000"/>
                <w:highlight w:val="none"/>
                <w:u w:val="none"/>
              </w:rPr>
              <w:t>式中：</w:t>
            </w:r>
            <w:r>
              <w:rPr>
                <w:rFonts w:hint="default" w:ascii="Times New Roman" w:hAnsi="Times New Roman" w:cs="Times New Roman"/>
                <w:i/>
                <w:iCs/>
                <w:color w:val="000000"/>
                <w:highlight w:val="none"/>
                <w:u w:val="none"/>
              </w:rPr>
              <w:t>W</w:t>
            </w:r>
            <w:r>
              <w:rPr>
                <w:rFonts w:hint="default" w:ascii="Times New Roman" w:hAnsi="Times New Roman" w:cs="Times New Roman"/>
                <w:i/>
                <w:iCs/>
                <w:color w:val="000000"/>
                <w:highlight w:val="none"/>
                <w:u w:val="none"/>
                <w:vertAlign w:val="subscript"/>
              </w:rPr>
              <w:t>i</w:t>
            </w:r>
            <w:r>
              <w:rPr>
                <w:rFonts w:hint="default" w:ascii="Times New Roman" w:hAnsi="Times New Roman" w:cs="Times New Roman"/>
                <w:color w:val="000000"/>
                <w:highlight w:val="none"/>
                <w:u w:val="none"/>
              </w:rPr>
              <w:t>——第</w:t>
            </w:r>
            <w:r>
              <w:rPr>
                <w:rFonts w:hint="default" w:ascii="Times New Roman" w:hAnsi="Times New Roman" w:cs="Times New Roman"/>
                <w:i/>
                <w:iCs/>
                <w:color w:val="000000"/>
                <w:highlight w:val="none"/>
                <w:u w:val="none"/>
              </w:rPr>
              <w:t>i</w:t>
            </w:r>
            <w:r>
              <w:rPr>
                <w:rFonts w:hint="default" w:ascii="Times New Roman" w:hAnsi="Times New Roman" w:cs="Times New Roman"/>
                <w:color w:val="000000"/>
                <w:highlight w:val="none"/>
                <w:u w:val="none"/>
              </w:rPr>
              <w:t>种类生物资源一次性平均损失量，</w:t>
            </w:r>
            <w:r>
              <w:rPr>
                <w:rFonts w:hint="default" w:ascii="Times New Roman" w:hAnsi="Times New Roman" w:cs="Times New Roman"/>
                <w:color w:val="000000"/>
                <w:highlight w:val="none"/>
                <w:u w:val="none"/>
                <w:lang w:val="en-US" w:eastAsia="zh-CN"/>
              </w:rPr>
              <w:t>单位为尾、个、kg</w:t>
            </w:r>
            <w:r>
              <w:rPr>
                <w:rFonts w:hint="default" w:ascii="Times New Roman" w:hAnsi="Times New Roman" w:cs="Times New Roman"/>
                <w:color w:val="000000"/>
                <w:highlight w:val="none"/>
                <w:u w:val="none"/>
              </w:rPr>
              <w:t>；</w:t>
            </w:r>
          </w:p>
          <w:p w14:paraId="49D7C67A">
            <w:pPr>
              <w:ind w:firstLine="1200" w:firstLineChars="500"/>
              <w:rPr>
                <w:rFonts w:hint="default" w:ascii="Times New Roman" w:hAnsi="Times New Roman" w:cs="Times New Roman"/>
                <w:i/>
                <w:iCs/>
                <w:color w:val="000000"/>
                <w:highlight w:val="none"/>
                <w:u w:val="none"/>
              </w:rPr>
            </w:pPr>
            <w:r>
              <w:rPr>
                <w:rFonts w:hint="default" w:ascii="Times New Roman" w:hAnsi="Times New Roman" w:cs="Times New Roman"/>
                <w:i/>
                <w:iCs/>
                <w:color w:val="000000"/>
                <w:highlight w:val="none"/>
                <w:u w:val="none"/>
              </w:rPr>
              <w:t>D</w:t>
            </w:r>
            <w:r>
              <w:rPr>
                <w:rFonts w:hint="default" w:ascii="Times New Roman" w:hAnsi="Times New Roman" w:cs="Times New Roman"/>
                <w:i/>
                <w:iCs/>
                <w:color w:val="000000"/>
                <w:highlight w:val="none"/>
                <w:u w:val="none"/>
                <w:vertAlign w:val="subscript"/>
                <w:lang w:val="en-US" w:eastAsia="zh-CN"/>
              </w:rPr>
              <w:t>ij</w:t>
            </w:r>
            <w:r>
              <w:rPr>
                <w:rFonts w:hint="default" w:ascii="Times New Roman" w:hAnsi="Times New Roman" w:cs="Times New Roman"/>
                <w:color w:val="000000"/>
                <w:highlight w:val="none"/>
                <w:u w:val="none"/>
              </w:rPr>
              <w:t>——</w:t>
            </w:r>
            <w:r>
              <w:rPr>
                <w:rFonts w:hint="default" w:ascii="Times New Roman" w:hAnsi="Times New Roman" w:cs="Times New Roman"/>
                <w:i w:val="0"/>
                <w:iCs w:val="0"/>
                <w:color w:val="000000"/>
                <w:highlight w:val="none"/>
                <w:u w:val="none"/>
              </w:rPr>
              <w:t>某一污染物第</w:t>
            </w:r>
            <w:r>
              <w:rPr>
                <w:rFonts w:hint="default" w:ascii="Times New Roman" w:hAnsi="Times New Roman" w:cs="Times New Roman"/>
                <w:i/>
                <w:iCs/>
                <w:color w:val="000000"/>
                <w:highlight w:val="none"/>
                <w:u w:val="none"/>
                <w:lang w:val="en-US" w:eastAsia="zh-CN"/>
              </w:rPr>
              <w:t>j</w:t>
            </w:r>
            <w:r>
              <w:rPr>
                <w:rFonts w:hint="default" w:ascii="Times New Roman" w:hAnsi="Times New Roman" w:cs="Times New Roman"/>
                <w:i w:val="0"/>
                <w:iCs w:val="0"/>
                <w:color w:val="000000"/>
                <w:highlight w:val="none"/>
                <w:u w:val="none"/>
              </w:rPr>
              <w:t>类浓度增量区第</w:t>
            </w:r>
            <w:r>
              <w:rPr>
                <w:rFonts w:hint="default" w:ascii="Times New Roman" w:hAnsi="Times New Roman" w:cs="Times New Roman"/>
                <w:i/>
                <w:iCs/>
                <w:color w:val="000000"/>
                <w:highlight w:val="none"/>
                <w:u w:val="none"/>
              </w:rPr>
              <w:t>i</w:t>
            </w:r>
            <w:r>
              <w:rPr>
                <w:rFonts w:hint="default" w:ascii="Times New Roman" w:hAnsi="Times New Roman" w:cs="Times New Roman"/>
                <w:i w:val="0"/>
                <w:iCs w:val="0"/>
                <w:color w:val="000000"/>
                <w:highlight w:val="none"/>
                <w:u w:val="none"/>
              </w:rPr>
              <w:t>种类生物资源密度，</w:t>
            </w:r>
            <w:r>
              <w:rPr>
                <w:rFonts w:hint="default" w:ascii="Times New Roman" w:hAnsi="Times New Roman" w:cs="Times New Roman"/>
                <w:i w:val="0"/>
                <w:iCs w:val="0"/>
                <w:color w:val="000000"/>
                <w:highlight w:val="none"/>
                <w:u w:val="none"/>
                <w:lang w:val="en-US" w:eastAsia="zh-CN"/>
              </w:rPr>
              <w:t>单位为</w:t>
            </w:r>
            <w:r>
              <w:rPr>
                <w:rFonts w:hint="default" w:ascii="Times New Roman" w:hAnsi="Times New Roman" w:cs="Times New Roman"/>
                <w:color w:val="000000"/>
                <w:highlight w:val="none"/>
                <w:u w:val="none"/>
                <w:lang w:val="en-US" w:eastAsia="zh-CN"/>
              </w:rPr>
              <w:t>尾/km</w:t>
            </w:r>
            <w:r>
              <w:rPr>
                <w:rFonts w:hint="default" w:ascii="Times New Roman" w:hAnsi="Times New Roman" w:cs="Times New Roman"/>
                <w:color w:val="000000"/>
                <w:highlight w:val="none"/>
                <w:u w:val="none"/>
                <w:vertAlign w:val="superscript"/>
                <w:lang w:val="en-US" w:eastAsia="zh-CN"/>
              </w:rPr>
              <w:t>2</w:t>
            </w:r>
            <w:r>
              <w:rPr>
                <w:rFonts w:hint="default" w:ascii="Times New Roman" w:hAnsi="Times New Roman" w:cs="Times New Roman"/>
                <w:i w:val="0"/>
                <w:iCs w:val="0"/>
                <w:color w:val="000000"/>
                <w:highlight w:val="none"/>
                <w:u w:val="none"/>
                <w:lang w:val="en-US" w:eastAsia="zh-CN"/>
              </w:rPr>
              <w:t>、</w:t>
            </w:r>
            <w:r>
              <w:rPr>
                <w:rFonts w:hint="default" w:ascii="Times New Roman" w:hAnsi="Times New Roman" w:cs="Times New Roman"/>
                <w:color w:val="000000"/>
                <w:highlight w:val="none"/>
                <w:u w:val="none"/>
                <w:lang w:val="en-US" w:eastAsia="zh-CN"/>
              </w:rPr>
              <w:t>个/km</w:t>
            </w:r>
            <w:r>
              <w:rPr>
                <w:rFonts w:hint="default" w:ascii="Times New Roman" w:hAnsi="Times New Roman" w:cs="Times New Roman"/>
                <w:color w:val="000000"/>
                <w:highlight w:val="none"/>
                <w:u w:val="none"/>
                <w:vertAlign w:val="superscript"/>
                <w:lang w:val="en-US" w:eastAsia="zh-CN"/>
              </w:rPr>
              <w:t>2</w:t>
            </w:r>
            <w:r>
              <w:rPr>
                <w:rFonts w:hint="default" w:ascii="Times New Roman" w:hAnsi="Times New Roman" w:cs="Times New Roman"/>
                <w:i w:val="0"/>
                <w:iCs w:val="0"/>
                <w:color w:val="000000"/>
                <w:highlight w:val="none"/>
                <w:u w:val="none"/>
                <w:lang w:val="en-US" w:eastAsia="zh-CN"/>
              </w:rPr>
              <w:t>、</w:t>
            </w:r>
            <w:r>
              <w:rPr>
                <w:rFonts w:hint="default" w:ascii="Times New Roman" w:hAnsi="Times New Roman" w:cs="Times New Roman"/>
                <w:color w:val="000000"/>
                <w:highlight w:val="none"/>
                <w:u w:val="none"/>
                <w:lang w:val="en-US" w:eastAsia="zh-CN"/>
              </w:rPr>
              <w:t>kg/km</w:t>
            </w:r>
            <w:r>
              <w:rPr>
                <w:rFonts w:hint="default" w:ascii="Times New Roman" w:hAnsi="Times New Roman" w:cs="Times New Roman"/>
                <w:color w:val="000000"/>
                <w:highlight w:val="none"/>
                <w:u w:val="none"/>
                <w:vertAlign w:val="superscript"/>
                <w:lang w:val="en-US" w:eastAsia="zh-CN"/>
              </w:rPr>
              <w:t>2</w:t>
            </w:r>
            <w:r>
              <w:rPr>
                <w:rFonts w:hint="default" w:ascii="Times New Roman" w:hAnsi="Times New Roman" w:cs="Times New Roman"/>
                <w:i w:val="0"/>
                <w:iCs w:val="0"/>
                <w:color w:val="000000"/>
                <w:highlight w:val="none"/>
                <w:u w:val="none"/>
              </w:rPr>
              <w:t>。</w:t>
            </w:r>
          </w:p>
          <w:p w14:paraId="23C69FFB">
            <w:pPr>
              <w:ind w:firstLine="1200" w:firstLineChars="500"/>
              <w:rPr>
                <w:rFonts w:hint="default" w:ascii="Times New Roman" w:hAnsi="Times New Roman" w:cs="Times New Roman"/>
                <w:color w:val="000000"/>
                <w:highlight w:val="none"/>
                <w:u w:val="none"/>
                <w:lang w:eastAsia="zh-CN"/>
              </w:rPr>
            </w:pPr>
            <w:r>
              <w:rPr>
                <w:rFonts w:hint="default" w:ascii="Times New Roman" w:hAnsi="Times New Roman" w:cs="Times New Roman"/>
                <w:i/>
                <w:iCs/>
                <w:color w:val="000000"/>
                <w:highlight w:val="none"/>
                <w:u w:val="none"/>
              </w:rPr>
              <w:t>S</w:t>
            </w:r>
            <w:r>
              <w:rPr>
                <w:rFonts w:hint="default" w:ascii="Times New Roman" w:hAnsi="Times New Roman" w:cs="Times New Roman"/>
                <w:i/>
                <w:iCs/>
                <w:color w:val="000000"/>
                <w:highlight w:val="none"/>
                <w:u w:val="none"/>
                <w:vertAlign w:val="subscript"/>
                <w:lang w:val="en-US" w:eastAsia="zh-CN"/>
              </w:rPr>
              <w:t>j</w:t>
            </w:r>
            <w:r>
              <w:rPr>
                <w:rFonts w:hint="default" w:ascii="Times New Roman" w:hAnsi="Times New Roman" w:cs="Times New Roman"/>
                <w:color w:val="000000"/>
                <w:highlight w:val="none"/>
                <w:u w:val="none"/>
              </w:rPr>
              <w:t>——某一污染物第</w:t>
            </w:r>
            <w:r>
              <w:rPr>
                <w:rFonts w:hint="default" w:ascii="Times New Roman" w:hAnsi="Times New Roman" w:cs="Times New Roman"/>
                <w:i/>
                <w:iCs/>
                <w:color w:val="000000"/>
                <w:highlight w:val="none"/>
                <w:u w:val="none"/>
              </w:rPr>
              <w:t>j</w:t>
            </w:r>
            <w:r>
              <w:rPr>
                <w:rFonts w:hint="default" w:ascii="Times New Roman" w:hAnsi="Times New Roman" w:cs="Times New Roman"/>
                <w:color w:val="000000"/>
                <w:highlight w:val="none"/>
                <w:u w:val="none"/>
              </w:rPr>
              <w:t>类浓度增量区面积</w:t>
            </w:r>
            <w:r>
              <w:rPr>
                <w:rFonts w:hint="default" w:ascii="Times New Roman" w:hAnsi="Times New Roman" w:cs="Times New Roman"/>
                <w:color w:val="000000"/>
                <w:highlight w:val="none"/>
                <w:u w:val="none"/>
                <w:lang w:eastAsia="zh-CN"/>
              </w:rPr>
              <w:t>，</w:t>
            </w:r>
            <w:r>
              <w:rPr>
                <w:rFonts w:hint="default" w:ascii="Times New Roman" w:hAnsi="Times New Roman" w:cs="Times New Roman"/>
                <w:color w:val="000000"/>
                <w:highlight w:val="none"/>
                <w:u w:val="none"/>
              </w:rPr>
              <w:t>单位为km</w:t>
            </w:r>
            <w:r>
              <w:rPr>
                <w:rFonts w:hint="default" w:ascii="Times New Roman" w:hAnsi="Times New Roman" w:cs="Times New Roman"/>
                <w:color w:val="000000"/>
                <w:highlight w:val="none"/>
                <w:u w:val="none"/>
                <w:vertAlign w:val="superscript"/>
                <w:lang w:val="en-US" w:eastAsia="zh-CN"/>
              </w:rPr>
              <w:t>2</w:t>
            </w:r>
            <w:r>
              <w:rPr>
                <w:rFonts w:hint="default" w:ascii="Times New Roman" w:hAnsi="Times New Roman" w:cs="Times New Roman"/>
                <w:color w:val="000000"/>
                <w:highlight w:val="none"/>
                <w:u w:val="none"/>
                <w:lang w:eastAsia="zh-CN"/>
              </w:rPr>
              <w:t>；</w:t>
            </w:r>
          </w:p>
          <w:p w14:paraId="7D5E6E3F">
            <w:pPr>
              <w:ind w:firstLine="1200" w:firstLineChars="500"/>
              <w:rPr>
                <w:rFonts w:hint="default" w:ascii="Times New Roman" w:hAnsi="Times New Roman" w:cs="Times New Roman"/>
                <w:color w:val="000000"/>
                <w:highlight w:val="none"/>
                <w:u w:val="none"/>
                <w:lang w:val="en-US" w:eastAsia="zh-CN"/>
              </w:rPr>
            </w:pPr>
            <w:r>
              <w:rPr>
                <w:rFonts w:hint="default" w:ascii="Times New Roman" w:hAnsi="Times New Roman" w:cs="Times New Roman"/>
                <w:i/>
                <w:iCs/>
                <w:color w:val="000000"/>
                <w:highlight w:val="none"/>
                <w:u w:val="none"/>
                <w:lang w:val="en-US" w:eastAsia="zh-CN"/>
              </w:rPr>
              <w:t>K</w:t>
            </w:r>
            <w:r>
              <w:rPr>
                <w:rFonts w:hint="default" w:ascii="Times New Roman" w:hAnsi="Times New Roman" w:cs="Times New Roman"/>
                <w:i/>
                <w:iCs/>
                <w:color w:val="000000"/>
                <w:highlight w:val="none"/>
                <w:u w:val="none"/>
                <w:vertAlign w:val="subscript"/>
                <w:lang w:val="en-US" w:eastAsia="zh-CN"/>
              </w:rPr>
              <w:t>ij</w:t>
            </w:r>
            <w:r>
              <w:rPr>
                <w:rFonts w:hint="default" w:ascii="Times New Roman" w:hAnsi="Times New Roman" w:cs="Times New Roman"/>
                <w:color w:val="000000"/>
                <w:highlight w:val="none"/>
                <w:u w:val="none"/>
              </w:rPr>
              <w:t>——某一污染物第</w:t>
            </w:r>
            <w:r>
              <w:rPr>
                <w:rFonts w:hint="default" w:ascii="Times New Roman" w:hAnsi="Times New Roman" w:cs="Times New Roman"/>
                <w:i/>
                <w:iCs/>
                <w:color w:val="000000"/>
                <w:highlight w:val="none"/>
                <w:u w:val="none"/>
              </w:rPr>
              <w:t>j</w:t>
            </w:r>
            <w:r>
              <w:rPr>
                <w:rFonts w:hint="default" w:ascii="Times New Roman" w:hAnsi="Times New Roman" w:cs="Times New Roman"/>
                <w:color w:val="000000"/>
                <w:highlight w:val="none"/>
                <w:u w:val="none"/>
              </w:rPr>
              <w:t>类浓度增量区</w:t>
            </w:r>
            <w:r>
              <w:rPr>
                <w:rFonts w:hint="default" w:ascii="Times New Roman" w:hAnsi="Times New Roman" w:cs="Times New Roman"/>
                <w:color w:val="000000"/>
                <w:highlight w:val="none"/>
                <w:u w:val="none"/>
                <w:lang w:val="en-US" w:eastAsia="zh-CN"/>
              </w:rPr>
              <w:t>第</w:t>
            </w:r>
            <w:r>
              <w:rPr>
                <w:rFonts w:hint="default" w:ascii="Times New Roman" w:hAnsi="Times New Roman" w:cs="Times New Roman"/>
                <w:i/>
                <w:iCs/>
                <w:color w:val="000000"/>
                <w:highlight w:val="none"/>
                <w:u w:val="none"/>
                <w:lang w:val="en-US" w:eastAsia="zh-CN"/>
              </w:rPr>
              <w:t>i</w:t>
            </w:r>
            <w:r>
              <w:rPr>
                <w:rFonts w:hint="default" w:ascii="Times New Roman" w:hAnsi="Times New Roman" w:cs="Times New Roman"/>
                <w:color w:val="000000"/>
                <w:highlight w:val="none"/>
                <w:u w:val="none"/>
                <w:lang w:val="en-US" w:eastAsia="zh-CN"/>
              </w:rPr>
              <w:t>种类生物资源损失率（%）；</w:t>
            </w:r>
          </w:p>
          <w:p w14:paraId="0CEB4600">
            <w:pPr>
              <w:ind w:firstLine="1200" w:firstLineChars="500"/>
              <w:rPr>
                <w:rFonts w:hint="default" w:ascii="Times New Roman" w:hAnsi="Times New Roman" w:eastAsia="宋体" w:cs="Times New Roman"/>
                <w:color w:val="000000"/>
                <w:highlight w:val="none"/>
                <w:u w:val="none"/>
                <w:lang w:val="en-US" w:eastAsia="zh-CN"/>
              </w:rPr>
            </w:pPr>
            <w:r>
              <w:rPr>
                <w:rFonts w:hint="default" w:ascii="Times New Roman" w:hAnsi="Times New Roman" w:cs="Times New Roman"/>
                <w:i/>
                <w:iCs/>
                <w:color w:val="000000"/>
                <w:highlight w:val="none"/>
                <w:u w:val="none"/>
                <w:lang w:val="en-US" w:eastAsia="zh-CN"/>
              </w:rPr>
              <w:t>n</w:t>
            </w:r>
            <w:r>
              <w:rPr>
                <w:rFonts w:hint="default" w:ascii="Times New Roman" w:hAnsi="Times New Roman" w:cs="Times New Roman"/>
                <w:color w:val="000000"/>
                <w:highlight w:val="none"/>
                <w:u w:val="none"/>
                <w:lang w:val="en-US" w:eastAsia="zh-CN"/>
              </w:rPr>
              <w:t>——某一污染物浓度增量分区总数。</w:t>
            </w:r>
          </w:p>
          <w:p w14:paraId="44A6DA7B">
            <w:pPr>
              <w:adjustRightInd/>
              <w:snapToGrid/>
              <w:ind w:firstLine="480"/>
              <w:rPr>
                <w:rFonts w:hint="default" w:ascii="Times New Roman" w:hAnsi="Times New Roman" w:eastAsia="宋体" w:cs="Times New Roman"/>
                <w:color w:val="000000"/>
                <w:szCs w:val="28"/>
                <w:highlight w:val="none"/>
                <w:u w:val="single"/>
              </w:rPr>
            </w:pPr>
            <w:r>
              <w:rPr>
                <w:rFonts w:hint="default" w:ascii="Times New Roman" w:hAnsi="Times New Roman" w:eastAsia="宋体" w:cs="Times New Roman"/>
                <w:b w:val="0"/>
                <w:bCs w:val="0"/>
                <w:color w:val="000000"/>
                <w:szCs w:val="28"/>
                <w:highlight w:val="none"/>
                <w:u w:val="none"/>
                <w:lang w:val="en-US" w:eastAsia="zh-CN"/>
              </w:rPr>
              <w:t>参见</w:t>
            </w:r>
            <w:r>
              <w:rPr>
                <w:rFonts w:hint="default" w:ascii="Times New Roman" w:hAnsi="Times New Roman" w:eastAsia="宋体" w:cs="Times New Roman"/>
                <w:color w:val="000000"/>
                <w:szCs w:val="28"/>
                <w:highlight w:val="none"/>
                <w:u w:val="none"/>
                <w:lang w:val="en-US" w:eastAsia="zh-CN"/>
              </w:rPr>
              <w:t>《建设项</w:t>
            </w:r>
            <w:r>
              <w:rPr>
                <w:rFonts w:hint="default" w:ascii="Times New Roman" w:hAnsi="Times New Roman" w:eastAsia="宋体" w:cs="Times New Roman"/>
                <w:b w:val="0"/>
                <w:bCs w:val="0"/>
                <w:color w:val="000000"/>
                <w:szCs w:val="28"/>
                <w:highlight w:val="none"/>
                <w:u w:val="none"/>
                <w:lang w:val="en-US" w:eastAsia="zh-CN"/>
              </w:rPr>
              <w:t>目对海洋生物资源影响评价技术规程》（SC/T9110-2007）附录B，本工程生物资源损失率取值见</w:t>
            </w:r>
            <w:r>
              <w:rPr>
                <w:rFonts w:hint="default" w:ascii="Times New Roman" w:hAnsi="Times New Roman" w:eastAsia="宋体" w:cs="Times New Roman"/>
                <w:b w:val="0"/>
                <w:bCs w:val="0"/>
                <w:color w:val="000000"/>
                <w:szCs w:val="28"/>
                <w:highlight w:val="none"/>
                <w:u w:val="none"/>
                <w:lang w:val="en-US" w:eastAsia="zh-CN"/>
              </w:rPr>
              <w:fldChar w:fldCharType="begin"/>
            </w:r>
            <w:r>
              <w:rPr>
                <w:rFonts w:hint="default" w:ascii="Times New Roman" w:hAnsi="Times New Roman" w:eastAsia="宋体" w:cs="Times New Roman"/>
                <w:b w:val="0"/>
                <w:bCs w:val="0"/>
                <w:color w:val="000000"/>
                <w:szCs w:val="28"/>
                <w:highlight w:val="none"/>
                <w:u w:val="none"/>
                <w:lang w:val="en-US" w:eastAsia="zh-CN"/>
              </w:rPr>
              <w:instrText xml:space="preserve"> REF _Ref8186 \h </w:instrText>
            </w:r>
            <w:r>
              <w:rPr>
                <w:rFonts w:hint="default" w:ascii="Times New Roman" w:hAnsi="Times New Roman" w:eastAsia="宋体" w:cs="Times New Roman"/>
                <w:b w:val="0"/>
                <w:bCs w:val="0"/>
                <w:color w:val="000000"/>
                <w:szCs w:val="28"/>
                <w:highlight w:val="none"/>
                <w:u w:val="none"/>
                <w:lang w:val="en-US" w:eastAsia="zh-CN"/>
              </w:rPr>
              <w:fldChar w:fldCharType="separate"/>
            </w:r>
            <w:r>
              <w:rPr>
                <w:rFonts w:hint="default" w:ascii="Times New Roman" w:hAnsi="Times New Roman" w:eastAsia="宋体" w:cs="Times New Roman"/>
                <w:b w:val="0"/>
                <w:bCs w:val="0"/>
                <w:color w:val="000000"/>
                <w:kern w:val="2"/>
                <w:sz w:val="24"/>
                <w:szCs w:val="28"/>
                <w:highlight w:val="none"/>
                <w:lang w:val="en-US" w:eastAsia="zh-CN" w:bidi="ar-SA"/>
              </w:rPr>
              <w:t>表</w:t>
            </w:r>
            <w:r>
              <w:rPr>
                <w:rFonts w:hint="default" w:ascii="Times New Roman" w:hAnsi="Times New Roman" w:eastAsia="宋体" w:cs="Times New Roman"/>
                <w:b w:val="0"/>
                <w:bCs w:val="0"/>
                <w:color w:val="000000"/>
                <w:kern w:val="2"/>
                <w:sz w:val="24"/>
                <w:szCs w:val="28"/>
                <w:highlight w:val="none"/>
                <w:lang w:val="en-US" w:eastAsia="zh-CN" w:bidi="ar-SA"/>
              </w:rPr>
              <w:fldChar w:fldCharType="begin"/>
            </w:r>
            <w:r>
              <w:rPr>
                <w:rFonts w:hint="default" w:ascii="Times New Roman" w:hAnsi="Times New Roman" w:eastAsia="宋体" w:cs="Times New Roman"/>
                <w:b w:val="0"/>
                <w:bCs w:val="0"/>
                <w:color w:val="000000"/>
                <w:kern w:val="2"/>
                <w:sz w:val="24"/>
                <w:szCs w:val="28"/>
                <w:highlight w:val="none"/>
                <w:lang w:val="en-US" w:eastAsia="zh-CN" w:bidi="ar-SA"/>
              </w:rPr>
              <w:instrText xml:space="preserve"> STYLEREF 2 \s </w:instrText>
            </w:r>
            <w:r>
              <w:rPr>
                <w:rFonts w:hint="default" w:ascii="Times New Roman" w:hAnsi="Times New Roman" w:eastAsia="宋体" w:cs="Times New Roman"/>
                <w:b w:val="0"/>
                <w:bCs w:val="0"/>
                <w:color w:val="000000"/>
                <w:kern w:val="2"/>
                <w:sz w:val="24"/>
                <w:szCs w:val="28"/>
                <w:highlight w:val="none"/>
                <w:lang w:val="en-US" w:eastAsia="zh-CN" w:bidi="ar-SA"/>
              </w:rPr>
              <w:fldChar w:fldCharType="separate"/>
            </w:r>
            <w:r>
              <w:rPr>
                <w:rFonts w:hint="default" w:ascii="Times New Roman" w:hAnsi="Times New Roman" w:eastAsia="宋体" w:cs="Times New Roman"/>
                <w:b w:val="0"/>
                <w:bCs w:val="0"/>
                <w:color w:val="000000"/>
                <w:kern w:val="2"/>
                <w:sz w:val="24"/>
                <w:szCs w:val="28"/>
                <w:highlight w:val="none"/>
                <w:lang w:val="en-US" w:eastAsia="zh-CN" w:bidi="ar-SA"/>
              </w:rPr>
              <w:t>4.3</w:t>
            </w:r>
            <w:r>
              <w:rPr>
                <w:rFonts w:hint="default" w:ascii="Times New Roman" w:hAnsi="Times New Roman" w:eastAsia="宋体" w:cs="Times New Roman"/>
                <w:b w:val="0"/>
                <w:bCs w:val="0"/>
                <w:color w:val="000000"/>
                <w:kern w:val="2"/>
                <w:sz w:val="24"/>
                <w:szCs w:val="28"/>
                <w:highlight w:val="none"/>
                <w:lang w:val="en-US" w:eastAsia="zh-CN" w:bidi="ar-SA"/>
              </w:rPr>
              <w:fldChar w:fldCharType="end"/>
            </w:r>
            <w:r>
              <w:rPr>
                <w:rFonts w:hint="default" w:ascii="Times New Roman" w:hAnsi="Times New Roman" w:eastAsia="宋体" w:cs="Times New Roman"/>
                <w:b w:val="0"/>
                <w:bCs w:val="0"/>
                <w:color w:val="000000"/>
                <w:kern w:val="2"/>
                <w:sz w:val="24"/>
                <w:szCs w:val="28"/>
                <w:highlight w:val="none"/>
                <w:lang w:val="en-US" w:eastAsia="zh-CN" w:bidi="ar-SA"/>
              </w:rPr>
              <w:t>-5</w:t>
            </w:r>
            <w:r>
              <w:rPr>
                <w:rFonts w:hint="default" w:ascii="Times New Roman" w:hAnsi="Times New Roman" w:eastAsia="宋体" w:cs="Times New Roman"/>
                <w:b w:val="0"/>
                <w:bCs w:val="0"/>
                <w:color w:val="000000"/>
                <w:szCs w:val="28"/>
                <w:highlight w:val="none"/>
                <w:u w:val="none"/>
                <w:lang w:val="en-US" w:eastAsia="zh-CN"/>
              </w:rPr>
              <w:fldChar w:fldCharType="end"/>
            </w:r>
            <w:r>
              <w:rPr>
                <w:rFonts w:hint="default" w:ascii="Times New Roman" w:hAnsi="Times New Roman" w:eastAsia="宋体" w:cs="Times New Roman"/>
                <w:b w:val="0"/>
                <w:bCs w:val="0"/>
                <w:color w:val="000000"/>
                <w:szCs w:val="28"/>
                <w:highlight w:val="none"/>
                <w:u w:val="none"/>
                <w:lang w:val="en-US" w:eastAsia="zh-CN"/>
              </w:rPr>
              <w:t>。</w:t>
            </w:r>
          </w:p>
          <w:p w14:paraId="3002D290">
            <w:pPr>
              <w:widowControl w:val="0"/>
              <w:bidi w:val="0"/>
              <w:adjustRightInd/>
              <w:snapToGrid/>
              <w:spacing w:line="240" w:lineRule="auto"/>
              <w:ind w:firstLine="0" w:firstLineChars="0"/>
              <w:jc w:val="center"/>
              <w:rPr>
                <w:rFonts w:hint="default" w:ascii="Times New Roman" w:hAnsi="Times New Roman" w:eastAsia="宋体" w:cs="Times New Roman"/>
                <w:b/>
                <w:color w:val="000000"/>
                <w:kern w:val="2"/>
                <w:sz w:val="24"/>
                <w:szCs w:val="28"/>
                <w:highlight w:val="none"/>
                <w:lang w:val="en-US" w:eastAsia="zh-CN" w:bidi="ar-SA"/>
              </w:rPr>
            </w:pPr>
            <w:bookmarkStart w:id="334" w:name="_Ref8186"/>
          </w:p>
          <w:p w14:paraId="1242874C">
            <w:pPr>
              <w:widowControl w:val="0"/>
              <w:bidi w:val="0"/>
              <w:adjustRightInd/>
              <w:snapToGrid/>
              <w:spacing w:line="240" w:lineRule="auto"/>
              <w:ind w:firstLine="0" w:firstLineChars="0"/>
              <w:jc w:val="center"/>
              <w:rPr>
                <w:rFonts w:hint="default" w:ascii="Times New Roman" w:hAnsi="Times New Roman" w:eastAsia="宋体" w:cs="Times New Roman"/>
                <w:b/>
                <w:color w:val="000000"/>
                <w:kern w:val="2"/>
                <w:sz w:val="24"/>
                <w:szCs w:val="28"/>
                <w:highlight w:val="none"/>
                <w:lang w:val="en-US" w:eastAsia="zh-CN" w:bidi="ar-SA"/>
              </w:rPr>
            </w:pPr>
            <w:r>
              <w:rPr>
                <w:rFonts w:hint="default" w:ascii="Times New Roman" w:hAnsi="Times New Roman" w:eastAsia="宋体" w:cs="Times New Roman"/>
                <w:b/>
                <w:color w:val="000000"/>
                <w:kern w:val="2"/>
                <w:sz w:val="24"/>
                <w:szCs w:val="28"/>
                <w:highlight w:val="none"/>
                <w:lang w:val="en-US" w:eastAsia="zh-CN" w:bidi="ar-SA"/>
              </w:rPr>
              <w:t>表</w:t>
            </w:r>
            <w:r>
              <w:rPr>
                <w:rFonts w:hint="default" w:ascii="Times New Roman" w:hAnsi="Times New Roman" w:eastAsia="宋体" w:cs="Times New Roman"/>
                <w:b/>
                <w:color w:val="000000"/>
                <w:kern w:val="2"/>
                <w:sz w:val="24"/>
                <w:szCs w:val="28"/>
                <w:highlight w:val="none"/>
                <w:lang w:val="en-US" w:eastAsia="zh-CN" w:bidi="ar-SA"/>
              </w:rPr>
              <w:fldChar w:fldCharType="begin"/>
            </w:r>
            <w:r>
              <w:rPr>
                <w:rFonts w:hint="default" w:ascii="Times New Roman" w:hAnsi="Times New Roman" w:eastAsia="宋体" w:cs="Times New Roman"/>
                <w:b/>
                <w:color w:val="000000"/>
                <w:kern w:val="2"/>
                <w:sz w:val="24"/>
                <w:szCs w:val="28"/>
                <w:highlight w:val="none"/>
                <w:lang w:val="en-US" w:eastAsia="zh-CN" w:bidi="ar-SA"/>
              </w:rPr>
              <w:instrText xml:space="preserve"> STYLEREF 2 \s </w:instrText>
            </w:r>
            <w:r>
              <w:rPr>
                <w:rFonts w:hint="default" w:ascii="Times New Roman" w:hAnsi="Times New Roman" w:eastAsia="宋体" w:cs="Times New Roman"/>
                <w:b/>
                <w:color w:val="000000"/>
                <w:kern w:val="2"/>
                <w:sz w:val="24"/>
                <w:szCs w:val="28"/>
                <w:highlight w:val="none"/>
                <w:lang w:val="en-US" w:eastAsia="zh-CN" w:bidi="ar-SA"/>
              </w:rPr>
              <w:fldChar w:fldCharType="separate"/>
            </w:r>
            <w:r>
              <w:rPr>
                <w:rFonts w:hint="default" w:ascii="Times New Roman" w:hAnsi="Times New Roman" w:eastAsia="宋体" w:cs="Times New Roman"/>
                <w:b/>
                <w:color w:val="000000"/>
                <w:kern w:val="2"/>
                <w:sz w:val="24"/>
                <w:szCs w:val="28"/>
                <w:highlight w:val="none"/>
                <w:lang w:val="en-US" w:eastAsia="zh-CN" w:bidi="ar-SA"/>
              </w:rPr>
              <w:t>4.3</w:t>
            </w:r>
            <w:r>
              <w:rPr>
                <w:rFonts w:hint="default" w:ascii="Times New Roman" w:hAnsi="Times New Roman" w:eastAsia="宋体" w:cs="Times New Roman"/>
                <w:b/>
                <w:color w:val="000000"/>
                <w:kern w:val="2"/>
                <w:sz w:val="24"/>
                <w:szCs w:val="28"/>
                <w:highlight w:val="none"/>
                <w:lang w:val="en-US" w:eastAsia="zh-CN" w:bidi="ar-SA"/>
              </w:rPr>
              <w:fldChar w:fldCharType="end"/>
            </w:r>
            <w:r>
              <w:rPr>
                <w:rFonts w:hint="default" w:ascii="Times New Roman" w:hAnsi="Times New Roman" w:eastAsia="宋体" w:cs="Times New Roman"/>
                <w:b/>
                <w:color w:val="000000"/>
                <w:kern w:val="2"/>
                <w:sz w:val="24"/>
                <w:szCs w:val="28"/>
                <w:highlight w:val="none"/>
                <w:lang w:val="en-US" w:eastAsia="zh-CN" w:bidi="ar-SA"/>
              </w:rPr>
              <w:t>-</w:t>
            </w:r>
            <w:r>
              <w:rPr>
                <w:rFonts w:hint="default" w:ascii="Times New Roman" w:hAnsi="Times New Roman" w:eastAsia="宋体" w:cs="Times New Roman"/>
                <w:b/>
                <w:color w:val="000000"/>
                <w:kern w:val="2"/>
                <w:sz w:val="24"/>
                <w:szCs w:val="28"/>
                <w:highlight w:val="none"/>
                <w:lang w:val="en-US" w:eastAsia="zh-CN" w:bidi="ar-SA"/>
              </w:rPr>
              <w:fldChar w:fldCharType="begin"/>
            </w:r>
            <w:r>
              <w:rPr>
                <w:rFonts w:hint="default" w:ascii="Times New Roman" w:hAnsi="Times New Roman" w:eastAsia="宋体" w:cs="Times New Roman"/>
                <w:b/>
                <w:color w:val="000000"/>
                <w:kern w:val="2"/>
                <w:sz w:val="24"/>
                <w:szCs w:val="28"/>
                <w:highlight w:val="none"/>
                <w:lang w:val="en-US" w:eastAsia="zh-CN" w:bidi="ar-SA"/>
              </w:rPr>
              <w:instrText xml:space="preserve"> SEQ 表 \* ARABIC \s 2 </w:instrText>
            </w:r>
            <w:r>
              <w:rPr>
                <w:rFonts w:hint="default" w:ascii="Times New Roman" w:hAnsi="Times New Roman" w:eastAsia="宋体" w:cs="Times New Roman"/>
                <w:b/>
                <w:color w:val="000000"/>
                <w:kern w:val="2"/>
                <w:sz w:val="24"/>
                <w:szCs w:val="28"/>
                <w:highlight w:val="none"/>
                <w:lang w:val="en-US" w:eastAsia="zh-CN" w:bidi="ar-SA"/>
              </w:rPr>
              <w:fldChar w:fldCharType="separate"/>
            </w:r>
            <w:r>
              <w:rPr>
                <w:rFonts w:hint="default" w:ascii="Times New Roman" w:hAnsi="Times New Roman" w:eastAsia="宋体" w:cs="Times New Roman"/>
                <w:b/>
                <w:color w:val="000000"/>
                <w:kern w:val="2"/>
                <w:sz w:val="24"/>
                <w:szCs w:val="28"/>
                <w:highlight w:val="none"/>
                <w:lang w:val="en-US" w:eastAsia="zh-CN" w:bidi="ar-SA"/>
              </w:rPr>
              <w:t>5</w:t>
            </w:r>
            <w:r>
              <w:rPr>
                <w:rFonts w:hint="default" w:ascii="Times New Roman" w:hAnsi="Times New Roman" w:eastAsia="宋体" w:cs="Times New Roman"/>
                <w:b/>
                <w:color w:val="000000"/>
                <w:kern w:val="2"/>
                <w:sz w:val="24"/>
                <w:szCs w:val="28"/>
                <w:highlight w:val="none"/>
                <w:lang w:val="en-US" w:eastAsia="zh-CN" w:bidi="ar-SA"/>
              </w:rPr>
              <w:fldChar w:fldCharType="end"/>
            </w:r>
            <w:bookmarkEnd w:id="334"/>
            <w:r>
              <w:rPr>
                <w:rFonts w:hint="default" w:ascii="Times New Roman" w:hAnsi="Times New Roman" w:eastAsia="宋体" w:cs="Times New Roman"/>
                <w:b/>
                <w:color w:val="000000"/>
                <w:kern w:val="2"/>
                <w:sz w:val="24"/>
                <w:szCs w:val="28"/>
                <w:highlight w:val="none"/>
                <w:lang w:val="en-US" w:eastAsia="zh-CN" w:bidi="ar-SA"/>
              </w:rPr>
              <w:t xml:space="preserve"> 本工程各生物资源损失率</w:t>
            </w:r>
          </w:p>
          <w:tbl>
            <w:tblPr>
              <w:tblStyle w:val="22"/>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44"/>
              <w:gridCol w:w="1994"/>
              <w:gridCol w:w="1335"/>
              <w:gridCol w:w="1498"/>
              <w:gridCol w:w="1560"/>
            </w:tblGrid>
            <w:tr w14:paraId="75EF16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20" w:type="pct"/>
                  <w:vMerge w:val="restart"/>
                  <w:noWrap w:val="0"/>
                  <w:vAlign w:val="center"/>
                </w:tcPr>
                <w:p w14:paraId="7F5EE542">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kern w:val="2"/>
                      <w:sz w:val="21"/>
                      <w:szCs w:val="28"/>
                      <w:highlight w:val="none"/>
                      <w:vertAlign w:val="baseline"/>
                      <w:lang w:val="en-US" w:eastAsia="zh-CN" w:bidi="ar-SA"/>
                    </w:rPr>
                  </w:pPr>
                  <w:r>
                    <w:rPr>
                      <w:rFonts w:hint="default" w:ascii="Times New Roman" w:hAnsi="Times New Roman" w:eastAsia="宋体" w:cs="Times New Roman"/>
                      <w:b/>
                      <w:bCs/>
                      <w:color w:val="000000"/>
                      <w:kern w:val="2"/>
                      <w:sz w:val="21"/>
                      <w:szCs w:val="28"/>
                      <w:highlight w:val="none"/>
                      <w:vertAlign w:val="baseline"/>
                      <w:lang w:val="en-US" w:eastAsia="zh-CN" w:bidi="ar-SA"/>
                    </w:rPr>
                    <w:t>污染物i的超标倍数Bi</w:t>
                  </w:r>
                </w:p>
              </w:tc>
              <w:tc>
                <w:tcPr>
                  <w:tcW w:w="3879" w:type="pct"/>
                  <w:gridSpan w:val="4"/>
                  <w:noWrap w:val="0"/>
                  <w:vAlign w:val="center"/>
                </w:tcPr>
                <w:p w14:paraId="2EA429B6">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kern w:val="2"/>
                      <w:sz w:val="21"/>
                      <w:szCs w:val="28"/>
                      <w:highlight w:val="none"/>
                      <w:vertAlign w:val="baseline"/>
                      <w:lang w:val="en-US" w:eastAsia="zh-CN" w:bidi="ar-SA"/>
                    </w:rPr>
                  </w:pPr>
                  <w:r>
                    <w:rPr>
                      <w:rFonts w:hint="default" w:ascii="Times New Roman" w:hAnsi="Times New Roman" w:eastAsia="宋体" w:cs="Times New Roman"/>
                      <w:b/>
                      <w:bCs/>
                      <w:color w:val="000000"/>
                      <w:kern w:val="2"/>
                      <w:sz w:val="21"/>
                      <w:szCs w:val="28"/>
                      <w:highlight w:val="none"/>
                      <w:vertAlign w:val="baseline"/>
                      <w:lang w:val="en-US" w:eastAsia="zh-CN" w:bidi="ar-SA"/>
                    </w:rPr>
                    <w:t>各类生物损失率（%）</w:t>
                  </w:r>
                </w:p>
              </w:tc>
            </w:tr>
            <w:tr w14:paraId="6E4072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20" w:type="pct"/>
                  <w:vMerge w:val="continue"/>
                  <w:noWrap w:val="0"/>
                  <w:vAlign w:val="center"/>
                </w:tcPr>
                <w:p w14:paraId="133BB9D0">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kern w:val="2"/>
                      <w:sz w:val="21"/>
                      <w:szCs w:val="28"/>
                      <w:highlight w:val="none"/>
                      <w:vertAlign w:val="baseline"/>
                      <w:lang w:val="en-US" w:eastAsia="zh-CN" w:bidi="ar-SA"/>
                    </w:rPr>
                  </w:pPr>
                </w:p>
              </w:tc>
              <w:tc>
                <w:tcPr>
                  <w:tcW w:w="1211" w:type="pct"/>
                  <w:noWrap w:val="0"/>
                  <w:vAlign w:val="center"/>
                </w:tcPr>
                <w:p w14:paraId="70E95FA0">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kern w:val="2"/>
                      <w:sz w:val="21"/>
                      <w:szCs w:val="28"/>
                      <w:highlight w:val="none"/>
                      <w:vertAlign w:val="baseline"/>
                      <w:lang w:val="en-US" w:eastAsia="zh-CN" w:bidi="ar-SA"/>
                    </w:rPr>
                  </w:pPr>
                  <w:r>
                    <w:rPr>
                      <w:rFonts w:hint="default" w:ascii="Times New Roman" w:hAnsi="Times New Roman" w:eastAsia="宋体" w:cs="Times New Roman"/>
                      <w:b/>
                      <w:bCs/>
                      <w:color w:val="000000"/>
                      <w:kern w:val="2"/>
                      <w:sz w:val="21"/>
                      <w:szCs w:val="28"/>
                      <w:highlight w:val="none"/>
                      <w:vertAlign w:val="baseline"/>
                      <w:lang w:val="en-US" w:eastAsia="zh-CN" w:bidi="ar-SA"/>
                    </w:rPr>
                    <w:t>鱼卵和仔稚鱼</w:t>
                  </w:r>
                </w:p>
              </w:tc>
              <w:tc>
                <w:tcPr>
                  <w:tcW w:w="811" w:type="pct"/>
                  <w:noWrap w:val="0"/>
                  <w:vAlign w:val="center"/>
                </w:tcPr>
                <w:p w14:paraId="79CE2829">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kern w:val="2"/>
                      <w:sz w:val="21"/>
                      <w:szCs w:val="28"/>
                      <w:highlight w:val="none"/>
                      <w:vertAlign w:val="baseline"/>
                      <w:lang w:val="en-US" w:eastAsia="zh-CN" w:bidi="ar-SA"/>
                    </w:rPr>
                  </w:pPr>
                  <w:r>
                    <w:rPr>
                      <w:rFonts w:hint="default" w:ascii="Times New Roman" w:hAnsi="Times New Roman" w:eastAsia="宋体" w:cs="Times New Roman"/>
                      <w:b/>
                      <w:bCs/>
                      <w:color w:val="000000"/>
                      <w:kern w:val="2"/>
                      <w:sz w:val="21"/>
                      <w:szCs w:val="28"/>
                      <w:highlight w:val="none"/>
                      <w:vertAlign w:val="baseline"/>
                      <w:lang w:val="en-US" w:eastAsia="zh-CN" w:bidi="ar-SA"/>
                    </w:rPr>
                    <w:t>成体</w:t>
                  </w:r>
                </w:p>
              </w:tc>
              <w:tc>
                <w:tcPr>
                  <w:tcW w:w="910" w:type="pct"/>
                  <w:noWrap w:val="0"/>
                  <w:vAlign w:val="center"/>
                </w:tcPr>
                <w:p w14:paraId="7F364610">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kern w:val="2"/>
                      <w:sz w:val="21"/>
                      <w:szCs w:val="28"/>
                      <w:highlight w:val="none"/>
                      <w:vertAlign w:val="baseline"/>
                      <w:lang w:val="en-US" w:eastAsia="zh-CN" w:bidi="ar-SA"/>
                    </w:rPr>
                  </w:pPr>
                  <w:r>
                    <w:rPr>
                      <w:rFonts w:hint="default" w:ascii="Times New Roman" w:hAnsi="Times New Roman" w:eastAsia="宋体" w:cs="Times New Roman"/>
                      <w:b/>
                      <w:bCs/>
                      <w:color w:val="000000"/>
                      <w:kern w:val="2"/>
                      <w:sz w:val="21"/>
                      <w:szCs w:val="28"/>
                      <w:highlight w:val="none"/>
                      <w:vertAlign w:val="baseline"/>
                      <w:lang w:val="en-US" w:eastAsia="zh-CN" w:bidi="ar-SA"/>
                    </w:rPr>
                    <w:t>浮游动物</w:t>
                  </w:r>
                </w:p>
              </w:tc>
              <w:tc>
                <w:tcPr>
                  <w:tcW w:w="945" w:type="pct"/>
                  <w:noWrap w:val="0"/>
                  <w:vAlign w:val="center"/>
                </w:tcPr>
                <w:p w14:paraId="31E74088">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kern w:val="2"/>
                      <w:sz w:val="21"/>
                      <w:szCs w:val="28"/>
                      <w:highlight w:val="none"/>
                      <w:vertAlign w:val="baseline"/>
                      <w:lang w:val="en-US" w:eastAsia="zh-CN" w:bidi="ar-SA"/>
                    </w:rPr>
                  </w:pPr>
                  <w:r>
                    <w:rPr>
                      <w:rFonts w:hint="default" w:ascii="Times New Roman" w:hAnsi="Times New Roman" w:eastAsia="宋体" w:cs="Times New Roman"/>
                      <w:b/>
                      <w:bCs/>
                      <w:color w:val="000000"/>
                      <w:kern w:val="2"/>
                      <w:sz w:val="21"/>
                      <w:szCs w:val="28"/>
                      <w:highlight w:val="none"/>
                      <w:vertAlign w:val="baseline"/>
                      <w:lang w:val="en-US" w:eastAsia="zh-CN" w:bidi="ar-SA"/>
                    </w:rPr>
                    <w:t>浮游植物</w:t>
                  </w:r>
                </w:p>
              </w:tc>
            </w:tr>
            <w:tr w14:paraId="1AC245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20" w:type="pct"/>
                  <w:noWrap w:val="0"/>
                  <w:vAlign w:val="center"/>
                </w:tcPr>
                <w:p w14:paraId="02236359">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b w:val="0"/>
                      <w:bCs w:val="0"/>
                      <w:i w:val="0"/>
                      <w:iCs w:val="0"/>
                      <w:color w:val="000000"/>
                      <w:kern w:val="2"/>
                      <w:sz w:val="21"/>
                      <w:szCs w:val="28"/>
                      <w:highlight w:val="none"/>
                      <w:lang w:val="en-US" w:eastAsia="zh-CN" w:bidi="ar-SA"/>
                    </w:rPr>
                  </w:pPr>
                  <w:r>
                    <w:rPr>
                      <w:rFonts w:hint="default" w:ascii="Times New Roman" w:hAnsi="Times New Roman" w:eastAsia="宋体" w:cs="Times New Roman"/>
                      <w:b w:val="0"/>
                      <w:bCs w:val="0"/>
                      <w:i w:val="0"/>
                      <w:iCs w:val="0"/>
                      <w:color w:val="000000"/>
                      <w:kern w:val="2"/>
                      <w:sz w:val="21"/>
                      <w:szCs w:val="28"/>
                      <w:highlight w:val="none"/>
                      <w:lang w:val="en-US" w:eastAsia="zh-CN" w:bidi="ar-SA"/>
                    </w:rPr>
                    <w:t>Bi≤1倍</w:t>
                  </w:r>
                </w:p>
              </w:tc>
              <w:tc>
                <w:tcPr>
                  <w:tcW w:w="2225" w:type="dxa"/>
                  <w:noWrap w:val="0"/>
                  <w:vAlign w:val="center"/>
                </w:tcPr>
                <w:p w14:paraId="4DEF5E9F">
                  <w:pPr>
                    <w:keepNext w:val="0"/>
                    <w:keepLines w:val="0"/>
                    <w:widowControl w:val="0"/>
                    <w:suppressLineNumbers w:val="0"/>
                    <w:bidi w:val="0"/>
                    <w:adjustRightInd/>
                    <w:snapToGrid/>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8"/>
                      <w:highlight w:val="none"/>
                      <w:vertAlign w:val="baseline"/>
                      <w:lang w:val="en-US" w:eastAsia="zh-CN" w:bidi="ar-SA"/>
                    </w:rPr>
                  </w:pPr>
                  <w:r>
                    <w:rPr>
                      <w:rFonts w:hint="default" w:ascii="Times New Roman" w:hAnsi="Times New Roman" w:eastAsia="宋体" w:cs="Times New Roman"/>
                      <w:color w:val="000000"/>
                      <w:kern w:val="2"/>
                      <w:sz w:val="21"/>
                      <w:szCs w:val="28"/>
                      <w:highlight w:val="none"/>
                      <w:vertAlign w:val="baseline"/>
                      <w:lang w:val="en-US" w:eastAsia="zh-CN" w:bidi="ar-SA"/>
                    </w:rPr>
                    <w:t>5</w:t>
                  </w:r>
                </w:p>
              </w:tc>
              <w:tc>
                <w:tcPr>
                  <w:tcW w:w="1490" w:type="dxa"/>
                  <w:noWrap w:val="0"/>
                  <w:vAlign w:val="center"/>
                </w:tcPr>
                <w:p w14:paraId="57D3BE9D">
                  <w:pPr>
                    <w:keepNext w:val="0"/>
                    <w:keepLines w:val="0"/>
                    <w:widowControl w:val="0"/>
                    <w:suppressLineNumbers w:val="0"/>
                    <w:bidi w:val="0"/>
                    <w:adjustRightInd/>
                    <w:snapToGrid/>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8"/>
                      <w:highlight w:val="none"/>
                      <w:vertAlign w:val="baseline"/>
                      <w:lang w:val="en-US" w:eastAsia="zh-CN" w:bidi="ar-SA"/>
                    </w:rPr>
                  </w:pPr>
                  <w:r>
                    <w:rPr>
                      <w:rFonts w:hint="default" w:ascii="Times New Roman" w:hAnsi="Times New Roman" w:eastAsia="宋体" w:cs="Times New Roman"/>
                      <w:i w:val="0"/>
                      <w:iCs w:val="0"/>
                      <w:color w:val="000000"/>
                      <w:kern w:val="2"/>
                      <w:sz w:val="21"/>
                      <w:szCs w:val="28"/>
                      <w:highlight w:val="none"/>
                      <w:lang w:val="en-US" w:eastAsia="zh-CN" w:bidi="ar-SA"/>
                    </w:rPr>
                    <w:t>0.5</w:t>
                  </w:r>
                </w:p>
              </w:tc>
              <w:tc>
                <w:tcPr>
                  <w:tcW w:w="1672" w:type="dxa"/>
                  <w:noWrap w:val="0"/>
                  <w:vAlign w:val="center"/>
                </w:tcPr>
                <w:p w14:paraId="4FC88069">
                  <w:pPr>
                    <w:keepNext w:val="0"/>
                    <w:keepLines w:val="0"/>
                    <w:widowControl w:val="0"/>
                    <w:suppressLineNumbers w:val="0"/>
                    <w:bidi w:val="0"/>
                    <w:adjustRightInd/>
                    <w:snapToGrid/>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8"/>
                      <w:highlight w:val="none"/>
                      <w:vertAlign w:val="baseline"/>
                      <w:lang w:val="en-US" w:eastAsia="zh-CN" w:bidi="ar-SA"/>
                    </w:rPr>
                  </w:pPr>
                  <w:r>
                    <w:rPr>
                      <w:rFonts w:hint="default" w:ascii="Times New Roman" w:hAnsi="Times New Roman" w:eastAsia="宋体" w:cs="Times New Roman"/>
                      <w:color w:val="000000"/>
                      <w:kern w:val="2"/>
                      <w:sz w:val="21"/>
                      <w:szCs w:val="28"/>
                      <w:highlight w:val="none"/>
                      <w:vertAlign w:val="baseline"/>
                      <w:lang w:val="en-US" w:eastAsia="zh-CN" w:bidi="ar-SA"/>
                    </w:rPr>
                    <w:t>5</w:t>
                  </w:r>
                </w:p>
              </w:tc>
              <w:tc>
                <w:tcPr>
                  <w:tcW w:w="1740" w:type="dxa"/>
                  <w:noWrap w:val="0"/>
                  <w:vAlign w:val="center"/>
                </w:tcPr>
                <w:p w14:paraId="2D464B76">
                  <w:pPr>
                    <w:keepNext w:val="0"/>
                    <w:keepLines w:val="0"/>
                    <w:widowControl w:val="0"/>
                    <w:suppressLineNumbers w:val="0"/>
                    <w:bidi w:val="0"/>
                    <w:adjustRightInd/>
                    <w:snapToGrid/>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8"/>
                      <w:highlight w:val="none"/>
                      <w:vertAlign w:val="baseline"/>
                      <w:lang w:val="en-US" w:eastAsia="zh-CN" w:bidi="ar-SA"/>
                    </w:rPr>
                  </w:pPr>
                  <w:r>
                    <w:rPr>
                      <w:rFonts w:hint="default" w:ascii="Times New Roman" w:hAnsi="Times New Roman" w:eastAsia="宋体" w:cs="Times New Roman"/>
                      <w:color w:val="000000"/>
                      <w:kern w:val="2"/>
                      <w:sz w:val="21"/>
                      <w:szCs w:val="28"/>
                      <w:highlight w:val="none"/>
                      <w:vertAlign w:val="baseline"/>
                      <w:lang w:val="en-US" w:eastAsia="zh-CN" w:bidi="ar-SA"/>
                    </w:rPr>
                    <w:t>5</w:t>
                  </w:r>
                </w:p>
              </w:tc>
            </w:tr>
            <w:tr w14:paraId="452694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20" w:type="pct"/>
                  <w:noWrap w:val="0"/>
                  <w:vAlign w:val="center"/>
                </w:tcPr>
                <w:p w14:paraId="7FB2AB12">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i w:val="0"/>
                      <w:iCs w:val="0"/>
                      <w:color w:val="000000"/>
                      <w:kern w:val="2"/>
                      <w:sz w:val="21"/>
                      <w:szCs w:val="28"/>
                      <w:highlight w:val="none"/>
                      <w:lang w:val="en-US" w:eastAsia="zh-CN" w:bidi="ar-SA"/>
                    </w:rPr>
                  </w:pPr>
                  <w:r>
                    <w:rPr>
                      <w:rFonts w:hint="default" w:ascii="Times New Roman" w:hAnsi="Times New Roman" w:eastAsia="宋体" w:cs="Times New Roman"/>
                      <w:i w:val="0"/>
                      <w:iCs w:val="0"/>
                      <w:color w:val="000000"/>
                      <w:kern w:val="2"/>
                      <w:sz w:val="21"/>
                      <w:szCs w:val="28"/>
                      <w:highlight w:val="none"/>
                      <w:lang w:val="en-US" w:eastAsia="zh-CN" w:bidi="ar-SA"/>
                    </w:rPr>
                    <w:t>1&lt;</w:t>
                  </w:r>
                  <w:r>
                    <w:rPr>
                      <w:rFonts w:hint="default" w:ascii="Times New Roman" w:hAnsi="Times New Roman" w:eastAsia="宋体" w:cs="Times New Roman"/>
                      <w:b w:val="0"/>
                      <w:bCs w:val="0"/>
                      <w:i w:val="0"/>
                      <w:iCs w:val="0"/>
                      <w:color w:val="000000"/>
                      <w:kern w:val="2"/>
                      <w:sz w:val="21"/>
                      <w:szCs w:val="28"/>
                      <w:highlight w:val="none"/>
                      <w:lang w:val="en-US" w:eastAsia="zh-CN" w:bidi="ar-SA"/>
                    </w:rPr>
                    <w:t>Bi≤4倍</w:t>
                  </w:r>
                </w:p>
              </w:tc>
              <w:tc>
                <w:tcPr>
                  <w:tcW w:w="2225" w:type="dxa"/>
                  <w:noWrap w:val="0"/>
                  <w:vAlign w:val="center"/>
                </w:tcPr>
                <w:p w14:paraId="1EE4D598">
                  <w:pPr>
                    <w:keepNext w:val="0"/>
                    <w:keepLines w:val="0"/>
                    <w:widowControl w:val="0"/>
                    <w:suppressLineNumbers w:val="0"/>
                    <w:bidi w:val="0"/>
                    <w:adjustRightInd/>
                    <w:snapToGrid/>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8"/>
                      <w:highlight w:val="none"/>
                      <w:vertAlign w:val="baseline"/>
                      <w:lang w:val="en-US" w:eastAsia="zh-CN" w:bidi="ar-SA"/>
                    </w:rPr>
                  </w:pPr>
                  <w:r>
                    <w:rPr>
                      <w:rFonts w:hint="default" w:ascii="Times New Roman" w:hAnsi="Times New Roman" w:eastAsia="宋体" w:cs="Times New Roman"/>
                      <w:color w:val="000000"/>
                      <w:kern w:val="2"/>
                      <w:sz w:val="21"/>
                      <w:szCs w:val="28"/>
                      <w:highlight w:val="none"/>
                      <w:vertAlign w:val="baseline"/>
                      <w:lang w:val="en-US" w:eastAsia="zh-CN" w:bidi="ar-SA"/>
                    </w:rPr>
                    <w:t>17.5</w:t>
                  </w:r>
                </w:p>
              </w:tc>
              <w:tc>
                <w:tcPr>
                  <w:tcW w:w="1490" w:type="dxa"/>
                  <w:noWrap w:val="0"/>
                  <w:vAlign w:val="center"/>
                </w:tcPr>
                <w:p w14:paraId="4A8FBACD">
                  <w:pPr>
                    <w:keepNext w:val="0"/>
                    <w:keepLines w:val="0"/>
                    <w:widowControl w:val="0"/>
                    <w:suppressLineNumbers w:val="0"/>
                    <w:bidi w:val="0"/>
                    <w:adjustRightInd/>
                    <w:snapToGrid/>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8"/>
                      <w:highlight w:val="none"/>
                      <w:vertAlign w:val="baseline"/>
                      <w:lang w:val="en-US" w:eastAsia="zh-CN" w:bidi="ar-SA"/>
                    </w:rPr>
                  </w:pPr>
                  <w:r>
                    <w:rPr>
                      <w:rFonts w:hint="default" w:ascii="Times New Roman" w:hAnsi="Times New Roman" w:eastAsia="宋体" w:cs="Times New Roman"/>
                      <w:color w:val="000000"/>
                      <w:kern w:val="2"/>
                      <w:sz w:val="21"/>
                      <w:szCs w:val="28"/>
                      <w:highlight w:val="none"/>
                      <w:vertAlign w:val="baseline"/>
                      <w:lang w:val="en-US" w:eastAsia="zh-CN" w:bidi="ar-SA"/>
                    </w:rPr>
                    <w:t>5.5</w:t>
                  </w:r>
                </w:p>
              </w:tc>
              <w:tc>
                <w:tcPr>
                  <w:tcW w:w="1672" w:type="dxa"/>
                  <w:noWrap w:val="0"/>
                  <w:vAlign w:val="center"/>
                </w:tcPr>
                <w:p w14:paraId="21574C57">
                  <w:pPr>
                    <w:keepNext w:val="0"/>
                    <w:keepLines w:val="0"/>
                    <w:widowControl w:val="0"/>
                    <w:suppressLineNumbers w:val="0"/>
                    <w:bidi w:val="0"/>
                    <w:adjustRightInd/>
                    <w:snapToGrid/>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8"/>
                      <w:highlight w:val="none"/>
                      <w:vertAlign w:val="baseline"/>
                      <w:lang w:val="en-US" w:eastAsia="zh-CN" w:bidi="ar-SA"/>
                    </w:rPr>
                  </w:pPr>
                  <w:r>
                    <w:rPr>
                      <w:rFonts w:hint="default" w:ascii="Times New Roman" w:hAnsi="Times New Roman" w:eastAsia="宋体" w:cs="Times New Roman"/>
                      <w:color w:val="000000"/>
                      <w:kern w:val="2"/>
                      <w:sz w:val="21"/>
                      <w:szCs w:val="28"/>
                      <w:highlight w:val="none"/>
                      <w:vertAlign w:val="baseline"/>
                      <w:lang w:val="en-US" w:eastAsia="zh-CN" w:bidi="ar-SA"/>
                    </w:rPr>
                    <w:t>20</w:t>
                  </w:r>
                </w:p>
              </w:tc>
              <w:tc>
                <w:tcPr>
                  <w:tcW w:w="1740" w:type="dxa"/>
                  <w:noWrap w:val="0"/>
                  <w:vAlign w:val="center"/>
                </w:tcPr>
                <w:p w14:paraId="21A954CE">
                  <w:pPr>
                    <w:keepNext w:val="0"/>
                    <w:keepLines w:val="0"/>
                    <w:widowControl w:val="0"/>
                    <w:suppressLineNumbers w:val="0"/>
                    <w:bidi w:val="0"/>
                    <w:adjustRightInd/>
                    <w:snapToGrid/>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8"/>
                      <w:highlight w:val="none"/>
                      <w:vertAlign w:val="baseline"/>
                      <w:lang w:val="en-US" w:eastAsia="zh-CN" w:bidi="ar-SA"/>
                    </w:rPr>
                  </w:pPr>
                  <w:r>
                    <w:rPr>
                      <w:rFonts w:hint="default" w:ascii="Times New Roman" w:hAnsi="Times New Roman" w:eastAsia="宋体" w:cs="Times New Roman"/>
                      <w:color w:val="000000"/>
                      <w:kern w:val="2"/>
                      <w:sz w:val="21"/>
                      <w:szCs w:val="28"/>
                      <w:highlight w:val="none"/>
                      <w:vertAlign w:val="baseline"/>
                      <w:lang w:val="en-US" w:eastAsia="zh-CN" w:bidi="ar-SA"/>
                    </w:rPr>
                    <w:t>20</w:t>
                  </w:r>
                </w:p>
              </w:tc>
            </w:tr>
            <w:tr w14:paraId="5AF994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20" w:type="pct"/>
                  <w:noWrap w:val="0"/>
                  <w:vAlign w:val="center"/>
                </w:tcPr>
                <w:p w14:paraId="7A940B88">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i w:val="0"/>
                      <w:iCs w:val="0"/>
                      <w:color w:val="000000"/>
                      <w:kern w:val="2"/>
                      <w:sz w:val="21"/>
                      <w:szCs w:val="28"/>
                      <w:highlight w:val="none"/>
                      <w:lang w:val="en-US" w:eastAsia="zh-CN" w:bidi="ar-SA"/>
                    </w:rPr>
                  </w:pPr>
                  <w:r>
                    <w:rPr>
                      <w:rFonts w:hint="default" w:ascii="Times New Roman" w:hAnsi="Times New Roman" w:eastAsia="宋体" w:cs="Times New Roman"/>
                      <w:i w:val="0"/>
                      <w:iCs w:val="0"/>
                      <w:color w:val="000000"/>
                      <w:kern w:val="2"/>
                      <w:sz w:val="21"/>
                      <w:szCs w:val="28"/>
                      <w:highlight w:val="none"/>
                      <w:lang w:val="en-US" w:eastAsia="zh-CN" w:bidi="ar-SA"/>
                    </w:rPr>
                    <w:t>4&lt;</w:t>
                  </w:r>
                  <w:r>
                    <w:rPr>
                      <w:rFonts w:hint="default" w:ascii="Times New Roman" w:hAnsi="Times New Roman" w:eastAsia="宋体" w:cs="Times New Roman"/>
                      <w:b w:val="0"/>
                      <w:bCs w:val="0"/>
                      <w:i w:val="0"/>
                      <w:iCs w:val="0"/>
                      <w:color w:val="000000"/>
                      <w:kern w:val="2"/>
                      <w:sz w:val="21"/>
                      <w:szCs w:val="28"/>
                      <w:highlight w:val="none"/>
                      <w:lang w:val="en-US" w:eastAsia="zh-CN" w:bidi="ar-SA"/>
                    </w:rPr>
                    <w:t>Bi≤9倍</w:t>
                  </w:r>
                </w:p>
              </w:tc>
              <w:tc>
                <w:tcPr>
                  <w:tcW w:w="2225" w:type="dxa"/>
                  <w:noWrap w:val="0"/>
                  <w:vAlign w:val="center"/>
                </w:tcPr>
                <w:p w14:paraId="3927AD53">
                  <w:pPr>
                    <w:keepNext w:val="0"/>
                    <w:keepLines w:val="0"/>
                    <w:widowControl w:val="0"/>
                    <w:suppressLineNumbers w:val="0"/>
                    <w:bidi w:val="0"/>
                    <w:adjustRightInd/>
                    <w:snapToGrid/>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8"/>
                      <w:highlight w:val="none"/>
                      <w:vertAlign w:val="baseline"/>
                      <w:lang w:val="en-US" w:eastAsia="zh-CN" w:bidi="ar-SA"/>
                    </w:rPr>
                  </w:pPr>
                  <w:r>
                    <w:rPr>
                      <w:rFonts w:hint="default" w:ascii="Times New Roman" w:hAnsi="Times New Roman" w:eastAsia="宋体" w:cs="Times New Roman"/>
                      <w:color w:val="000000"/>
                      <w:kern w:val="2"/>
                      <w:sz w:val="21"/>
                      <w:szCs w:val="28"/>
                      <w:highlight w:val="none"/>
                      <w:vertAlign w:val="baseline"/>
                      <w:lang w:val="en-US" w:eastAsia="zh-CN" w:bidi="ar-SA"/>
                    </w:rPr>
                    <w:t>40</w:t>
                  </w:r>
                </w:p>
              </w:tc>
              <w:tc>
                <w:tcPr>
                  <w:tcW w:w="1490" w:type="dxa"/>
                  <w:noWrap w:val="0"/>
                  <w:vAlign w:val="center"/>
                </w:tcPr>
                <w:p w14:paraId="027E1789">
                  <w:pPr>
                    <w:keepNext w:val="0"/>
                    <w:keepLines w:val="0"/>
                    <w:widowControl w:val="0"/>
                    <w:suppressLineNumbers w:val="0"/>
                    <w:bidi w:val="0"/>
                    <w:adjustRightInd/>
                    <w:snapToGrid/>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8"/>
                      <w:highlight w:val="none"/>
                      <w:vertAlign w:val="baseline"/>
                      <w:lang w:val="en-US" w:eastAsia="zh-CN" w:bidi="ar-SA"/>
                    </w:rPr>
                  </w:pPr>
                  <w:r>
                    <w:rPr>
                      <w:rFonts w:hint="default" w:ascii="Times New Roman" w:hAnsi="Times New Roman" w:eastAsia="宋体" w:cs="Times New Roman"/>
                      <w:color w:val="000000"/>
                      <w:kern w:val="2"/>
                      <w:sz w:val="21"/>
                      <w:szCs w:val="28"/>
                      <w:highlight w:val="none"/>
                      <w:vertAlign w:val="baseline"/>
                      <w:lang w:val="en-US" w:eastAsia="zh-CN" w:bidi="ar-SA"/>
                    </w:rPr>
                    <w:t>15</w:t>
                  </w:r>
                </w:p>
              </w:tc>
              <w:tc>
                <w:tcPr>
                  <w:tcW w:w="1672" w:type="dxa"/>
                  <w:noWrap w:val="0"/>
                  <w:vAlign w:val="center"/>
                </w:tcPr>
                <w:p w14:paraId="34819671">
                  <w:pPr>
                    <w:keepNext w:val="0"/>
                    <w:keepLines w:val="0"/>
                    <w:widowControl w:val="0"/>
                    <w:suppressLineNumbers w:val="0"/>
                    <w:bidi w:val="0"/>
                    <w:adjustRightInd/>
                    <w:snapToGrid/>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8"/>
                      <w:highlight w:val="none"/>
                      <w:vertAlign w:val="baseline"/>
                      <w:lang w:val="en-US" w:eastAsia="zh-CN" w:bidi="ar-SA"/>
                    </w:rPr>
                  </w:pPr>
                  <w:r>
                    <w:rPr>
                      <w:rFonts w:hint="default" w:ascii="Times New Roman" w:hAnsi="Times New Roman" w:eastAsia="宋体" w:cs="Times New Roman"/>
                      <w:color w:val="000000"/>
                      <w:kern w:val="2"/>
                      <w:sz w:val="21"/>
                      <w:szCs w:val="28"/>
                      <w:highlight w:val="none"/>
                      <w:vertAlign w:val="baseline"/>
                      <w:lang w:val="en-US" w:eastAsia="zh-CN" w:bidi="ar-SA"/>
                    </w:rPr>
                    <w:t>40</w:t>
                  </w:r>
                </w:p>
              </w:tc>
              <w:tc>
                <w:tcPr>
                  <w:tcW w:w="1740" w:type="dxa"/>
                  <w:noWrap w:val="0"/>
                  <w:vAlign w:val="center"/>
                </w:tcPr>
                <w:p w14:paraId="0CBDFBF6">
                  <w:pPr>
                    <w:keepNext w:val="0"/>
                    <w:keepLines w:val="0"/>
                    <w:widowControl w:val="0"/>
                    <w:suppressLineNumbers w:val="0"/>
                    <w:bidi w:val="0"/>
                    <w:adjustRightInd/>
                    <w:snapToGrid/>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8"/>
                      <w:highlight w:val="none"/>
                      <w:vertAlign w:val="baseline"/>
                      <w:lang w:val="en-US" w:eastAsia="zh-CN" w:bidi="ar-SA"/>
                    </w:rPr>
                  </w:pPr>
                  <w:r>
                    <w:rPr>
                      <w:rFonts w:hint="default" w:ascii="Times New Roman" w:hAnsi="Times New Roman" w:eastAsia="宋体" w:cs="Times New Roman"/>
                      <w:color w:val="000000"/>
                      <w:kern w:val="2"/>
                      <w:sz w:val="21"/>
                      <w:szCs w:val="28"/>
                      <w:highlight w:val="none"/>
                      <w:vertAlign w:val="baseline"/>
                      <w:lang w:val="en-US" w:eastAsia="zh-CN" w:bidi="ar-SA"/>
                    </w:rPr>
                    <w:t>40</w:t>
                  </w:r>
                </w:p>
              </w:tc>
            </w:tr>
            <w:tr w14:paraId="6C57F1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20" w:type="pct"/>
                  <w:noWrap w:val="0"/>
                  <w:vAlign w:val="center"/>
                </w:tcPr>
                <w:p w14:paraId="23923F27">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b w:val="0"/>
                      <w:bCs w:val="0"/>
                      <w:i w:val="0"/>
                      <w:iCs w:val="0"/>
                      <w:color w:val="000000"/>
                      <w:kern w:val="2"/>
                      <w:sz w:val="21"/>
                      <w:szCs w:val="28"/>
                      <w:highlight w:val="none"/>
                      <w:lang w:val="en-US" w:eastAsia="zh-CN" w:bidi="ar-SA"/>
                    </w:rPr>
                  </w:pPr>
                  <w:r>
                    <w:rPr>
                      <w:rFonts w:hint="default" w:ascii="Times New Roman" w:hAnsi="Times New Roman" w:eastAsia="宋体" w:cs="Times New Roman"/>
                      <w:b w:val="0"/>
                      <w:bCs w:val="0"/>
                      <w:i w:val="0"/>
                      <w:iCs w:val="0"/>
                      <w:color w:val="000000"/>
                      <w:kern w:val="2"/>
                      <w:sz w:val="21"/>
                      <w:szCs w:val="28"/>
                      <w:highlight w:val="none"/>
                      <w:lang w:val="en-US" w:eastAsia="zh-CN" w:bidi="ar-SA"/>
                    </w:rPr>
                    <w:t>Bi</w:t>
                  </w:r>
                  <w:r>
                    <w:rPr>
                      <w:rFonts w:hint="default" w:ascii="Times New Roman" w:hAnsi="Times New Roman" w:eastAsia="宋体" w:cs="Times New Roman"/>
                      <w:i w:val="0"/>
                      <w:iCs w:val="0"/>
                      <w:color w:val="000000"/>
                      <w:kern w:val="2"/>
                      <w:sz w:val="21"/>
                      <w:szCs w:val="28"/>
                      <w:highlight w:val="none"/>
                      <w:lang w:val="en-US" w:eastAsia="zh-CN" w:bidi="ar-SA"/>
                    </w:rPr>
                    <w:t>≥</w:t>
                  </w:r>
                  <w:r>
                    <w:rPr>
                      <w:rFonts w:hint="default" w:ascii="Times New Roman" w:hAnsi="Times New Roman" w:eastAsia="宋体" w:cs="Times New Roman"/>
                      <w:b w:val="0"/>
                      <w:bCs w:val="0"/>
                      <w:i w:val="0"/>
                      <w:iCs w:val="0"/>
                      <w:color w:val="000000"/>
                      <w:kern w:val="2"/>
                      <w:sz w:val="21"/>
                      <w:szCs w:val="28"/>
                      <w:highlight w:val="none"/>
                      <w:lang w:val="en-US" w:eastAsia="zh-CN" w:bidi="ar-SA"/>
                    </w:rPr>
                    <w:t>9倍</w:t>
                  </w:r>
                </w:p>
              </w:tc>
              <w:tc>
                <w:tcPr>
                  <w:tcW w:w="2225" w:type="dxa"/>
                  <w:noWrap w:val="0"/>
                  <w:vAlign w:val="center"/>
                </w:tcPr>
                <w:p w14:paraId="78E3A4D5">
                  <w:pPr>
                    <w:keepNext w:val="0"/>
                    <w:keepLines w:val="0"/>
                    <w:widowControl w:val="0"/>
                    <w:suppressLineNumbers w:val="0"/>
                    <w:bidi w:val="0"/>
                    <w:adjustRightInd/>
                    <w:snapToGrid/>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8"/>
                      <w:highlight w:val="none"/>
                      <w:vertAlign w:val="baseline"/>
                      <w:lang w:val="en-US" w:eastAsia="zh-CN" w:bidi="ar-SA"/>
                    </w:rPr>
                  </w:pPr>
                  <w:r>
                    <w:rPr>
                      <w:rFonts w:hint="default" w:ascii="Times New Roman" w:hAnsi="Times New Roman" w:eastAsia="宋体" w:cs="Times New Roman"/>
                      <w:color w:val="000000"/>
                      <w:kern w:val="2"/>
                      <w:sz w:val="21"/>
                      <w:szCs w:val="28"/>
                      <w:highlight w:val="none"/>
                      <w:vertAlign w:val="baseline"/>
                      <w:lang w:val="en-US" w:eastAsia="zh-CN" w:bidi="ar-SA"/>
                    </w:rPr>
                    <w:t>50</w:t>
                  </w:r>
                </w:p>
              </w:tc>
              <w:tc>
                <w:tcPr>
                  <w:tcW w:w="1490" w:type="dxa"/>
                  <w:noWrap w:val="0"/>
                  <w:vAlign w:val="center"/>
                </w:tcPr>
                <w:p w14:paraId="07F9F000">
                  <w:pPr>
                    <w:keepNext w:val="0"/>
                    <w:keepLines w:val="0"/>
                    <w:widowControl w:val="0"/>
                    <w:suppressLineNumbers w:val="0"/>
                    <w:bidi w:val="0"/>
                    <w:adjustRightInd/>
                    <w:snapToGrid/>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8"/>
                      <w:highlight w:val="none"/>
                      <w:vertAlign w:val="baseline"/>
                      <w:lang w:val="en-US" w:eastAsia="zh-CN" w:bidi="ar-SA"/>
                    </w:rPr>
                  </w:pPr>
                  <w:r>
                    <w:rPr>
                      <w:rFonts w:hint="default" w:ascii="Times New Roman" w:hAnsi="Times New Roman" w:eastAsia="宋体" w:cs="Times New Roman"/>
                      <w:color w:val="000000"/>
                      <w:kern w:val="2"/>
                      <w:sz w:val="21"/>
                      <w:szCs w:val="28"/>
                      <w:highlight w:val="none"/>
                      <w:vertAlign w:val="baseline"/>
                      <w:lang w:val="en-US" w:eastAsia="zh-CN" w:bidi="ar-SA"/>
                    </w:rPr>
                    <w:t>20</w:t>
                  </w:r>
                </w:p>
              </w:tc>
              <w:tc>
                <w:tcPr>
                  <w:tcW w:w="1672" w:type="dxa"/>
                  <w:noWrap w:val="0"/>
                  <w:vAlign w:val="center"/>
                </w:tcPr>
                <w:p w14:paraId="42907C68">
                  <w:pPr>
                    <w:keepNext w:val="0"/>
                    <w:keepLines w:val="0"/>
                    <w:widowControl w:val="0"/>
                    <w:suppressLineNumbers w:val="0"/>
                    <w:bidi w:val="0"/>
                    <w:adjustRightInd/>
                    <w:snapToGrid/>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8"/>
                      <w:highlight w:val="none"/>
                      <w:vertAlign w:val="baseline"/>
                      <w:lang w:val="en-US" w:eastAsia="zh-CN" w:bidi="ar-SA"/>
                    </w:rPr>
                  </w:pPr>
                  <w:r>
                    <w:rPr>
                      <w:rFonts w:hint="default" w:ascii="Times New Roman" w:hAnsi="Times New Roman" w:eastAsia="宋体" w:cs="Times New Roman"/>
                      <w:color w:val="000000"/>
                      <w:kern w:val="2"/>
                      <w:sz w:val="21"/>
                      <w:szCs w:val="28"/>
                      <w:highlight w:val="none"/>
                      <w:vertAlign w:val="baseline"/>
                      <w:lang w:val="en-US" w:eastAsia="zh-CN" w:bidi="ar-SA"/>
                    </w:rPr>
                    <w:t>50</w:t>
                  </w:r>
                </w:p>
              </w:tc>
              <w:tc>
                <w:tcPr>
                  <w:tcW w:w="1740" w:type="dxa"/>
                  <w:noWrap w:val="0"/>
                  <w:vAlign w:val="center"/>
                </w:tcPr>
                <w:p w14:paraId="289245A2">
                  <w:pPr>
                    <w:keepNext w:val="0"/>
                    <w:keepLines w:val="0"/>
                    <w:widowControl w:val="0"/>
                    <w:suppressLineNumbers w:val="0"/>
                    <w:bidi w:val="0"/>
                    <w:adjustRightInd/>
                    <w:snapToGrid/>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8"/>
                      <w:highlight w:val="none"/>
                      <w:vertAlign w:val="baseline"/>
                      <w:lang w:val="en-US" w:eastAsia="zh-CN" w:bidi="ar-SA"/>
                    </w:rPr>
                  </w:pPr>
                  <w:r>
                    <w:rPr>
                      <w:rFonts w:hint="default" w:ascii="Times New Roman" w:hAnsi="Times New Roman" w:eastAsia="宋体" w:cs="Times New Roman"/>
                      <w:color w:val="000000"/>
                      <w:kern w:val="2"/>
                      <w:sz w:val="21"/>
                      <w:szCs w:val="28"/>
                      <w:highlight w:val="none"/>
                      <w:vertAlign w:val="baseline"/>
                      <w:lang w:val="en-US" w:eastAsia="zh-CN" w:bidi="ar-SA"/>
                    </w:rPr>
                    <w:t>50</w:t>
                  </w:r>
                </w:p>
              </w:tc>
            </w:tr>
          </w:tbl>
          <w:p w14:paraId="1AF0B561">
            <w:pPr>
              <w:ind w:firstLine="480"/>
              <w:rPr>
                <w:rFonts w:hint="default" w:ascii="Times New Roman" w:hAnsi="Times New Roman" w:cs="Times New Roman"/>
                <w:b/>
                <w:bCs/>
                <w:color w:val="000000"/>
                <w:highlight w:val="none"/>
                <w:u w:val="none"/>
                <w:lang w:val="en-US" w:eastAsia="zh-CN"/>
              </w:rPr>
            </w:pPr>
            <w:r>
              <w:rPr>
                <w:rFonts w:hint="default" w:ascii="Times New Roman" w:hAnsi="Times New Roman" w:cs="Times New Roman"/>
                <w:b/>
                <w:bCs/>
                <w:color w:val="000000"/>
                <w:highlight w:val="none"/>
                <w:u w:val="none"/>
                <w:lang w:val="en-US" w:eastAsia="zh-CN"/>
              </w:rPr>
              <w:t>②持续性损害受损量评估</w:t>
            </w:r>
          </w:p>
          <w:p w14:paraId="52D6EF05">
            <w:pPr>
              <w:ind w:firstLine="480"/>
              <w:rPr>
                <w:rFonts w:hint="default" w:ascii="Times New Roman" w:hAnsi="Times New Roman" w:cs="Times New Roman"/>
                <w:color w:val="000000"/>
                <w:highlight w:val="none"/>
                <w:u w:val="none"/>
              </w:rPr>
            </w:pPr>
            <w:r>
              <w:rPr>
                <w:rFonts w:hint="default" w:ascii="Times New Roman" w:hAnsi="Times New Roman" w:cs="Times New Roman"/>
                <w:color w:val="000000"/>
                <w:highlight w:val="none"/>
                <w:u w:val="none"/>
                <w:lang w:val="en-US" w:eastAsia="zh-CN"/>
              </w:rPr>
              <w:t>当污染物浓度增量区域存在时间超过15d时，应计算生物资源的累计损害量。计算以年为单位的生物资源的累计损害量公式如下：</w:t>
            </w:r>
          </w:p>
          <w:p w14:paraId="52CEC395">
            <w:pPr>
              <w:ind w:firstLine="480"/>
              <w:jc w:val="center"/>
              <w:rPr>
                <w:rFonts w:hint="default" w:ascii="Times New Roman" w:hAnsi="Times New Roman" w:cs="Times New Roman"/>
                <w:color w:val="000000"/>
                <w:highlight w:val="none"/>
                <w:u w:val="none"/>
                <w:lang w:val="en-US" w:eastAsia="zh-CN"/>
              </w:rPr>
            </w:pPr>
            <w:r>
              <w:rPr>
                <w:rFonts w:hint="default" w:ascii="Times New Roman" w:hAnsi="Times New Roman" w:cs="Times New Roman"/>
                <w:color w:val="000000"/>
                <w:position w:val="-12"/>
                <w:highlight w:val="none"/>
                <w:u w:val="none"/>
              </w:rPr>
              <w:object>
                <v:shape id="_x0000_i1071" o:spt="75" type="#_x0000_t75" style="height:18.1pt;width:59pt;" o:ole="t" filled="f" o:preferrelative="t" stroked="f" coordsize="21600,21600">
                  <v:path/>
                  <v:fill on="f" focussize="0,0"/>
                  <v:stroke on="f"/>
                  <v:imagedata r:id="rId123" o:title=""/>
                  <o:lock v:ext="edit" aspectratio="t"/>
                  <w10:wrap type="none"/>
                  <w10:anchorlock/>
                </v:shape>
                <o:OLEObject Type="Embed" ProgID="Equation.KSEE3" ShapeID="_x0000_i1071" DrawAspect="Content" ObjectID="_1468075772" r:id="rId122">
                  <o:LockedField>false</o:LockedField>
                </o:OLEObject>
              </w:object>
            </w:r>
          </w:p>
          <w:p w14:paraId="61FEFFD1">
            <w:pPr>
              <w:ind w:firstLine="480"/>
              <w:rPr>
                <w:rFonts w:hint="default" w:ascii="Times New Roman" w:hAnsi="Times New Roman" w:cs="Times New Roman"/>
                <w:color w:val="000000"/>
                <w:highlight w:val="none"/>
                <w:u w:val="none"/>
              </w:rPr>
            </w:pPr>
            <w:r>
              <w:rPr>
                <w:rFonts w:hint="default" w:ascii="Times New Roman" w:hAnsi="Times New Roman" w:cs="Times New Roman"/>
                <w:color w:val="000000"/>
                <w:highlight w:val="none"/>
                <w:u w:val="none"/>
              </w:rPr>
              <w:t>式中：</w:t>
            </w:r>
            <w:r>
              <w:rPr>
                <w:rFonts w:hint="default" w:ascii="Times New Roman" w:hAnsi="Times New Roman" w:cs="Times New Roman"/>
                <w:i/>
                <w:iCs/>
                <w:color w:val="000000"/>
                <w:highlight w:val="none"/>
                <w:u w:val="none"/>
                <w:lang w:val="en-US" w:eastAsia="zh-CN"/>
              </w:rPr>
              <w:t>M</w:t>
            </w:r>
            <w:r>
              <w:rPr>
                <w:rFonts w:hint="default" w:ascii="Times New Roman" w:hAnsi="Times New Roman" w:cs="Times New Roman"/>
                <w:i/>
                <w:iCs/>
                <w:color w:val="000000"/>
                <w:highlight w:val="none"/>
                <w:u w:val="none"/>
                <w:vertAlign w:val="subscript"/>
              </w:rPr>
              <w:t>i</w:t>
            </w:r>
            <w:r>
              <w:rPr>
                <w:rFonts w:hint="default" w:ascii="Times New Roman" w:hAnsi="Times New Roman" w:cs="Times New Roman"/>
                <w:color w:val="000000"/>
                <w:highlight w:val="none"/>
                <w:u w:val="none"/>
              </w:rPr>
              <w:t>——第</w:t>
            </w:r>
            <w:r>
              <w:rPr>
                <w:rFonts w:hint="default" w:ascii="Times New Roman" w:hAnsi="Times New Roman" w:cs="Times New Roman"/>
                <w:i/>
                <w:iCs/>
                <w:color w:val="000000"/>
                <w:highlight w:val="none"/>
                <w:u w:val="none"/>
              </w:rPr>
              <w:t>i</w:t>
            </w:r>
            <w:r>
              <w:rPr>
                <w:rFonts w:hint="default" w:ascii="Times New Roman" w:hAnsi="Times New Roman" w:cs="Times New Roman"/>
                <w:color w:val="000000"/>
                <w:highlight w:val="none"/>
                <w:u w:val="none"/>
              </w:rPr>
              <w:t>种类生物资源累计损害量</w:t>
            </w:r>
            <w:r>
              <w:rPr>
                <w:rFonts w:hint="default" w:ascii="Times New Roman" w:hAnsi="Times New Roman" w:cs="Times New Roman"/>
                <w:color w:val="000000"/>
                <w:highlight w:val="none"/>
                <w:u w:val="none"/>
                <w:lang w:eastAsia="zh-CN"/>
              </w:rPr>
              <w:t>，</w:t>
            </w:r>
            <w:r>
              <w:rPr>
                <w:rFonts w:hint="default" w:ascii="Times New Roman" w:hAnsi="Times New Roman" w:cs="Times New Roman"/>
                <w:color w:val="000000"/>
                <w:highlight w:val="none"/>
                <w:u w:val="none"/>
                <w:lang w:val="en-US" w:eastAsia="zh-CN"/>
              </w:rPr>
              <w:t>单位为尾、个、kg</w:t>
            </w:r>
            <w:r>
              <w:rPr>
                <w:rFonts w:hint="default" w:ascii="Times New Roman" w:hAnsi="Times New Roman" w:cs="Times New Roman"/>
                <w:color w:val="000000"/>
                <w:highlight w:val="none"/>
                <w:u w:val="none"/>
              </w:rPr>
              <w:t>；</w:t>
            </w:r>
          </w:p>
          <w:p w14:paraId="36E16DEA">
            <w:pPr>
              <w:ind w:firstLine="1200" w:firstLineChars="500"/>
              <w:rPr>
                <w:rFonts w:hint="default" w:ascii="Times New Roman" w:hAnsi="Times New Roman" w:eastAsia="宋体" w:cs="Times New Roman"/>
                <w:i/>
                <w:iCs/>
                <w:color w:val="000000"/>
                <w:highlight w:val="none"/>
                <w:u w:val="none"/>
                <w:lang w:eastAsia="zh-CN"/>
              </w:rPr>
            </w:pPr>
            <w:r>
              <w:rPr>
                <w:rFonts w:hint="default" w:ascii="Times New Roman" w:hAnsi="Times New Roman" w:cs="Times New Roman"/>
                <w:i/>
                <w:iCs/>
                <w:color w:val="000000"/>
                <w:highlight w:val="none"/>
                <w:u w:val="none"/>
                <w:lang w:val="en-US" w:eastAsia="zh-CN"/>
              </w:rPr>
              <w:t>W</w:t>
            </w:r>
            <w:r>
              <w:rPr>
                <w:rFonts w:hint="default" w:ascii="Times New Roman" w:hAnsi="Times New Roman" w:cs="Times New Roman"/>
                <w:i/>
                <w:iCs/>
                <w:color w:val="000000"/>
                <w:highlight w:val="none"/>
                <w:u w:val="none"/>
                <w:vertAlign w:val="subscript"/>
              </w:rPr>
              <w:t>i</w:t>
            </w:r>
            <w:r>
              <w:rPr>
                <w:rFonts w:hint="default" w:ascii="Times New Roman" w:hAnsi="Times New Roman" w:cs="Times New Roman"/>
                <w:color w:val="000000"/>
                <w:highlight w:val="none"/>
                <w:u w:val="none"/>
              </w:rPr>
              <w:t>——</w:t>
            </w:r>
            <w:r>
              <w:rPr>
                <w:rFonts w:hint="default" w:ascii="Times New Roman" w:hAnsi="Times New Roman" w:cs="Times New Roman"/>
                <w:i w:val="0"/>
                <w:iCs w:val="0"/>
                <w:color w:val="000000"/>
                <w:highlight w:val="none"/>
                <w:u w:val="none"/>
              </w:rPr>
              <w:t>第</w:t>
            </w:r>
            <w:r>
              <w:rPr>
                <w:rFonts w:hint="default" w:ascii="Times New Roman" w:hAnsi="Times New Roman" w:cs="Times New Roman"/>
                <w:i/>
                <w:iCs/>
                <w:color w:val="000000"/>
                <w:highlight w:val="none"/>
                <w:u w:val="none"/>
              </w:rPr>
              <w:t>i</w:t>
            </w:r>
            <w:r>
              <w:rPr>
                <w:rFonts w:hint="default" w:ascii="Times New Roman" w:hAnsi="Times New Roman" w:cs="Times New Roman"/>
                <w:i w:val="0"/>
                <w:iCs w:val="0"/>
                <w:color w:val="000000"/>
                <w:highlight w:val="none"/>
                <w:u w:val="none"/>
              </w:rPr>
              <w:t>种类生物资源一次平均损害量</w:t>
            </w:r>
            <w:r>
              <w:rPr>
                <w:rFonts w:hint="default" w:ascii="Times New Roman" w:hAnsi="Times New Roman" w:cs="Times New Roman"/>
                <w:i w:val="0"/>
                <w:iCs w:val="0"/>
                <w:color w:val="000000"/>
                <w:highlight w:val="none"/>
                <w:u w:val="none"/>
                <w:lang w:eastAsia="zh-CN"/>
              </w:rPr>
              <w:t>，</w:t>
            </w:r>
            <w:r>
              <w:rPr>
                <w:rFonts w:hint="default" w:ascii="Times New Roman" w:hAnsi="Times New Roman" w:cs="Times New Roman"/>
                <w:i w:val="0"/>
                <w:iCs w:val="0"/>
                <w:color w:val="000000"/>
                <w:highlight w:val="none"/>
                <w:u w:val="none"/>
                <w:lang w:val="en-US" w:eastAsia="zh-CN"/>
              </w:rPr>
              <w:t>单位为</w:t>
            </w:r>
            <w:r>
              <w:rPr>
                <w:rFonts w:hint="default" w:ascii="Times New Roman" w:hAnsi="Times New Roman" w:cs="Times New Roman"/>
                <w:color w:val="000000"/>
                <w:highlight w:val="none"/>
                <w:u w:val="none"/>
                <w:lang w:val="en-US" w:eastAsia="zh-CN"/>
              </w:rPr>
              <w:t>尾</w:t>
            </w:r>
            <w:r>
              <w:rPr>
                <w:rFonts w:hint="default" w:ascii="Times New Roman" w:hAnsi="Times New Roman" w:cs="Times New Roman"/>
                <w:i w:val="0"/>
                <w:iCs w:val="0"/>
                <w:color w:val="000000"/>
                <w:highlight w:val="none"/>
                <w:u w:val="none"/>
                <w:lang w:val="en-US" w:eastAsia="zh-CN"/>
              </w:rPr>
              <w:t>、</w:t>
            </w:r>
            <w:r>
              <w:rPr>
                <w:rFonts w:hint="default" w:ascii="Times New Roman" w:hAnsi="Times New Roman" w:cs="Times New Roman"/>
                <w:color w:val="000000"/>
                <w:highlight w:val="none"/>
                <w:u w:val="none"/>
                <w:lang w:val="en-US" w:eastAsia="zh-CN"/>
              </w:rPr>
              <w:t>个</w:t>
            </w:r>
            <w:r>
              <w:rPr>
                <w:rFonts w:hint="default" w:ascii="Times New Roman" w:hAnsi="Times New Roman" w:cs="Times New Roman"/>
                <w:i w:val="0"/>
                <w:iCs w:val="0"/>
                <w:color w:val="000000"/>
                <w:highlight w:val="none"/>
                <w:u w:val="none"/>
                <w:lang w:val="en-US" w:eastAsia="zh-CN"/>
              </w:rPr>
              <w:t>、</w:t>
            </w:r>
            <w:r>
              <w:rPr>
                <w:rFonts w:hint="default" w:ascii="Times New Roman" w:hAnsi="Times New Roman" w:cs="Times New Roman"/>
                <w:color w:val="000000"/>
                <w:highlight w:val="none"/>
                <w:u w:val="none"/>
                <w:lang w:val="en-US" w:eastAsia="zh-CN"/>
              </w:rPr>
              <w:t>kg</w:t>
            </w:r>
            <w:r>
              <w:rPr>
                <w:rFonts w:hint="default" w:ascii="Times New Roman" w:hAnsi="Times New Roman" w:cs="Times New Roman"/>
                <w:i w:val="0"/>
                <w:iCs w:val="0"/>
                <w:color w:val="000000"/>
                <w:highlight w:val="none"/>
                <w:u w:val="none"/>
                <w:lang w:eastAsia="zh-CN"/>
              </w:rPr>
              <w:t>；</w:t>
            </w:r>
          </w:p>
          <w:p w14:paraId="063E6A02">
            <w:pPr>
              <w:keepNext w:val="0"/>
              <w:keepLines w:val="0"/>
              <w:pageBreakBefore w:val="0"/>
              <w:widowControl w:val="0"/>
              <w:kinsoku/>
              <w:wordWrap/>
              <w:overflowPunct/>
              <w:topLinePunct w:val="0"/>
              <w:autoSpaceDE/>
              <w:autoSpaceDN/>
              <w:bidi w:val="0"/>
              <w:adjustRightInd/>
              <w:snapToGrid/>
              <w:ind w:firstLine="1200" w:firstLineChars="500"/>
              <w:textAlignment w:val="auto"/>
              <w:rPr>
                <w:rFonts w:hint="default" w:ascii="Times New Roman" w:hAnsi="Times New Roman" w:eastAsia="宋体" w:cs="Times New Roman"/>
                <w:b/>
                <w:bCs/>
                <w:color w:val="000000"/>
                <w:highlight w:val="none"/>
                <w:lang w:eastAsia="zh-CN"/>
              </w:rPr>
            </w:pPr>
            <w:r>
              <w:rPr>
                <w:rFonts w:hint="default" w:ascii="Times New Roman" w:hAnsi="Times New Roman" w:cs="Times New Roman"/>
                <w:i/>
                <w:iCs/>
                <w:color w:val="000000"/>
                <w:highlight w:val="none"/>
                <w:u w:val="none"/>
                <w:lang w:val="en-US" w:eastAsia="zh-CN"/>
              </w:rPr>
              <w:t>T</w:t>
            </w:r>
            <w:r>
              <w:rPr>
                <w:rFonts w:hint="default" w:ascii="Times New Roman" w:hAnsi="Times New Roman" w:cs="Times New Roman"/>
                <w:color w:val="000000"/>
                <w:highlight w:val="none"/>
                <w:u w:val="none"/>
              </w:rPr>
              <w:t>——污染物浓度增量影响的持续周期数</w:t>
            </w:r>
            <w:r>
              <w:rPr>
                <w:rFonts w:hint="default" w:ascii="Times New Roman" w:hAnsi="Times New Roman" w:cs="Times New Roman"/>
                <w:color w:val="000000"/>
                <w:highlight w:val="none"/>
                <w:u w:val="none"/>
                <w:lang w:eastAsia="zh-CN"/>
              </w:rPr>
              <w:t>（</w:t>
            </w:r>
            <w:r>
              <w:rPr>
                <w:rFonts w:hint="default" w:ascii="Times New Roman" w:hAnsi="Times New Roman" w:cs="Times New Roman"/>
                <w:color w:val="000000"/>
                <w:highlight w:val="none"/>
                <w:u w:val="none"/>
              </w:rPr>
              <w:t>以年实际影响天数除以15</w:t>
            </w:r>
            <w:r>
              <w:rPr>
                <w:rFonts w:hint="default" w:ascii="Times New Roman" w:hAnsi="Times New Roman" w:cs="Times New Roman"/>
                <w:color w:val="000000"/>
                <w:highlight w:val="none"/>
                <w:u w:val="none"/>
                <w:lang w:eastAsia="zh-CN"/>
              </w:rPr>
              <w:t>），</w:t>
            </w:r>
            <w:r>
              <w:rPr>
                <w:rFonts w:hint="default" w:ascii="Times New Roman" w:hAnsi="Times New Roman" w:cs="Times New Roman"/>
                <w:color w:val="000000"/>
                <w:highlight w:val="none"/>
                <w:u w:val="none"/>
              </w:rPr>
              <w:t>单位为个</w:t>
            </w:r>
            <w:r>
              <w:rPr>
                <w:rFonts w:hint="default" w:ascii="Times New Roman" w:hAnsi="Times New Roman" w:cs="Times New Roman"/>
                <w:color w:val="000000"/>
                <w:highlight w:val="none"/>
                <w:u w:val="none"/>
                <w:lang w:eastAsia="zh-CN"/>
              </w:rPr>
              <w:t>。</w:t>
            </w:r>
          </w:p>
          <w:p w14:paraId="01D5DBD6">
            <w:pPr>
              <w:ind w:firstLine="480"/>
              <w:rPr>
                <w:rFonts w:hint="default" w:ascii="Times New Roman" w:hAnsi="Times New Roman" w:eastAsia="宋体" w:cs="Times New Roman"/>
                <w:b/>
                <w:bCs/>
                <w:color w:val="000000"/>
                <w:highlight w:val="none"/>
                <w:lang w:val="en-US" w:eastAsia="zh-CN"/>
              </w:rPr>
            </w:pPr>
            <w:r>
              <w:rPr>
                <w:rFonts w:hint="default" w:ascii="Times New Roman" w:hAnsi="Times New Roman" w:cs="Times New Roman"/>
                <w:b/>
                <w:bCs/>
                <w:color w:val="000000"/>
                <w:highlight w:val="none"/>
                <w:lang w:val="en-US" w:eastAsia="zh-CN"/>
              </w:rPr>
              <w:t>③施工悬浮泥沙入海导致生物损失计算</w:t>
            </w:r>
          </w:p>
          <w:p w14:paraId="76B9029B">
            <w:pPr>
              <w:ind w:firstLine="480"/>
              <w:rPr>
                <w:rFonts w:hint="default" w:ascii="Times New Roman" w:hAnsi="Times New Roman" w:cs="Times New Roman"/>
                <w:b/>
                <w:bCs/>
                <w:color w:val="000000"/>
                <w:highlight w:val="none"/>
                <w:u w:val="none"/>
                <w:lang w:val="en-US" w:eastAsia="zh-CN"/>
              </w:rPr>
            </w:pPr>
            <w:r>
              <w:rPr>
                <w:rFonts w:hint="default" w:ascii="Times New Roman" w:hAnsi="Times New Roman" w:cs="Times New Roman"/>
                <w:color w:val="000000"/>
                <w:highlight w:val="none"/>
              </w:rPr>
              <w:t>根据海洋环境现状调查资料可知，202</w:t>
            </w:r>
            <w:r>
              <w:rPr>
                <w:rFonts w:hint="default" w:ascii="Times New Roman" w:hAnsi="Times New Roman" w:cs="Times New Roman"/>
                <w:color w:val="000000"/>
                <w:highlight w:val="none"/>
                <w:lang w:val="en-US" w:eastAsia="zh-CN"/>
              </w:rPr>
              <w:t>4</w:t>
            </w:r>
            <w:r>
              <w:rPr>
                <w:rFonts w:hint="default" w:ascii="Times New Roman" w:hAnsi="Times New Roman" w:cs="Times New Roman"/>
                <w:color w:val="000000"/>
                <w:highlight w:val="none"/>
              </w:rPr>
              <w:t>年秋季</w:t>
            </w:r>
            <w:r>
              <w:rPr>
                <w:rFonts w:hint="default" w:ascii="Times New Roman" w:hAnsi="Times New Roman" w:cs="Times New Roman"/>
                <w:color w:val="000000"/>
                <w:highlight w:val="none"/>
                <w:lang w:val="en-US" w:eastAsia="zh-CN"/>
              </w:rPr>
              <w:t>浮游植物平均生物量为</w:t>
            </w:r>
            <w:r>
              <w:rPr>
                <w:rFonts w:hint="eastAsia" w:cs="Times New Roman"/>
                <w:b w:val="0"/>
                <w:bCs/>
                <w:snapToGrid w:val="0"/>
                <w:color w:val="000000"/>
                <w:szCs w:val="22"/>
                <w:highlight w:val="none"/>
                <w:lang w:val="en-US" w:eastAsia="zh-CN"/>
              </w:rPr>
              <w:t>***</w:t>
            </w:r>
            <w:r>
              <w:rPr>
                <w:rFonts w:hint="default" w:ascii="Times New Roman" w:hAnsi="Times New Roman" w:cs="Times New Roman"/>
                <w:color w:val="000000"/>
                <w:highlight w:val="none"/>
                <w:lang w:val="en-US" w:eastAsia="zh-CN"/>
              </w:rPr>
              <w:t>，浮游动物平均生物量为</w:t>
            </w:r>
            <w:r>
              <w:rPr>
                <w:rFonts w:hint="eastAsia" w:cs="Times New Roman"/>
                <w:b w:val="0"/>
                <w:bCs w:val="0"/>
                <w:color w:val="000000"/>
                <w:szCs w:val="22"/>
                <w:highlight w:val="none"/>
                <w:lang w:val="en-US" w:eastAsia="zh-CN"/>
              </w:rPr>
              <w:t>***</w:t>
            </w:r>
            <w:r>
              <w:rPr>
                <w:rFonts w:hint="default" w:ascii="Times New Roman" w:hAnsi="Times New Roman" w:cs="Times New Roman"/>
                <w:color w:val="000000"/>
                <w:highlight w:val="none"/>
              </w:rPr>
              <w:t>，</w:t>
            </w:r>
            <w:r>
              <w:rPr>
                <w:rFonts w:hint="default" w:ascii="Times New Roman" w:hAnsi="Times New Roman" w:cs="Times New Roman"/>
                <w:color w:val="000000"/>
                <w:highlight w:val="none"/>
                <w:lang w:val="en-US" w:eastAsia="zh-CN"/>
              </w:rPr>
              <w:t>鱼卵平均密度为</w:t>
            </w:r>
            <w:r>
              <w:rPr>
                <w:rFonts w:hint="eastAsia" w:cs="Times New Roman"/>
                <w:color w:val="000000"/>
                <w:highlight w:val="none"/>
                <w:lang w:val="en-US" w:eastAsia="zh-CN"/>
              </w:rPr>
              <w:t>***</w:t>
            </w:r>
            <w:r>
              <w:rPr>
                <w:rFonts w:hint="default" w:ascii="Times New Roman" w:hAnsi="Times New Roman" w:cs="Times New Roman"/>
                <w:color w:val="000000"/>
                <w:highlight w:val="none"/>
              </w:rPr>
              <w:t>，仔稚鱼平均密度为</w:t>
            </w:r>
            <w:r>
              <w:rPr>
                <w:rFonts w:hint="eastAsia" w:cs="Times New Roman"/>
                <w:color w:val="000000"/>
                <w:highlight w:val="none"/>
                <w:lang w:val="en-US" w:eastAsia="zh-CN"/>
              </w:rPr>
              <w:t>***</w:t>
            </w:r>
            <w:r>
              <w:rPr>
                <w:rFonts w:hint="default" w:ascii="Times New Roman" w:hAnsi="Times New Roman" w:cs="Times New Roman"/>
                <w:color w:val="000000"/>
                <w:highlight w:val="none"/>
              </w:rPr>
              <w:t>，游泳动物渔获量均值为</w:t>
            </w:r>
            <w:r>
              <w:rPr>
                <w:rFonts w:hint="eastAsia" w:cs="Times New Roman"/>
                <w:color w:val="000000"/>
                <w:highlight w:val="none"/>
                <w:lang w:val="en-US" w:eastAsia="zh-CN"/>
              </w:rPr>
              <w:t>***</w:t>
            </w:r>
            <w:r>
              <w:rPr>
                <w:rFonts w:hint="default" w:ascii="Times New Roman" w:hAnsi="Times New Roman" w:cs="Times New Roman"/>
                <w:color w:val="000000"/>
                <w:highlight w:val="none"/>
              </w:rPr>
              <w:t>。</w:t>
            </w:r>
          </w:p>
          <w:p w14:paraId="532E822F">
            <w:pPr>
              <w:ind w:firstLine="480"/>
              <w:rPr>
                <w:rFonts w:hint="default" w:ascii="Times New Roman" w:hAnsi="Times New Roman" w:cs="Times New Roman"/>
                <w:b/>
                <w:bCs/>
                <w:color w:val="000000"/>
                <w:highlight w:val="none"/>
                <w:u w:val="none"/>
                <w:lang w:val="en-US" w:eastAsia="zh-CN"/>
              </w:rPr>
            </w:pPr>
            <w:r>
              <w:rPr>
                <w:rFonts w:hint="default" w:ascii="Times New Roman" w:hAnsi="Times New Roman" w:cs="Times New Roman"/>
                <w:b/>
                <w:bCs/>
                <w:color w:val="000000"/>
                <w:highlight w:val="none"/>
                <w:u w:val="none"/>
                <w:lang w:val="en-US" w:eastAsia="zh-CN"/>
              </w:rPr>
              <w:t>A、基槽开挖、港池疏浚悬浮泥沙影响损失估算</w:t>
            </w:r>
          </w:p>
          <w:p w14:paraId="0918BEC8">
            <w:pPr>
              <w:ind w:firstLine="480"/>
              <w:rPr>
                <w:rFonts w:hint="default" w:ascii="Times New Roman" w:hAnsi="Times New Roman" w:cs="Times New Roman"/>
                <w:color w:val="000000"/>
                <w:highlight w:val="none"/>
                <w:u w:val="none"/>
                <w:lang w:val="en-US" w:eastAsia="zh-CN"/>
              </w:rPr>
            </w:pPr>
            <w:r>
              <w:rPr>
                <w:rFonts w:hint="default" w:ascii="Times New Roman" w:hAnsi="Times New Roman" w:cs="Times New Roman"/>
                <w:b w:val="0"/>
                <w:bCs w:val="0"/>
                <w:color w:val="000000"/>
                <w:highlight w:val="none"/>
                <w:u w:val="none"/>
                <w:lang w:val="en-US" w:eastAsia="zh-CN"/>
              </w:rPr>
              <w:t>本项目基槽开挖、港池疏浚施工6个月，</w:t>
            </w:r>
            <w:r>
              <w:rPr>
                <w:rFonts w:hint="default" w:ascii="Times New Roman" w:hAnsi="Times New Roman" w:cs="Times New Roman"/>
                <w:color w:val="000000"/>
                <w:highlight w:val="none"/>
                <w:u w:val="none"/>
                <w:lang w:val="en-US" w:eastAsia="zh-CN"/>
              </w:rPr>
              <w:t>浓度增量持续周期数按照实际施工时间除以15天计算，持续影响周期数取12，影响水深按5.0m计算。根据悬浮泥沙扩散的预测结果可知：</w:t>
            </w:r>
            <w:r>
              <w:rPr>
                <w:rFonts w:hint="default" w:ascii="Times New Roman" w:hAnsi="Times New Roman" w:cs="Times New Roman"/>
                <w:b w:val="0"/>
                <w:bCs w:val="0"/>
                <w:color w:val="000000"/>
                <w:highlight w:val="none"/>
                <w:u w:val="none"/>
                <w:lang w:val="en-US" w:eastAsia="zh-CN"/>
              </w:rPr>
              <w:t>基槽开挖、港池疏浚</w:t>
            </w:r>
            <w:r>
              <w:rPr>
                <w:rFonts w:hint="default" w:ascii="Times New Roman" w:hAnsi="Times New Roman" w:cs="Times New Roman"/>
                <w:color w:val="000000"/>
                <w:highlight w:val="none"/>
                <w:u w:val="none"/>
                <w:lang w:val="en-US" w:eastAsia="zh-CN"/>
              </w:rPr>
              <w:t>施工过程可能引起悬浮物浓度增量10～20mg/L的影响范围面积为</w:t>
            </w:r>
            <w:r>
              <w:rPr>
                <w:rFonts w:hint="default" w:ascii="Times New Roman" w:hAnsi="Times New Roman" w:cs="Times New Roman"/>
                <w:color w:val="000000"/>
                <w:highlight w:val="none"/>
                <w:lang w:val="en-US" w:eastAsia="zh-CN"/>
              </w:rPr>
              <w:t>0.26</w:t>
            </w:r>
            <w:r>
              <w:rPr>
                <w:rFonts w:hint="default" w:ascii="Times New Roman" w:hAnsi="Times New Roman" w:cs="Times New Roman"/>
                <w:color w:val="000000"/>
                <w:highlight w:val="none"/>
                <w:u w:val="none"/>
                <w:lang w:val="en-US" w:eastAsia="zh-CN"/>
              </w:rPr>
              <w:t>km</w:t>
            </w:r>
            <w:r>
              <w:rPr>
                <w:rFonts w:hint="default" w:ascii="Times New Roman" w:hAnsi="Times New Roman" w:cs="Times New Roman"/>
                <w:color w:val="000000"/>
                <w:highlight w:val="none"/>
                <w:u w:val="none"/>
                <w:vertAlign w:val="superscript"/>
                <w:lang w:val="en-US" w:eastAsia="zh-CN"/>
              </w:rPr>
              <w:t>2</w:t>
            </w:r>
            <w:r>
              <w:rPr>
                <w:rFonts w:hint="default" w:ascii="Times New Roman" w:hAnsi="Times New Roman" w:cs="Times New Roman"/>
                <w:color w:val="000000"/>
                <w:highlight w:val="none"/>
                <w:u w:val="none"/>
                <w:lang w:val="en-US" w:eastAsia="zh-CN"/>
              </w:rPr>
              <w:t>，超标倍数按Bi≤1倍计；20～50mg/L的影响范围面积为</w:t>
            </w:r>
            <w:r>
              <w:rPr>
                <w:rFonts w:hint="default" w:ascii="Times New Roman" w:hAnsi="Times New Roman" w:cs="Times New Roman"/>
                <w:color w:val="000000"/>
                <w:highlight w:val="none"/>
                <w:lang w:val="en-US" w:eastAsia="zh-CN"/>
              </w:rPr>
              <w:t>0.27</w:t>
            </w:r>
            <w:r>
              <w:rPr>
                <w:rFonts w:hint="default" w:ascii="Times New Roman" w:hAnsi="Times New Roman" w:cs="Times New Roman"/>
                <w:color w:val="000000"/>
                <w:highlight w:val="none"/>
                <w:u w:val="none"/>
                <w:lang w:val="en-US" w:eastAsia="zh-CN"/>
              </w:rPr>
              <w:t>km</w:t>
            </w:r>
            <w:r>
              <w:rPr>
                <w:rFonts w:hint="default" w:ascii="Times New Roman" w:hAnsi="Times New Roman" w:cs="Times New Roman"/>
                <w:color w:val="000000"/>
                <w:highlight w:val="none"/>
                <w:u w:val="none"/>
                <w:vertAlign w:val="superscript"/>
                <w:lang w:val="en-US" w:eastAsia="zh-CN"/>
              </w:rPr>
              <w:t>2</w:t>
            </w:r>
            <w:r>
              <w:rPr>
                <w:rFonts w:hint="default" w:ascii="Times New Roman" w:hAnsi="Times New Roman" w:cs="Times New Roman"/>
                <w:color w:val="000000"/>
                <w:highlight w:val="none"/>
                <w:u w:val="none"/>
                <w:lang w:val="en-US" w:eastAsia="zh-CN"/>
              </w:rPr>
              <w:t>，超标倍数按1&lt;Bi≤4倍计；50～100mg/L的影响范围面积为</w:t>
            </w:r>
            <w:r>
              <w:rPr>
                <w:rFonts w:hint="default" w:ascii="Times New Roman" w:hAnsi="Times New Roman" w:cs="Times New Roman"/>
                <w:color w:val="000000"/>
                <w:highlight w:val="none"/>
                <w:lang w:val="en-US" w:eastAsia="zh-CN"/>
              </w:rPr>
              <w:t>0.15</w:t>
            </w:r>
            <w:r>
              <w:rPr>
                <w:rFonts w:hint="default" w:ascii="Times New Roman" w:hAnsi="Times New Roman" w:cs="Times New Roman"/>
                <w:color w:val="000000"/>
                <w:highlight w:val="none"/>
                <w:u w:val="none"/>
                <w:lang w:val="en-US" w:eastAsia="zh-CN"/>
              </w:rPr>
              <w:t>km</w:t>
            </w:r>
            <w:r>
              <w:rPr>
                <w:rFonts w:hint="default" w:ascii="Times New Roman" w:hAnsi="Times New Roman" w:cs="Times New Roman"/>
                <w:color w:val="000000"/>
                <w:highlight w:val="none"/>
                <w:u w:val="none"/>
                <w:vertAlign w:val="superscript"/>
                <w:lang w:val="en-US" w:eastAsia="zh-CN"/>
              </w:rPr>
              <w:t>2</w:t>
            </w:r>
            <w:r>
              <w:rPr>
                <w:rFonts w:hint="default" w:ascii="Times New Roman" w:hAnsi="Times New Roman" w:cs="Times New Roman"/>
                <w:color w:val="000000"/>
                <w:highlight w:val="none"/>
                <w:u w:val="none"/>
                <w:lang w:val="en-US" w:eastAsia="zh-CN"/>
              </w:rPr>
              <w:t>，超标倍数按4&lt;Bi≤9倍计；&gt;100mg/L的影响范围面积为</w:t>
            </w:r>
            <w:r>
              <w:rPr>
                <w:rFonts w:hint="default" w:ascii="Times New Roman" w:hAnsi="Times New Roman" w:cs="Times New Roman"/>
                <w:color w:val="000000"/>
                <w:szCs w:val="24"/>
                <w:highlight w:val="none"/>
                <w:lang w:val="en-US" w:eastAsia="zh-CN"/>
              </w:rPr>
              <w:t>0.28</w:t>
            </w:r>
            <w:r>
              <w:rPr>
                <w:rFonts w:hint="default" w:ascii="Times New Roman" w:hAnsi="Times New Roman" w:cs="Times New Roman"/>
                <w:color w:val="000000"/>
                <w:highlight w:val="none"/>
                <w:u w:val="none"/>
                <w:lang w:val="en-US" w:eastAsia="zh-CN"/>
              </w:rPr>
              <w:t>km</w:t>
            </w:r>
            <w:r>
              <w:rPr>
                <w:rFonts w:hint="default" w:ascii="Times New Roman" w:hAnsi="Times New Roman" w:cs="Times New Roman"/>
                <w:color w:val="000000"/>
                <w:highlight w:val="none"/>
                <w:u w:val="none"/>
                <w:vertAlign w:val="superscript"/>
                <w:lang w:val="en-US" w:eastAsia="zh-CN"/>
              </w:rPr>
              <w:t>2</w:t>
            </w:r>
            <w:r>
              <w:rPr>
                <w:rFonts w:hint="default" w:ascii="Times New Roman" w:hAnsi="Times New Roman" w:cs="Times New Roman"/>
                <w:color w:val="000000"/>
                <w:highlight w:val="none"/>
                <w:u w:val="none"/>
                <w:lang w:val="en-US" w:eastAsia="zh-CN"/>
              </w:rPr>
              <w:t>，超标倍数按Bi≥9倍计。</w:t>
            </w:r>
            <w:r>
              <w:rPr>
                <w:rFonts w:hint="default" w:ascii="Times New Roman" w:hAnsi="Times New Roman" w:eastAsia="宋体" w:cs="Times New Roman"/>
                <w:color w:val="000000"/>
                <w:highlight w:val="none"/>
                <w:u w:val="none"/>
                <w:lang w:val="en-US" w:eastAsia="zh-CN"/>
              </w:rPr>
              <w:t>工程</w:t>
            </w:r>
            <w:r>
              <w:rPr>
                <w:rFonts w:hint="default" w:ascii="Times New Roman" w:hAnsi="Times New Roman" w:cs="Times New Roman"/>
                <w:b w:val="0"/>
                <w:bCs w:val="0"/>
                <w:color w:val="000000"/>
                <w:highlight w:val="none"/>
                <w:u w:val="none"/>
                <w:lang w:val="en-US" w:eastAsia="zh-CN"/>
              </w:rPr>
              <w:t>基槽开挖、港池疏浚</w:t>
            </w:r>
            <w:r>
              <w:rPr>
                <w:rFonts w:hint="default" w:ascii="Times New Roman" w:hAnsi="Times New Roman" w:eastAsia="宋体" w:cs="Times New Roman"/>
                <w:color w:val="000000"/>
                <w:highlight w:val="none"/>
                <w:u w:val="none"/>
                <w:lang w:val="en-US" w:eastAsia="zh-CN"/>
              </w:rPr>
              <w:t>悬浮泥沙影响损失估算详见</w:t>
            </w:r>
            <w:r>
              <w:rPr>
                <w:rFonts w:hint="default" w:ascii="Times New Roman" w:hAnsi="Times New Roman" w:eastAsia="宋体" w:cs="Times New Roman"/>
                <w:b w:val="0"/>
                <w:bCs w:val="0"/>
                <w:color w:val="000000"/>
                <w:highlight w:val="none"/>
                <w:u w:val="none"/>
                <w:lang w:val="en-US" w:eastAsia="zh-CN"/>
              </w:rPr>
              <w:fldChar w:fldCharType="begin"/>
            </w:r>
            <w:r>
              <w:rPr>
                <w:rFonts w:hint="default" w:ascii="Times New Roman" w:hAnsi="Times New Roman" w:eastAsia="宋体" w:cs="Times New Roman"/>
                <w:b w:val="0"/>
                <w:bCs w:val="0"/>
                <w:color w:val="000000"/>
                <w:highlight w:val="none"/>
                <w:u w:val="none"/>
                <w:lang w:val="en-US" w:eastAsia="zh-CN"/>
              </w:rPr>
              <w:instrText xml:space="preserve"> REF _Ref15749 \h </w:instrText>
            </w:r>
            <w:r>
              <w:rPr>
                <w:rFonts w:hint="default" w:ascii="Times New Roman" w:hAnsi="Times New Roman" w:eastAsia="宋体" w:cs="Times New Roman"/>
                <w:b w:val="0"/>
                <w:bCs w:val="0"/>
                <w:color w:val="000000"/>
                <w:highlight w:val="none"/>
                <w:u w:val="none"/>
                <w:lang w:val="en-US" w:eastAsia="zh-CN"/>
              </w:rPr>
              <w:fldChar w:fldCharType="separate"/>
            </w:r>
            <w:r>
              <w:rPr>
                <w:rFonts w:hint="default" w:ascii="Times New Roman" w:hAnsi="Times New Roman" w:eastAsia="宋体" w:cs="Times New Roman"/>
                <w:b w:val="0"/>
                <w:bCs w:val="0"/>
                <w:color w:val="000000"/>
                <w:kern w:val="2"/>
                <w:sz w:val="24"/>
                <w:szCs w:val="28"/>
                <w:highlight w:val="none"/>
                <w:u w:val="none"/>
                <w:lang w:val="en-US" w:eastAsia="zh-CN" w:bidi="ar-SA"/>
              </w:rPr>
              <w:t>表</w:t>
            </w:r>
            <w:r>
              <w:rPr>
                <w:rFonts w:hint="default" w:ascii="Times New Roman" w:hAnsi="Times New Roman" w:eastAsia="宋体" w:cs="Times New Roman"/>
                <w:b w:val="0"/>
                <w:bCs w:val="0"/>
                <w:color w:val="000000"/>
                <w:kern w:val="2"/>
                <w:sz w:val="24"/>
                <w:szCs w:val="28"/>
                <w:highlight w:val="none"/>
                <w:u w:val="none"/>
                <w:lang w:val="en-US" w:eastAsia="zh-CN" w:bidi="ar-SA"/>
              </w:rPr>
              <w:fldChar w:fldCharType="begin"/>
            </w:r>
            <w:r>
              <w:rPr>
                <w:rFonts w:hint="default" w:ascii="Times New Roman" w:hAnsi="Times New Roman" w:eastAsia="宋体" w:cs="Times New Roman"/>
                <w:b w:val="0"/>
                <w:bCs w:val="0"/>
                <w:color w:val="000000"/>
                <w:kern w:val="2"/>
                <w:sz w:val="24"/>
                <w:szCs w:val="28"/>
                <w:highlight w:val="none"/>
                <w:u w:val="none"/>
                <w:lang w:val="en-US" w:eastAsia="zh-CN" w:bidi="ar-SA"/>
              </w:rPr>
              <w:instrText xml:space="preserve"> STYLEREF 2 \s </w:instrText>
            </w:r>
            <w:r>
              <w:rPr>
                <w:rFonts w:hint="default" w:ascii="Times New Roman" w:hAnsi="Times New Roman" w:eastAsia="宋体" w:cs="Times New Roman"/>
                <w:b w:val="0"/>
                <w:bCs w:val="0"/>
                <w:color w:val="000000"/>
                <w:kern w:val="2"/>
                <w:sz w:val="24"/>
                <w:szCs w:val="28"/>
                <w:highlight w:val="none"/>
                <w:u w:val="none"/>
                <w:lang w:val="en-US" w:eastAsia="zh-CN" w:bidi="ar-SA"/>
              </w:rPr>
              <w:fldChar w:fldCharType="separate"/>
            </w:r>
            <w:r>
              <w:rPr>
                <w:rFonts w:hint="default" w:ascii="Times New Roman" w:hAnsi="Times New Roman" w:eastAsia="宋体" w:cs="Times New Roman"/>
                <w:b w:val="0"/>
                <w:bCs w:val="0"/>
                <w:color w:val="000000"/>
                <w:kern w:val="2"/>
                <w:sz w:val="24"/>
                <w:szCs w:val="28"/>
                <w:highlight w:val="none"/>
                <w:u w:val="none"/>
                <w:lang w:val="en-US" w:eastAsia="zh-CN" w:bidi="ar-SA"/>
              </w:rPr>
              <w:t>4.3</w:t>
            </w:r>
            <w:r>
              <w:rPr>
                <w:rFonts w:hint="default" w:ascii="Times New Roman" w:hAnsi="Times New Roman" w:eastAsia="宋体" w:cs="Times New Roman"/>
                <w:b w:val="0"/>
                <w:bCs w:val="0"/>
                <w:color w:val="000000"/>
                <w:kern w:val="2"/>
                <w:sz w:val="24"/>
                <w:szCs w:val="28"/>
                <w:highlight w:val="none"/>
                <w:u w:val="none"/>
                <w:lang w:val="en-US" w:eastAsia="zh-CN" w:bidi="ar-SA"/>
              </w:rPr>
              <w:fldChar w:fldCharType="end"/>
            </w:r>
            <w:r>
              <w:rPr>
                <w:rFonts w:hint="default" w:ascii="Times New Roman" w:hAnsi="Times New Roman" w:eastAsia="宋体" w:cs="Times New Roman"/>
                <w:b w:val="0"/>
                <w:bCs w:val="0"/>
                <w:color w:val="000000"/>
                <w:kern w:val="2"/>
                <w:sz w:val="24"/>
                <w:szCs w:val="28"/>
                <w:highlight w:val="none"/>
                <w:u w:val="none"/>
                <w:lang w:val="en-US" w:eastAsia="zh-CN" w:bidi="ar-SA"/>
              </w:rPr>
              <w:t>-6</w:t>
            </w:r>
            <w:r>
              <w:rPr>
                <w:rFonts w:hint="default" w:ascii="Times New Roman" w:hAnsi="Times New Roman" w:eastAsia="宋体" w:cs="Times New Roman"/>
                <w:b w:val="0"/>
                <w:bCs w:val="0"/>
                <w:color w:val="000000"/>
                <w:highlight w:val="none"/>
                <w:u w:val="none"/>
                <w:lang w:val="en-US" w:eastAsia="zh-CN"/>
              </w:rPr>
              <w:fldChar w:fldCharType="end"/>
            </w:r>
            <w:r>
              <w:rPr>
                <w:rFonts w:hint="default" w:ascii="Times New Roman" w:hAnsi="Times New Roman" w:eastAsia="宋体" w:cs="Times New Roman"/>
                <w:color w:val="000000"/>
                <w:highlight w:val="none"/>
                <w:u w:val="none"/>
                <w:lang w:val="en-US" w:eastAsia="zh-CN"/>
              </w:rPr>
              <w:t>。</w:t>
            </w:r>
          </w:p>
          <w:p w14:paraId="0DBDE793">
            <w:pPr>
              <w:widowControl w:val="0"/>
              <w:bidi w:val="0"/>
              <w:adjustRightInd/>
              <w:snapToGrid/>
              <w:spacing w:line="240" w:lineRule="auto"/>
              <w:ind w:firstLine="0" w:firstLineChars="0"/>
              <w:jc w:val="center"/>
              <w:rPr>
                <w:rFonts w:hint="default" w:ascii="Times New Roman" w:hAnsi="Times New Roman" w:eastAsia="宋体" w:cs="Times New Roman"/>
                <w:b/>
                <w:color w:val="000000"/>
                <w:kern w:val="2"/>
                <w:sz w:val="24"/>
                <w:szCs w:val="28"/>
                <w:highlight w:val="none"/>
                <w:u w:val="none"/>
                <w:lang w:val="en-US" w:eastAsia="zh-CN" w:bidi="ar-SA"/>
              </w:rPr>
            </w:pPr>
            <w:bookmarkStart w:id="335" w:name="_Ref15749"/>
          </w:p>
          <w:p w14:paraId="2B369F7A">
            <w:pPr>
              <w:widowControl w:val="0"/>
              <w:bidi w:val="0"/>
              <w:adjustRightInd/>
              <w:snapToGrid/>
              <w:spacing w:line="240" w:lineRule="auto"/>
              <w:ind w:firstLine="0" w:firstLineChars="0"/>
              <w:jc w:val="center"/>
              <w:rPr>
                <w:rFonts w:hint="default" w:ascii="Times New Roman" w:hAnsi="Times New Roman" w:eastAsia="宋体" w:cs="Times New Roman"/>
                <w:b/>
                <w:color w:val="000000"/>
                <w:kern w:val="2"/>
                <w:sz w:val="24"/>
                <w:szCs w:val="28"/>
                <w:highlight w:val="none"/>
                <w:u w:val="none"/>
                <w:lang w:val="en-US" w:eastAsia="zh-CN" w:bidi="ar-SA"/>
              </w:rPr>
            </w:pPr>
          </w:p>
          <w:p w14:paraId="50ECCB98">
            <w:pPr>
              <w:widowControl w:val="0"/>
              <w:bidi w:val="0"/>
              <w:adjustRightInd/>
              <w:snapToGrid/>
              <w:spacing w:line="240" w:lineRule="auto"/>
              <w:ind w:firstLine="0" w:firstLineChars="0"/>
              <w:jc w:val="center"/>
              <w:rPr>
                <w:rFonts w:hint="default" w:ascii="Times New Roman" w:hAnsi="Times New Roman" w:eastAsia="宋体" w:cs="Times New Roman"/>
                <w:b/>
                <w:color w:val="000000"/>
                <w:kern w:val="2"/>
                <w:sz w:val="24"/>
                <w:szCs w:val="28"/>
                <w:highlight w:val="none"/>
                <w:u w:val="none"/>
                <w:lang w:val="en-US" w:eastAsia="zh-CN" w:bidi="ar-SA"/>
              </w:rPr>
            </w:pPr>
          </w:p>
          <w:p w14:paraId="71737DF3">
            <w:pPr>
              <w:widowControl w:val="0"/>
              <w:bidi w:val="0"/>
              <w:adjustRightInd/>
              <w:snapToGrid/>
              <w:spacing w:line="240" w:lineRule="auto"/>
              <w:ind w:firstLine="0" w:firstLineChars="0"/>
              <w:jc w:val="center"/>
              <w:rPr>
                <w:rFonts w:hint="default" w:ascii="Times New Roman" w:hAnsi="Times New Roman" w:eastAsia="宋体" w:cs="Times New Roman"/>
                <w:b/>
                <w:color w:val="000000"/>
                <w:kern w:val="2"/>
                <w:sz w:val="24"/>
                <w:szCs w:val="28"/>
                <w:highlight w:val="none"/>
                <w:u w:val="none"/>
                <w:lang w:val="en-US" w:eastAsia="zh-CN" w:bidi="ar-SA"/>
              </w:rPr>
            </w:pPr>
          </w:p>
          <w:p w14:paraId="0F13D4A5">
            <w:pPr>
              <w:widowControl w:val="0"/>
              <w:bidi w:val="0"/>
              <w:adjustRightInd/>
              <w:snapToGrid/>
              <w:spacing w:line="240" w:lineRule="auto"/>
              <w:ind w:firstLine="0" w:firstLineChars="0"/>
              <w:jc w:val="center"/>
              <w:rPr>
                <w:rFonts w:hint="default" w:ascii="Times New Roman" w:hAnsi="Times New Roman" w:eastAsia="宋体" w:cs="Times New Roman"/>
                <w:b/>
                <w:color w:val="000000"/>
                <w:kern w:val="2"/>
                <w:sz w:val="24"/>
                <w:szCs w:val="28"/>
                <w:highlight w:val="none"/>
                <w:u w:val="none"/>
                <w:lang w:val="en-US" w:eastAsia="zh-CN" w:bidi="ar-SA"/>
              </w:rPr>
            </w:pPr>
          </w:p>
          <w:p w14:paraId="6D757E32">
            <w:pPr>
              <w:widowControl w:val="0"/>
              <w:bidi w:val="0"/>
              <w:adjustRightInd/>
              <w:snapToGrid/>
              <w:spacing w:line="240" w:lineRule="auto"/>
              <w:ind w:firstLine="0" w:firstLineChars="0"/>
              <w:jc w:val="center"/>
              <w:rPr>
                <w:rFonts w:hint="default" w:ascii="Times New Roman" w:hAnsi="Times New Roman" w:eastAsia="宋体" w:cs="Times New Roman"/>
                <w:b/>
                <w:color w:val="000000"/>
                <w:kern w:val="2"/>
                <w:sz w:val="24"/>
                <w:szCs w:val="28"/>
                <w:highlight w:val="none"/>
                <w:u w:val="none"/>
                <w:lang w:val="en-US" w:eastAsia="zh-CN" w:bidi="ar-SA"/>
              </w:rPr>
            </w:pPr>
            <w:r>
              <w:rPr>
                <w:rFonts w:hint="default" w:ascii="Times New Roman" w:hAnsi="Times New Roman" w:eastAsia="宋体" w:cs="Times New Roman"/>
                <w:b/>
                <w:color w:val="000000"/>
                <w:kern w:val="2"/>
                <w:sz w:val="24"/>
                <w:szCs w:val="28"/>
                <w:highlight w:val="none"/>
                <w:u w:val="none"/>
                <w:lang w:val="en-US" w:eastAsia="zh-CN" w:bidi="ar-SA"/>
              </w:rPr>
              <w:t>表</w:t>
            </w:r>
            <w:r>
              <w:rPr>
                <w:rFonts w:hint="default" w:ascii="Times New Roman" w:hAnsi="Times New Roman" w:eastAsia="宋体" w:cs="Times New Roman"/>
                <w:b/>
                <w:color w:val="000000"/>
                <w:kern w:val="2"/>
                <w:sz w:val="24"/>
                <w:szCs w:val="28"/>
                <w:highlight w:val="none"/>
                <w:u w:val="none"/>
                <w:lang w:val="en-US" w:eastAsia="zh-CN" w:bidi="ar-SA"/>
              </w:rPr>
              <w:fldChar w:fldCharType="begin"/>
            </w:r>
            <w:r>
              <w:rPr>
                <w:rFonts w:hint="default" w:ascii="Times New Roman" w:hAnsi="Times New Roman" w:eastAsia="宋体" w:cs="Times New Roman"/>
                <w:b/>
                <w:color w:val="000000"/>
                <w:kern w:val="2"/>
                <w:sz w:val="24"/>
                <w:szCs w:val="28"/>
                <w:highlight w:val="none"/>
                <w:u w:val="none"/>
                <w:lang w:val="en-US" w:eastAsia="zh-CN" w:bidi="ar-SA"/>
              </w:rPr>
              <w:instrText xml:space="preserve"> STYLEREF 2 \s </w:instrText>
            </w:r>
            <w:r>
              <w:rPr>
                <w:rFonts w:hint="default" w:ascii="Times New Roman" w:hAnsi="Times New Roman" w:eastAsia="宋体" w:cs="Times New Roman"/>
                <w:b/>
                <w:color w:val="000000"/>
                <w:kern w:val="2"/>
                <w:sz w:val="24"/>
                <w:szCs w:val="28"/>
                <w:highlight w:val="none"/>
                <w:u w:val="none"/>
                <w:lang w:val="en-US" w:eastAsia="zh-CN" w:bidi="ar-SA"/>
              </w:rPr>
              <w:fldChar w:fldCharType="separate"/>
            </w:r>
            <w:r>
              <w:rPr>
                <w:rFonts w:hint="default" w:ascii="Times New Roman" w:hAnsi="Times New Roman" w:eastAsia="宋体" w:cs="Times New Roman"/>
                <w:b/>
                <w:color w:val="000000"/>
                <w:kern w:val="2"/>
                <w:sz w:val="24"/>
                <w:szCs w:val="28"/>
                <w:highlight w:val="none"/>
                <w:u w:val="none"/>
                <w:lang w:val="en-US" w:eastAsia="zh-CN" w:bidi="ar-SA"/>
              </w:rPr>
              <w:t>4.3</w:t>
            </w:r>
            <w:r>
              <w:rPr>
                <w:rFonts w:hint="default" w:ascii="Times New Roman" w:hAnsi="Times New Roman" w:eastAsia="宋体" w:cs="Times New Roman"/>
                <w:b/>
                <w:color w:val="000000"/>
                <w:kern w:val="2"/>
                <w:sz w:val="24"/>
                <w:szCs w:val="28"/>
                <w:highlight w:val="none"/>
                <w:u w:val="none"/>
                <w:lang w:val="en-US" w:eastAsia="zh-CN" w:bidi="ar-SA"/>
              </w:rPr>
              <w:fldChar w:fldCharType="end"/>
            </w:r>
            <w:r>
              <w:rPr>
                <w:rFonts w:hint="default" w:ascii="Times New Roman" w:hAnsi="Times New Roman" w:eastAsia="宋体" w:cs="Times New Roman"/>
                <w:b/>
                <w:color w:val="000000"/>
                <w:kern w:val="2"/>
                <w:sz w:val="24"/>
                <w:szCs w:val="28"/>
                <w:highlight w:val="none"/>
                <w:u w:val="none"/>
                <w:lang w:val="en-US" w:eastAsia="zh-CN" w:bidi="ar-SA"/>
              </w:rPr>
              <w:t>-</w:t>
            </w:r>
            <w:r>
              <w:rPr>
                <w:rFonts w:hint="default" w:ascii="Times New Roman" w:hAnsi="Times New Roman" w:eastAsia="宋体" w:cs="Times New Roman"/>
                <w:b/>
                <w:color w:val="000000"/>
                <w:kern w:val="2"/>
                <w:sz w:val="24"/>
                <w:szCs w:val="28"/>
                <w:highlight w:val="none"/>
                <w:u w:val="none"/>
                <w:lang w:val="en-US" w:eastAsia="zh-CN" w:bidi="ar-SA"/>
              </w:rPr>
              <w:fldChar w:fldCharType="begin"/>
            </w:r>
            <w:r>
              <w:rPr>
                <w:rFonts w:hint="default" w:ascii="Times New Roman" w:hAnsi="Times New Roman" w:eastAsia="宋体" w:cs="Times New Roman"/>
                <w:b/>
                <w:color w:val="000000"/>
                <w:kern w:val="2"/>
                <w:sz w:val="24"/>
                <w:szCs w:val="28"/>
                <w:highlight w:val="none"/>
                <w:u w:val="none"/>
                <w:lang w:val="en-US" w:eastAsia="zh-CN" w:bidi="ar-SA"/>
              </w:rPr>
              <w:instrText xml:space="preserve"> SEQ 表 \* ARABIC \s 2 </w:instrText>
            </w:r>
            <w:r>
              <w:rPr>
                <w:rFonts w:hint="default" w:ascii="Times New Roman" w:hAnsi="Times New Roman" w:eastAsia="宋体" w:cs="Times New Roman"/>
                <w:b/>
                <w:color w:val="000000"/>
                <w:kern w:val="2"/>
                <w:sz w:val="24"/>
                <w:szCs w:val="28"/>
                <w:highlight w:val="none"/>
                <w:u w:val="none"/>
                <w:lang w:val="en-US" w:eastAsia="zh-CN" w:bidi="ar-SA"/>
              </w:rPr>
              <w:fldChar w:fldCharType="separate"/>
            </w:r>
            <w:r>
              <w:rPr>
                <w:rFonts w:hint="default" w:ascii="Times New Roman" w:hAnsi="Times New Roman" w:eastAsia="宋体" w:cs="Times New Roman"/>
                <w:b/>
                <w:color w:val="000000"/>
                <w:kern w:val="2"/>
                <w:sz w:val="24"/>
                <w:szCs w:val="28"/>
                <w:highlight w:val="none"/>
                <w:u w:val="none"/>
                <w:lang w:val="en-US" w:eastAsia="zh-CN" w:bidi="ar-SA"/>
              </w:rPr>
              <w:t>6</w:t>
            </w:r>
            <w:r>
              <w:rPr>
                <w:rFonts w:hint="default" w:ascii="Times New Roman" w:hAnsi="Times New Roman" w:eastAsia="宋体" w:cs="Times New Roman"/>
                <w:b/>
                <w:color w:val="000000"/>
                <w:kern w:val="2"/>
                <w:sz w:val="24"/>
                <w:szCs w:val="28"/>
                <w:highlight w:val="none"/>
                <w:u w:val="none"/>
                <w:lang w:val="en-US" w:eastAsia="zh-CN" w:bidi="ar-SA"/>
              </w:rPr>
              <w:fldChar w:fldCharType="end"/>
            </w:r>
            <w:bookmarkEnd w:id="335"/>
            <w:r>
              <w:rPr>
                <w:rFonts w:hint="default" w:ascii="Times New Roman" w:hAnsi="Times New Roman" w:eastAsia="宋体" w:cs="Times New Roman"/>
                <w:b/>
                <w:color w:val="000000"/>
                <w:kern w:val="2"/>
                <w:sz w:val="24"/>
                <w:szCs w:val="28"/>
                <w:highlight w:val="none"/>
                <w:u w:val="none"/>
                <w:lang w:val="en-US" w:eastAsia="zh-CN" w:bidi="ar-SA"/>
              </w:rPr>
              <w:t xml:space="preserve"> 本工程基槽开挖、港池疏浚悬浮泥沙影响损失估算表</w:t>
            </w:r>
          </w:p>
          <w:tbl>
            <w:tblPr>
              <w:tblStyle w:val="22"/>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47"/>
              <w:gridCol w:w="966"/>
              <w:gridCol w:w="935"/>
              <w:gridCol w:w="911"/>
              <w:gridCol w:w="632"/>
              <w:gridCol w:w="862"/>
              <w:gridCol w:w="1087"/>
              <w:gridCol w:w="838"/>
              <w:gridCol w:w="1048"/>
            </w:tblGrid>
            <w:tr w14:paraId="2120BF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blHeader/>
              </w:trPr>
              <w:tc>
                <w:tcPr>
                  <w:tcW w:w="575" w:type="pct"/>
                  <w:noWrap w:val="0"/>
                  <w:vAlign w:val="center"/>
                </w:tcPr>
                <w:p w14:paraId="03B17644">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kern w:val="2"/>
                      <w:sz w:val="21"/>
                      <w:szCs w:val="21"/>
                      <w:highlight w:val="none"/>
                      <w:u w:val="none"/>
                      <w:lang w:val="en-US" w:eastAsia="zh-CN" w:bidi="ar-SA"/>
                    </w:rPr>
                  </w:pPr>
                  <w:r>
                    <w:rPr>
                      <w:rFonts w:hint="default" w:ascii="Times New Roman" w:hAnsi="Times New Roman" w:eastAsia="宋体" w:cs="Times New Roman"/>
                      <w:b/>
                      <w:bCs/>
                      <w:color w:val="000000"/>
                      <w:kern w:val="2"/>
                      <w:sz w:val="21"/>
                      <w:szCs w:val="21"/>
                      <w:highlight w:val="none"/>
                      <w:u w:val="none"/>
                      <w:lang w:val="en-US" w:eastAsia="zh-CN" w:bidi="ar-SA"/>
                    </w:rPr>
                    <w:t>项目</w:t>
                  </w:r>
                </w:p>
              </w:tc>
              <w:tc>
                <w:tcPr>
                  <w:tcW w:w="587" w:type="pct"/>
                  <w:noWrap w:val="0"/>
                  <w:vAlign w:val="center"/>
                </w:tcPr>
                <w:p w14:paraId="141C3A8D">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kern w:val="2"/>
                      <w:sz w:val="21"/>
                      <w:szCs w:val="21"/>
                      <w:highlight w:val="none"/>
                      <w:u w:val="none"/>
                      <w:lang w:val="en-US" w:eastAsia="zh-CN" w:bidi="ar-SA"/>
                    </w:rPr>
                  </w:pPr>
                  <w:r>
                    <w:rPr>
                      <w:rFonts w:hint="default" w:ascii="Times New Roman" w:hAnsi="Times New Roman" w:eastAsia="宋体" w:cs="Times New Roman"/>
                      <w:b/>
                      <w:bCs/>
                      <w:color w:val="000000"/>
                      <w:kern w:val="2"/>
                      <w:sz w:val="21"/>
                      <w:szCs w:val="21"/>
                      <w:highlight w:val="none"/>
                      <w:u w:val="none"/>
                      <w:lang w:val="en-US" w:eastAsia="zh-CN" w:bidi="ar-SA"/>
                    </w:rPr>
                    <w:t>资源密度</w:t>
                  </w:r>
                </w:p>
              </w:tc>
              <w:tc>
                <w:tcPr>
                  <w:tcW w:w="568" w:type="pct"/>
                  <w:noWrap w:val="0"/>
                  <w:vAlign w:val="center"/>
                </w:tcPr>
                <w:p w14:paraId="257294CD">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kern w:val="2"/>
                      <w:sz w:val="21"/>
                      <w:szCs w:val="21"/>
                      <w:highlight w:val="none"/>
                      <w:u w:val="none"/>
                      <w:lang w:val="en-US" w:eastAsia="zh-CN" w:bidi="ar-SA"/>
                    </w:rPr>
                  </w:pPr>
                  <w:r>
                    <w:rPr>
                      <w:rFonts w:hint="default" w:ascii="Times New Roman" w:hAnsi="Times New Roman" w:eastAsia="宋体" w:cs="Times New Roman"/>
                      <w:b/>
                      <w:bCs/>
                      <w:color w:val="000000"/>
                      <w:kern w:val="2"/>
                      <w:sz w:val="21"/>
                      <w:szCs w:val="21"/>
                      <w:highlight w:val="none"/>
                      <w:u w:val="none"/>
                      <w:lang w:val="en-US" w:eastAsia="zh-CN" w:bidi="ar-SA"/>
                    </w:rPr>
                    <w:t>SS浓度（mg/L)</w:t>
                  </w:r>
                </w:p>
              </w:tc>
              <w:tc>
                <w:tcPr>
                  <w:tcW w:w="553" w:type="pct"/>
                  <w:noWrap w:val="0"/>
                  <w:vAlign w:val="center"/>
                </w:tcPr>
                <w:p w14:paraId="3D08E267">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kern w:val="2"/>
                      <w:sz w:val="21"/>
                      <w:szCs w:val="21"/>
                      <w:highlight w:val="none"/>
                      <w:u w:val="none"/>
                      <w:lang w:val="en-US" w:eastAsia="zh-CN" w:bidi="ar-SA"/>
                    </w:rPr>
                  </w:pPr>
                  <w:r>
                    <w:rPr>
                      <w:rFonts w:hint="default" w:ascii="Times New Roman" w:hAnsi="Times New Roman" w:eastAsia="宋体" w:cs="Times New Roman"/>
                      <w:b/>
                      <w:bCs/>
                      <w:color w:val="000000"/>
                      <w:kern w:val="2"/>
                      <w:sz w:val="21"/>
                      <w:szCs w:val="21"/>
                      <w:highlight w:val="none"/>
                      <w:u w:val="none"/>
                      <w:lang w:val="en-US" w:eastAsia="zh-CN" w:bidi="ar-SA"/>
                    </w:rPr>
                    <w:t>影响面积（km</w:t>
                  </w:r>
                  <w:r>
                    <w:rPr>
                      <w:rFonts w:hint="default" w:ascii="Times New Roman" w:hAnsi="Times New Roman" w:eastAsia="宋体" w:cs="Times New Roman"/>
                      <w:b/>
                      <w:bCs/>
                      <w:color w:val="000000"/>
                      <w:kern w:val="2"/>
                      <w:sz w:val="21"/>
                      <w:szCs w:val="21"/>
                      <w:highlight w:val="none"/>
                      <w:u w:val="none"/>
                      <w:vertAlign w:val="superscript"/>
                      <w:lang w:val="en-US" w:eastAsia="zh-CN" w:bidi="ar-SA"/>
                    </w:rPr>
                    <w:t>2</w:t>
                  </w:r>
                  <w:r>
                    <w:rPr>
                      <w:rFonts w:hint="default" w:ascii="Times New Roman" w:hAnsi="Times New Roman" w:eastAsia="宋体" w:cs="Times New Roman"/>
                      <w:b/>
                      <w:bCs/>
                      <w:color w:val="000000"/>
                      <w:kern w:val="2"/>
                      <w:sz w:val="21"/>
                      <w:szCs w:val="21"/>
                      <w:highlight w:val="none"/>
                      <w:u w:val="none"/>
                      <w:lang w:val="en-US" w:eastAsia="zh-CN" w:bidi="ar-SA"/>
                    </w:rPr>
                    <w:t>）</w:t>
                  </w:r>
                </w:p>
              </w:tc>
              <w:tc>
                <w:tcPr>
                  <w:tcW w:w="383" w:type="pct"/>
                  <w:noWrap w:val="0"/>
                  <w:vAlign w:val="center"/>
                </w:tcPr>
                <w:p w14:paraId="70C7AD56">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kern w:val="2"/>
                      <w:sz w:val="21"/>
                      <w:szCs w:val="21"/>
                      <w:highlight w:val="none"/>
                      <w:u w:val="none"/>
                      <w:lang w:val="en-US" w:eastAsia="zh-CN" w:bidi="ar-SA"/>
                    </w:rPr>
                  </w:pPr>
                  <w:r>
                    <w:rPr>
                      <w:rFonts w:hint="default" w:ascii="Times New Roman" w:hAnsi="Times New Roman" w:eastAsia="宋体" w:cs="Times New Roman"/>
                      <w:b/>
                      <w:bCs/>
                      <w:color w:val="000000"/>
                      <w:kern w:val="2"/>
                      <w:sz w:val="21"/>
                      <w:szCs w:val="21"/>
                      <w:highlight w:val="none"/>
                      <w:u w:val="none"/>
                      <w:lang w:val="en-US" w:eastAsia="zh-CN" w:bidi="ar-SA"/>
                    </w:rPr>
                    <w:t>水深（m）</w:t>
                  </w:r>
                </w:p>
              </w:tc>
              <w:tc>
                <w:tcPr>
                  <w:tcW w:w="524" w:type="pct"/>
                  <w:noWrap w:val="0"/>
                  <w:vAlign w:val="center"/>
                </w:tcPr>
                <w:p w14:paraId="0C8B57FB">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b/>
                      <w:bCs/>
                      <w:color w:val="000000"/>
                      <w:highlight w:val="none"/>
                      <w:lang w:val="en-US" w:eastAsia="zh-CN"/>
                    </w:rPr>
                    <w:t>损失率</w:t>
                  </w:r>
                </w:p>
              </w:tc>
              <w:tc>
                <w:tcPr>
                  <w:tcW w:w="660" w:type="pct"/>
                  <w:noWrap w:val="0"/>
                  <w:vAlign w:val="center"/>
                </w:tcPr>
                <w:p w14:paraId="1D17A9E5">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kern w:val="2"/>
                      <w:sz w:val="21"/>
                      <w:szCs w:val="21"/>
                      <w:highlight w:val="none"/>
                      <w:u w:val="none"/>
                      <w:lang w:val="en-US" w:eastAsia="zh-CN" w:bidi="ar-SA"/>
                    </w:rPr>
                  </w:pPr>
                  <w:r>
                    <w:rPr>
                      <w:rFonts w:hint="default" w:ascii="Times New Roman" w:hAnsi="Times New Roman" w:eastAsia="宋体" w:cs="Times New Roman"/>
                      <w:b/>
                      <w:bCs/>
                      <w:color w:val="000000"/>
                      <w:kern w:val="2"/>
                      <w:sz w:val="21"/>
                      <w:szCs w:val="21"/>
                      <w:highlight w:val="none"/>
                      <w:u w:val="none"/>
                      <w:lang w:val="en-US" w:eastAsia="zh-CN" w:bidi="ar-SA"/>
                    </w:rPr>
                    <w:t>一次性平均受损量</w:t>
                  </w:r>
                </w:p>
              </w:tc>
              <w:tc>
                <w:tcPr>
                  <w:tcW w:w="509" w:type="pct"/>
                  <w:noWrap w:val="0"/>
                  <w:vAlign w:val="center"/>
                </w:tcPr>
                <w:p w14:paraId="41DFD591">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kern w:val="2"/>
                      <w:sz w:val="21"/>
                      <w:szCs w:val="21"/>
                      <w:highlight w:val="none"/>
                      <w:u w:val="none"/>
                      <w:lang w:val="en-US" w:eastAsia="zh-CN" w:bidi="ar-SA"/>
                    </w:rPr>
                  </w:pPr>
                  <w:r>
                    <w:rPr>
                      <w:rFonts w:hint="default" w:ascii="Times New Roman" w:hAnsi="Times New Roman" w:eastAsia="宋体" w:cs="Times New Roman"/>
                      <w:b/>
                      <w:bCs/>
                      <w:color w:val="000000"/>
                      <w:kern w:val="2"/>
                      <w:sz w:val="21"/>
                      <w:szCs w:val="21"/>
                      <w:highlight w:val="none"/>
                      <w:u w:val="none"/>
                      <w:lang w:val="en-US" w:eastAsia="zh-CN" w:bidi="ar-SA"/>
                    </w:rPr>
                    <w:t>持续周期（T）</w:t>
                  </w:r>
                </w:p>
              </w:tc>
              <w:tc>
                <w:tcPr>
                  <w:tcW w:w="636" w:type="pct"/>
                  <w:noWrap w:val="0"/>
                  <w:vAlign w:val="center"/>
                </w:tcPr>
                <w:p w14:paraId="1EA301CC">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kern w:val="2"/>
                      <w:sz w:val="21"/>
                      <w:szCs w:val="21"/>
                      <w:highlight w:val="none"/>
                      <w:u w:val="none"/>
                      <w:lang w:val="en-US" w:eastAsia="zh-CN" w:bidi="ar-SA"/>
                    </w:rPr>
                  </w:pPr>
                  <w:r>
                    <w:rPr>
                      <w:rFonts w:hint="default" w:ascii="Times New Roman" w:hAnsi="Times New Roman" w:eastAsia="宋体" w:cs="Times New Roman"/>
                      <w:b/>
                      <w:bCs/>
                      <w:color w:val="000000"/>
                      <w:kern w:val="2"/>
                      <w:sz w:val="21"/>
                      <w:szCs w:val="21"/>
                      <w:highlight w:val="none"/>
                      <w:u w:val="none"/>
                      <w:lang w:val="en-US" w:eastAsia="zh-CN" w:bidi="ar-SA"/>
                    </w:rPr>
                    <w:t>持续性损害受损量</w:t>
                  </w:r>
                </w:p>
              </w:tc>
            </w:tr>
            <w:tr w14:paraId="4B08B8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75" w:type="pct"/>
                  <w:vMerge w:val="restart"/>
                  <w:noWrap w:val="0"/>
                  <w:vAlign w:val="center"/>
                </w:tcPr>
                <w:p w14:paraId="29EB0403">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2"/>
                      <w:sz w:val="21"/>
                      <w:szCs w:val="21"/>
                      <w:highlight w:val="none"/>
                      <w:u w:val="none"/>
                      <w:lang w:val="en-US" w:eastAsia="zh-CN" w:bidi="ar-SA"/>
                    </w:rPr>
                  </w:pPr>
                  <w:r>
                    <w:rPr>
                      <w:rFonts w:hint="default" w:ascii="Times New Roman" w:hAnsi="Times New Roman" w:eastAsia="宋体" w:cs="Times New Roman"/>
                      <w:color w:val="000000"/>
                      <w:kern w:val="2"/>
                      <w:sz w:val="21"/>
                      <w:szCs w:val="21"/>
                      <w:highlight w:val="none"/>
                      <w:u w:val="none"/>
                      <w:lang w:val="en-US" w:eastAsia="zh-CN" w:bidi="ar-SA"/>
                    </w:rPr>
                    <w:t>浮游植物</w:t>
                  </w:r>
                </w:p>
              </w:tc>
              <w:tc>
                <w:tcPr>
                  <w:tcW w:w="587" w:type="pct"/>
                  <w:vMerge w:val="restart"/>
                  <w:noWrap w:val="0"/>
                  <w:vAlign w:val="center"/>
                </w:tcPr>
                <w:p w14:paraId="3DA89EA2">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2"/>
                      <w:sz w:val="21"/>
                      <w:szCs w:val="21"/>
                      <w:highlight w:val="none"/>
                      <w:u w:val="none"/>
                      <w:lang w:val="en-US" w:eastAsia="zh-CN" w:bidi="ar-SA"/>
                    </w:rPr>
                  </w:pPr>
                </w:p>
              </w:tc>
              <w:tc>
                <w:tcPr>
                  <w:tcW w:w="568" w:type="pct"/>
                  <w:noWrap w:val="0"/>
                  <w:vAlign w:val="center"/>
                </w:tcPr>
                <w:p w14:paraId="1675851A">
                  <w:pPr>
                    <w:pStyle w:val="31"/>
                    <w:bidi w:val="0"/>
                    <w:rPr>
                      <w:rFonts w:hint="default" w:ascii="Times New Roman" w:hAnsi="Times New Roman" w:cs="Times New Roman"/>
                      <w:color w:val="000000"/>
                      <w:sz w:val="21"/>
                      <w:szCs w:val="21"/>
                      <w:highlight w:val="none"/>
                      <w:u w:val="none"/>
                      <w:lang w:val="en-US" w:eastAsia="zh-CN"/>
                    </w:rPr>
                  </w:pPr>
                  <w:r>
                    <w:rPr>
                      <w:rFonts w:hint="default" w:ascii="Times New Roman" w:hAnsi="Times New Roman" w:cs="Times New Roman"/>
                      <w:color w:val="000000"/>
                      <w:sz w:val="21"/>
                      <w:szCs w:val="21"/>
                      <w:highlight w:val="none"/>
                      <w:u w:val="none"/>
                      <w:lang w:val="en-US" w:eastAsia="zh-CN"/>
                    </w:rPr>
                    <w:t>10~20</w:t>
                  </w:r>
                </w:p>
              </w:tc>
              <w:tc>
                <w:tcPr>
                  <w:tcW w:w="553" w:type="pct"/>
                  <w:noWrap w:val="0"/>
                  <w:vAlign w:val="center"/>
                </w:tcPr>
                <w:p w14:paraId="731C1120">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0.26</w:t>
                  </w:r>
                </w:p>
              </w:tc>
              <w:tc>
                <w:tcPr>
                  <w:tcW w:w="383" w:type="pct"/>
                  <w:vMerge w:val="restart"/>
                  <w:noWrap w:val="0"/>
                  <w:vAlign w:val="center"/>
                </w:tcPr>
                <w:p w14:paraId="6FF9EB36">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5.0</w:t>
                  </w:r>
                </w:p>
              </w:tc>
              <w:tc>
                <w:tcPr>
                  <w:tcW w:w="524" w:type="pct"/>
                  <w:noWrap w:val="0"/>
                  <w:vAlign w:val="center"/>
                </w:tcPr>
                <w:p w14:paraId="764ADE5D">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5%</w:t>
                  </w:r>
                </w:p>
              </w:tc>
              <w:tc>
                <w:tcPr>
                  <w:tcW w:w="660" w:type="pct"/>
                  <w:vMerge w:val="restart"/>
                  <w:noWrap w:val="0"/>
                  <w:vAlign w:val="center"/>
                </w:tcPr>
                <w:p w14:paraId="4FAEC289">
                  <w:pPr>
                    <w:pStyle w:val="31"/>
                    <w:bidi w:val="0"/>
                    <w:rPr>
                      <w:rFonts w:hint="default" w:ascii="Times New Roman" w:hAnsi="Times New Roman" w:cs="Times New Roman"/>
                      <w:color w:val="000000"/>
                      <w:highlight w:val="none"/>
                      <w:lang w:val="en-US" w:eastAsia="zh-CN"/>
                    </w:rPr>
                  </w:pPr>
                  <w:r>
                    <w:rPr>
                      <w:rFonts w:hint="default" w:ascii="Times New Roman" w:hAnsi="Times New Roman" w:eastAsia="宋体" w:cs="Times New Roman"/>
                      <w:color w:val="000000"/>
                      <w:sz w:val="21"/>
                      <w:szCs w:val="21"/>
                      <w:highlight w:val="none"/>
                      <w:u w:val="none"/>
                      <w:lang w:val="en-US" w:eastAsia="zh-CN"/>
                    </w:rPr>
                    <w:t>2.42</w:t>
                  </w:r>
                  <w:r>
                    <w:rPr>
                      <w:rFonts w:hint="default" w:ascii="Times New Roman" w:hAnsi="Times New Roman" w:eastAsia="宋体" w:cs="Times New Roman"/>
                      <w:color w:val="000000"/>
                      <w:sz w:val="21"/>
                      <w:szCs w:val="21"/>
                      <w:highlight w:val="none"/>
                      <w:u w:val="none"/>
                    </w:rPr>
                    <w:t>×10</w:t>
                  </w:r>
                  <w:r>
                    <w:rPr>
                      <w:rFonts w:hint="default" w:ascii="Times New Roman" w:hAnsi="Times New Roman" w:eastAsia="宋体" w:cs="Times New Roman"/>
                      <w:color w:val="000000"/>
                      <w:sz w:val="21"/>
                      <w:szCs w:val="21"/>
                      <w:highlight w:val="none"/>
                      <w:u w:val="none"/>
                      <w:vertAlign w:val="superscript"/>
                      <w:lang w:val="en-US" w:eastAsia="zh-CN"/>
                    </w:rPr>
                    <w:t>13</w:t>
                  </w:r>
                  <w:r>
                    <w:rPr>
                      <w:rFonts w:hint="default" w:ascii="Times New Roman" w:hAnsi="Times New Roman" w:eastAsia="宋体" w:cs="Times New Roman"/>
                      <w:color w:val="000000"/>
                      <w:sz w:val="21"/>
                      <w:szCs w:val="21"/>
                      <w:highlight w:val="none"/>
                      <w:u w:val="none"/>
                    </w:rPr>
                    <w:t>个</w:t>
                  </w:r>
                </w:p>
              </w:tc>
              <w:tc>
                <w:tcPr>
                  <w:tcW w:w="509" w:type="pct"/>
                  <w:vMerge w:val="restart"/>
                  <w:noWrap w:val="0"/>
                  <w:vAlign w:val="center"/>
                </w:tcPr>
                <w:p w14:paraId="7558FA1B">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12</w:t>
                  </w:r>
                </w:p>
              </w:tc>
              <w:tc>
                <w:tcPr>
                  <w:tcW w:w="636" w:type="pct"/>
                  <w:vMerge w:val="restart"/>
                  <w:noWrap w:val="0"/>
                  <w:vAlign w:val="center"/>
                </w:tcPr>
                <w:p w14:paraId="5A05C3DE">
                  <w:pPr>
                    <w:pStyle w:val="31"/>
                    <w:bidi w:val="0"/>
                    <w:ind w:firstLine="0" w:firstLineChars="0"/>
                    <w:rPr>
                      <w:rFonts w:hint="default" w:ascii="Times New Roman" w:hAnsi="Times New Roman" w:cs="Times New Roman"/>
                      <w:color w:val="000000"/>
                      <w:sz w:val="21"/>
                      <w:szCs w:val="21"/>
                      <w:highlight w:val="none"/>
                      <w:u w:val="none"/>
                      <w:lang w:val="en-US" w:eastAsia="zh-CN"/>
                    </w:rPr>
                  </w:pPr>
                  <w:r>
                    <w:rPr>
                      <w:rFonts w:hint="default" w:ascii="Times New Roman" w:hAnsi="Times New Roman" w:eastAsia="宋体" w:cs="Times New Roman"/>
                      <w:color w:val="000000"/>
                      <w:sz w:val="21"/>
                      <w:szCs w:val="21"/>
                      <w:highlight w:val="none"/>
                      <w:u w:val="none"/>
                      <w:lang w:val="en-US" w:eastAsia="zh-CN"/>
                    </w:rPr>
                    <w:t>29.04</w:t>
                  </w:r>
                  <w:r>
                    <w:rPr>
                      <w:rFonts w:hint="default" w:ascii="Times New Roman" w:hAnsi="Times New Roman" w:eastAsia="宋体" w:cs="Times New Roman"/>
                      <w:color w:val="000000"/>
                      <w:sz w:val="21"/>
                      <w:szCs w:val="21"/>
                      <w:highlight w:val="none"/>
                      <w:u w:val="none"/>
                    </w:rPr>
                    <w:t>×10</w:t>
                  </w:r>
                  <w:r>
                    <w:rPr>
                      <w:rFonts w:hint="default" w:ascii="Times New Roman" w:hAnsi="Times New Roman" w:eastAsia="宋体" w:cs="Times New Roman"/>
                      <w:color w:val="000000"/>
                      <w:sz w:val="21"/>
                      <w:szCs w:val="21"/>
                      <w:highlight w:val="none"/>
                      <w:u w:val="none"/>
                      <w:vertAlign w:val="superscript"/>
                      <w:lang w:val="en-US" w:eastAsia="zh-CN"/>
                    </w:rPr>
                    <w:t>13</w:t>
                  </w:r>
                  <w:r>
                    <w:rPr>
                      <w:rFonts w:hint="default" w:ascii="Times New Roman" w:hAnsi="Times New Roman" w:eastAsia="宋体" w:cs="Times New Roman"/>
                      <w:color w:val="000000"/>
                      <w:sz w:val="21"/>
                      <w:szCs w:val="21"/>
                      <w:highlight w:val="none"/>
                      <w:u w:val="none"/>
                    </w:rPr>
                    <w:t>个</w:t>
                  </w:r>
                </w:p>
              </w:tc>
            </w:tr>
            <w:tr w14:paraId="5BCC13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75" w:type="pct"/>
                  <w:vMerge w:val="continue"/>
                  <w:noWrap w:val="0"/>
                  <w:vAlign w:val="center"/>
                </w:tcPr>
                <w:p w14:paraId="4B354B0D">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2"/>
                      <w:sz w:val="21"/>
                      <w:szCs w:val="21"/>
                      <w:highlight w:val="none"/>
                      <w:u w:val="none"/>
                      <w:lang w:val="en-US" w:eastAsia="zh-CN" w:bidi="ar-SA"/>
                    </w:rPr>
                  </w:pPr>
                </w:p>
              </w:tc>
              <w:tc>
                <w:tcPr>
                  <w:tcW w:w="587" w:type="pct"/>
                  <w:vMerge w:val="continue"/>
                  <w:noWrap w:val="0"/>
                  <w:vAlign w:val="center"/>
                </w:tcPr>
                <w:p w14:paraId="5E749F8F">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2"/>
                      <w:sz w:val="21"/>
                      <w:szCs w:val="21"/>
                      <w:highlight w:val="none"/>
                      <w:u w:val="none"/>
                      <w:lang w:val="en-US" w:eastAsia="zh-CN" w:bidi="ar-SA"/>
                    </w:rPr>
                  </w:pPr>
                </w:p>
              </w:tc>
              <w:tc>
                <w:tcPr>
                  <w:tcW w:w="568" w:type="pct"/>
                  <w:noWrap w:val="0"/>
                  <w:vAlign w:val="center"/>
                </w:tcPr>
                <w:p w14:paraId="2C64CEF9">
                  <w:pPr>
                    <w:pStyle w:val="31"/>
                    <w:bidi w:val="0"/>
                    <w:rPr>
                      <w:rFonts w:hint="default" w:ascii="Times New Roman" w:hAnsi="Times New Roman" w:cs="Times New Roman"/>
                      <w:color w:val="000000"/>
                      <w:sz w:val="21"/>
                      <w:szCs w:val="21"/>
                      <w:highlight w:val="none"/>
                      <w:u w:val="none"/>
                      <w:lang w:val="en-US" w:eastAsia="zh-CN"/>
                    </w:rPr>
                  </w:pPr>
                  <w:r>
                    <w:rPr>
                      <w:rFonts w:hint="default" w:ascii="Times New Roman" w:hAnsi="Times New Roman" w:cs="Times New Roman"/>
                      <w:color w:val="000000"/>
                      <w:sz w:val="21"/>
                      <w:szCs w:val="21"/>
                      <w:highlight w:val="none"/>
                      <w:u w:val="none"/>
                      <w:lang w:val="en-US" w:eastAsia="zh-CN"/>
                    </w:rPr>
                    <w:t>20~50</w:t>
                  </w:r>
                </w:p>
              </w:tc>
              <w:tc>
                <w:tcPr>
                  <w:tcW w:w="553" w:type="pct"/>
                  <w:noWrap w:val="0"/>
                  <w:vAlign w:val="center"/>
                </w:tcPr>
                <w:p w14:paraId="01C8E284">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 xml:space="preserve">0.27 </w:t>
                  </w:r>
                </w:p>
              </w:tc>
              <w:tc>
                <w:tcPr>
                  <w:tcW w:w="383" w:type="pct"/>
                  <w:vMerge w:val="continue"/>
                  <w:noWrap w:val="0"/>
                  <w:vAlign w:val="center"/>
                </w:tcPr>
                <w:p w14:paraId="59F2BA92">
                  <w:pPr>
                    <w:pStyle w:val="31"/>
                    <w:bidi w:val="0"/>
                    <w:rPr>
                      <w:rFonts w:hint="default" w:ascii="Times New Roman" w:hAnsi="Times New Roman" w:cs="Times New Roman"/>
                      <w:color w:val="000000"/>
                      <w:highlight w:val="none"/>
                      <w:lang w:val="en-US" w:eastAsia="zh-CN"/>
                    </w:rPr>
                  </w:pPr>
                </w:p>
              </w:tc>
              <w:tc>
                <w:tcPr>
                  <w:tcW w:w="524" w:type="pct"/>
                  <w:noWrap w:val="0"/>
                  <w:vAlign w:val="center"/>
                </w:tcPr>
                <w:p w14:paraId="5076D749">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20%</w:t>
                  </w:r>
                </w:p>
              </w:tc>
              <w:tc>
                <w:tcPr>
                  <w:tcW w:w="660" w:type="pct"/>
                  <w:vMerge w:val="continue"/>
                  <w:noWrap w:val="0"/>
                  <w:vAlign w:val="center"/>
                </w:tcPr>
                <w:p w14:paraId="2C99D09E">
                  <w:pPr>
                    <w:pStyle w:val="31"/>
                    <w:bidi w:val="0"/>
                    <w:rPr>
                      <w:rFonts w:hint="default" w:ascii="Times New Roman" w:hAnsi="Times New Roman" w:cs="Times New Roman"/>
                      <w:color w:val="000000"/>
                      <w:highlight w:val="none"/>
                      <w:lang w:val="en-US" w:eastAsia="zh-CN"/>
                    </w:rPr>
                  </w:pPr>
                </w:p>
              </w:tc>
              <w:tc>
                <w:tcPr>
                  <w:tcW w:w="509" w:type="pct"/>
                  <w:vMerge w:val="continue"/>
                  <w:noWrap w:val="0"/>
                  <w:vAlign w:val="center"/>
                </w:tcPr>
                <w:p w14:paraId="71686524">
                  <w:pPr>
                    <w:pStyle w:val="31"/>
                    <w:bidi w:val="0"/>
                    <w:rPr>
                      <w:rFonts w:hint="default" w:ascii="Times New Roman" w:hAnsi="Times New Roman" w:cs="Times New Roman"/>
                      <w:color w:val="000000"/>
                      <w:highlight w:val="none"/>
                      <w:lang w:val="en-US" w:eastAsia="zh-CN"/>
                    </w:rPr>
                  </w:pPr>
                </w:p>
              </w:tc>
              <w:tc>
                <w:tcPr>
                  <w:tcW w:w="636" w:type="pct"/>
                  <w:vMerge w:val="continue"/>
                  <w:noWrap w:val="0"/>
                  <w:vAlign w:val="center"/>
                </w:tcPr>
                <w:p w14:paraId="2BB92402">
                  <w:pPr>
                    <w:pStyle w:val="31"/>
                    <w:bidi w:val="0"/>
                    <w:rPr>
                      <w:rFonts w:hint="default" w:ascii="Times New Roman" w:hAnsi="Times New Roman" w:cs="Times New Roman"/>
                      <w:color w:val="000000"/>
                      <w:sz w:val="21"/>
                      <w:szCs w:val="21"/>
                      <w:highlight w:val="none"/>
                      <w:u w:val="none"/>
                      <w:lang w:val="en-US" w:eastAsia="zh-CN"/>
                    </w:rPr>
                  </w:pPr>
                </w:p>
              </w:tc>
            </w:tr>
            <w:tr w14:paraId="60AC2E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75" w:type="pct"/>
                  <w:vMerge w:val="continue"/>
                  <w:noWrap w:val="0"/>
                  <w:vAlign w:val="center"/>
                </w:tcPr>
                <w:p w14:paraId="0444349F">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2"/>
                      <w:sz w:val="21"/>
                      <w:szCs w:val="21"/>
                      <w:highlight w:val="none"/>
                      <w:u w:val="none"/>
                      <w:lang w:val="en-US" w:eastAsia="zh-CN" w:bidi="ar-SA"/>
                    </w:rPr>
                  </w:pPr>
                </w:p>
              </w:tc>
              <w:tc>
                <w:tcPr>
                  <w:tcW w:w="587" w:type="pct"/>
                  <w:vMerge w:val="continue"/>
                  <w:noWrap w:val="0"/>
                  <w:vAlign w:val="center"/>
                </w:tcPr>
                <w:p w14:paraId="16A5CDA1">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2"/>
                      <w:sz w:val="21"/>
                      <w:szCs w:val="21"/>
                      <w:highlight w:val="none"/>
                      <w:u w:val="none"/>
                      <w:lang w:val="en-US" w:eastAsia="zh-CN" w:bidi="ar-SA"/>
                    </w:rPr>
                  </w:pPr>
                </w:p>
              </w:tc>
              <w:tc>
                <w:tcPr>
                  <w:tcW w:w="568" w:type="pct"/>
                  <w:noWrap w:val="0"/>
                  <w:vAlign w:val="center"/>
                </w:tcPr>
                <w:p w14:paraId="6D0E0FA6">
                  <w:pPr>
                    <w:pStyle w:val="31"/>
                    <w:bidi w:val="0"/>
                    <w:rPr>
                      <w:rFonts w:hint="default" w:ascii="Times New Roman" w:hAnsi="Times New Roman" w:cs="Times New Roman"/>
                      <w:color w:val="000000"/>
                      <w:sz w:val="21"/>
                      <w:szCs w:val="21"/>
                      <w:highlight w:val="none"/>
                      <w:u w:val="none"/>
                      <w:lang w:val="en-US" w:eastAsia="zh-CN"/>
                    </w:rPr>
                  </w:pPr>
                  <w:r>
                    <w:rPr>
                      <w:rFonts w:hint="default" w:ascii="Times New Roman" w:hAnsi="Times New Roman" w:cs="Times New Roman"/>
                      <w:color w:val="000000"/>
                      <w:sz w:val="21"/>
                      <w:szCs w:val="21"/>
                      <w:highlight w:val="none"/>
                      <w:u w:val="none"/>
                      <w:lang w:val="en-US" w:eastAsia="zh-CN"/>
                    </w:rPr>
                    <w:t>50~100</w:t>
                  </w:r>
                </w:p>
              </w:tc>
              <w:tc>
                <w:tcPr>
                  <w:tcW w:w="553" w:type="pct"/>
                  <w:noWrap w:val="0"/>
                  <w:vAlign w:val="center"/>
                </w:tcPr>
                <w:p w14:paraId="51C3B7E6">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0.15</w:t>
                  </w:r>
                </w:p>
              </w:tc>
              <w:tc>
                <w:tcPr>
                  <w:tcW w:w="383" w:type="pct"/>
                  <w:vMerge w:val="continue"/>
                  <w:noWrap w:val="0"/>
                  <w:vAlign w:val="center"/>
                </w:tcPr>
                <w:p w14:paraId="4F8F324C">
                  <w:pPr>
                    <w:pStyle w:val="31"/>
                    <w:bidi w:val="0"/>
                    <w:rPr>
                      <w:rFonts w:hint="default" w:ascii="Times New Roman" w:hAnsi="Times New Roman" w:cs="Times New Roman"/>
                      <w:color w:val="000000"/>
                      <w:highlight w:val="none"/>
                      <w:lang w:val="en-US" w:eastAsia="zh-CN"/>
                    </w:rPr>
                  </w:pPr>
                </w:p>
              </w:tc>
              <w:tc>
                <w:tcPr>
                  <w:tcW w:w="524" w:type="pct"/>
                  <w:noWrap w:val="0"/>
                  <w:vAlign w:val="center"/>
                </w:tcPr>
                <w:p w14:paraId="026AA7B4">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40%</w:t>
                  </w:r>
                </w:p>
              </w:tc>
              <w:tc>
                <w:tcPr>
                  <w:tcW w:w="660" w:type="pct"/>
                  <w:vMerge w:val="continue"/>
                  <w:noWrap w:val="0"/>
                  <w:vAlign w:val="center"/>
                </w:tcPr>
                <w:p w14:paraId="481D3ABA">
                  <w:pPr>
                    <w:pStyle w:val="31"/>
                    <w:bidi w:val="0"/>
                    <w:rPr>
                      <w:rFonts w:hint="default" w:ascii="Times New Roman" w:hAnsi="Times New Roman" w:cs="Times New Roman"/>
                      <w:color w:val="000000"/>
                      <w:highlight w:val="none"/>
                      <w:lang w:val="en-US" w:eastAsia="zh-CN"/>
                    </w:rPr>
                  </w:pPr>
                </w:p>
              </w:tc>
              <w:tc>
                <w:tcPr>
                  <w:tcW w:w="509" w:type="pct"/>
                  <w:vMerge w:val="continue"/>
                  <w:noWrap w:val="0"/>
                  <w:vAlign w:val="center"/>
                </w:tcPr>
                <w:p w14:paraId="6AEC2DEF">
                  <w:pPr>
                    <w:pStyle w:val="31"/>
                    <w:bidi w:val="0"/>
                    <w:rPr>
                      <w:rFonts w:hint="default" w:ascii="Times New Roman" w:hAnsi="Times New Roman" w:cs="Times New Roman"/>
                      <w:color w:val="000000"/>
                      <w:highlight w:val="none"/>
                      <w:lang w:val="en-US" w:eastAsia="zh-CN"/>
                    </w:rPr>
                  </w:pPr>
                </w:p>
              </w:tc>
              <w:tc>
                <w:tcPr>
                  <w:tcW w:w="636" w:type="pct"/>
                  <w:vMerge w:val="continue"/>
                  <w:noWrap w:val="0"/>
                  <w:vAlign w:val="center"/>
                </w:tcPr>
                <w:p w14:paraId="6DC019E0">
                  <w:pPr>
                    <w:pStyle w:val="31"/>
                    <w:bidi w:val="0"/>
                    <w:rPr>
                      <w:rFonts w:hint="default" w:ascii="Times New Roman" w:hAnsi="Times New Roman" w:cs="Times New Roman"/>
                      <w:color w:val="000000"/>
                      <w:sz w:val="21"/>
                      <w:szCs w:val="21"/>
                      <w:highlight w:val="none"/>
                      <w:u w:val="none"/>
                      <w:lang w:val="en-US" w:eastAsia="zh-CN"/>
                    </w:rPr>
                  </w:pPr>
                </w:p>
              </w:tc>
            </w:tr>
            <w:tr w14:paraId="0271CC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75" w:type="pct"/>
                  <w:vMerge w:val="continue"/>
                  <w:noWrap w:val="0"/>
                  <w:vAlign w:val="center"/>
                </w:tcPr>
                <w:p w14:paraId="779DEA03">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2"/>
                      <w:sz w:val="21"/>
                      <w:szCs w:val="21"/>
                      <w:highlight w:val="none"/>
                      <w:u w:val="none"/>
                      <w:lang w:val="en-US" w:eastAsia="zh-CN" w:bidi="ar-SA"/>
                    </w:rPr>
                  </w:pPr>
                </w:p>
              </w:tc>
              <w:tc>
                <w:tcPr>
                  <w:tcW w:w="587" w:type="pct"/>
                  <w:vMerge w:val="continue"/>
                  <w:noWrap w:val="0"/>
                  <w:vAlign w:val="center"/>
                </w:tcPr>
                <w:p w14:paraId="47464BCA">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2"/>
                      <w:sz w:val="21"/>
                      <w:szCs w:val="21"/>
                      <w:highlight w:val="none"/>
                      <w:u w:val="none"/>
                      <w:lang w:val="en-US" w:eastAsia="zh-CN" w:bidi="ar-SA"/>
                    </w:rPr>
                  </w:pPr>
                </w:p>
              </w:tc>
              <w:tc>
                <w:tcPr>
                  <w:tcW w:w="568" w:type="pct"/>
                  <w:noWrap w:val="0"/>
                  <w:vAlign w:val="center"/>
                </w:tcPr>
                <w:p w14:paraId="4B9AFE7F">
                  <w:pPr>
                    <w:pStyle w:val="31"/>
                    <w:bidi w:val="0"/>
                    <w:rPr>
                      <w:rFonts w:hint="default" w:ascii="Times New Roman" w:hAnsi="Times New Roman" w:cs="Times New Roman"/>
                      <w:color w:val="000000"/>
                      <w:sz w:val="21"/>
                      <w:szCs w:val="21"/>
                      <w:highlight w:val="none"/>
                      <w:u w:val="none"/>
                      <w:lang w:val="en-US" w:eastAsia="zh-CN"/>
                    </w:rPr>
                  </w:pPr>
                  <w:r>
                    <w:rPr>
                      <w:rFonts w:hint="default" w:ascii="Times New Roman" w:hAnsi="Times New Roman" w:cs="Times New Roman"/>
                      <w:color w:val="000000"/>
                      <w:sz w:val="21"/>
                      <w:szCs w:val="21"/>
                      <w:highlight w:val="none"/>
                      <w:u w:val="none"/>
                      <w:lang w:val="en-US" w:eastAsia="zh-CN"/>
                    </w:rPr>
                    <w:t>&gt;100</w:t>
                  </w:r>
                </w:p>
              </w:tc>
              <w:tc>
                <w:tcPr>
                  <w:tcW w:w="553" w:type="pct"/>
                  <w:noWrap w:val="0"/>
                  <w:vAlign w:val="center"/>
                </w:tcPr>
                <w:p w14:paraId="2E02C9AA">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 xml:space="preserve">0.28 </w:t>
                  </w:r>
                </w:p>
              </w:tc>
              <w:tc>
                <w:tcPr>
                  <w:tcW w:w="383" w:type="pct"/>
                  <w:vMerge w:val="continue"/>
                  <w:noWrap w:val="0"/>
                  <w:vAlign w:val="center"/>
                </w:tcPr>
                <w:p w14:paraId="086F9A2D">
                  <w:pPr>
                    <w:pStyle w:val="31"/>
                    <w:bidi w:val="0"/>
                    <w:rPr>
                      <w:rFonts w:hint="default" w:ascii="Times New Roman" w:hAnsi="Times New Roman" w:cs="Times New Roman"/>
                      <w:color w:val="000000"/>
                      <w:highlight w:val="none"/>
                      <w:lang w:val="en-US" w:eastAsia="zh-CN"/>
                    </w:rPr>
                  </w:pPr>
                </w:p>
              </w:tc>
              <w:tc>
                <w:tcPr>
                  <w:tcW w:w="524" w:type="pct"/>
                  <w:noWrap w:val="0"/>
                  <w:vAlign w:val="center"/>
                </w:tcPr>
                <w:p w14:paraId="6E4AE78F">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50%</w:t>
                  </w:r>
                </w:p>
              </w:tc>
              <w:tc>
                <w:tcPr>
                  <w:tcW w:w="660" w:type="pct"/>
                  <w:vMerge w:val="continue"/>
                  <w:noWrap w:val="0"/>
                  <w:vAlign w:val="center"/>
                </w:tcPr>
                <w:p w14:paraId="1C3A62C7">
                  <w:pPr>
                    <w:pStyle w:val="31"/>
                    <w:bidi w:val="0"/>
                    <w:rPr>
                      <w:rFonts w:hint="default" w:ascii="Times New Roman" w:hAnsi="Times New Roman" w:cs="Times New Roman"/>
                      <w:color w:val="000000"/>
                      <w:highlight w:val="none"/>
                      <w:lang w:val="en-US" w:eastAsia="zh-CN"/>
                    </w:rPr>
                  </w:pPr>
                </w:p>
              </w:tc>
              <w:tc>
                <w:tcPr>
                  <w:tcW w:w="509" w:type="pct"/>
                  <w:vMerge w:val="continue"/>
                  <w:noWrap w:val="0"/>
                  <w:vAlign w:val="center"/>
                </w:tcPr>
                <w:p w14:paraId="3B179EAC">
                  <w:pPr>
                    <w:pStyle w:val="31"/>
                    <w:bidi w:val="0"/>
                    <w:rPr>
                      <w:rFonts w:hint="default" w:ascii="Times New Roman" w:hAnsi="Times New Roman" w:cs="Times New Roman"/>
                      <w:color w:val="000000"/>
                      <w:highlight w:val="none"/>
                      <w:lang w:val="en-US" w:eastAsia="zh-CN"/>
                    </w:rPr>
                  </w:pPr>
                </w:p>
              </w:tc>
              <w:tc>
                <w:tcPr>
                  <w:tcW w:w="636" w:type="pct"/>
                  <w:vMerge w:val="continue"/>
                  <w:noWrap w:val="0"/>
                  <w:vAlign w:val="center"/>
                </w:tcPr>
                <w:p w14:paraId="6A5572C8">
                  <w:pPr>
                    <w:pStyle w:val="31"/>
                    <w:bidi w:val="0"/>
                    <w:rPr>
                      <w:rFonts w:hint="default" w:ascii="Times New Roman" w:hAnsi="Times New Roman" w:cs="Times New Roman"/>
                      <w:color w:val="000000"/>
                      <w:sz w:val="21"/>
                      <w:szCs w:val="21"/>
                      <w:highlight w:val="none"/>
                      <w:u w:val="none"/>
                      <w:lang w:val="en-US" w:eastAsia="zh-CN"/>
                    </w:rPr>
                  </w:pPr>
                </w:p>
              </w:tc>
            </w:tr>
            <w:tr w14:paraId="1EE7D5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75" w:type="pct"/>
                  <w:vMerge w:val="restart"/>
                  <w:noWrap w:val="0"/>
                  <w:vAlign w:val="center"/>
                </w:tcPr>
                <w:p w14:paraId="3CF6887A">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2"/>
                      <w:sz w:val="21"/>
                      <w:szCs w:val="21"/>
                      <w:highlight w:val="none"/>
                      <w:u w:val="none"/>
                      <w:lang w:val="en-US" w:eastAsia="zh-CN" w:bidi="ar-SA"/>
                    </w:rPr>
                  </w:pPr>
                  <w:r>
                    <w:rPr>
                      <w:rFonts w:hint="default" w:ascii="Times New Roman" w:hAnsi="Times New Roman" w:eastAsia="宋体" w:cs="Times New Roman"/>
                      <w:color w:val="000000"/>
                      <w:kern w:val="2"/>
                      <w:sz w:val="21"/>
                      <w:szCs w:val="21"/>
                      <w:highlight w:val="none"/>
                      <w:u w:val="none"/>
                      <w:lang w:val="en-US" w:eastAsia="zh-CN" w:bidi="ar-SA"/>
                    </w:rPr>
                    <w:t>浮游动物</w:t>
                  </w:r>
                </w:p>
              </w:tc>
              <w:tc>
                <w:tcPr>
                  <w:tcW w:w="587" w:type="pct"/>
                  <w:vMerge w:val="restart"/>
                  <w:noWrap w:val="0"/>
                  <w:vAlign w:val="center"/>
                </w:tcPr>
                <w:p w14:paraId="47FF0902">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2"/>
                      <w:sz w:val="21"/>
                      <w:szCs w:val="21"/>
                      <w:highlight w:val="none"/>
                      <w:u w:val="none"/>
                      <w:lang w:val="en-US" w:eastAsia="zh-CN" w:bidi="ar-SA"/>
                    </w:rPr>
                  </w:pPr>
                </w:p>
              </w:tc>
              <w:tc>
                <w:tcPr>
                  <w:tcW w:w="568" w:type="pct"/>
                  <w:noWrap w:val="0"/>
                  <w:vAlign w:val="center"/>
                </w:tcPr>
                <w:p w14:paraId="2872E26C">
                  <w:pPr>
                    <w:pStyle w:val="31"/>
                    <w:bidi w:val="0"/>
                    <w:rPr>
                      <w:rFonts w:hint="default" w:ascii="Times New Roman" w:hAnsi="Times New Roman" w:cs="Times New Roman"/>
                      <w:color w:val="000000"/>
                      <w:sz w:val="21"/>
                      <w:szCs w:val="21"/>
                      <w:highlight w:val="none"/>
                      <w:u w:val="none"/>
                      <w:lang w:val="en-US" w:eastAsia="zh-CN"/>
                    </w:rPr>
                  </w:pPr>
                  <w:r>
                    <w:rPr>
                      <w:rFonts w:hint="default" w:ascii="Times New Roman" w:hAnsi="Times New Roman" w:cs="Times New Roman"/>
                      <w:color w:val="000000"/>
                      <w:sz w:val="21"/>
                      <w:szCs w:val="21"/>
                      <w:highlight w:val="none"/>
                      <w:u w:val="none"/>
                      <w:lang w:val="en-US" w:eastAsia="zh-CN"/>
                    </w:rPr>
                    <w:t>10~20</w:t>
                  </w:r>
                </w:p>
              </w:tc>
              <w:tc>
                <w:tcPr>
                  <w:tcW w:w="553" w:type="pct"/>
                  <w:noWrap w:val="0"/>
                  <w:vAlign w:val="center"/>
                </w:tcPr>
                <w:p w14:paraId="4FC06560">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0.26</w:t>
                  </w:r>
                </w:p>
              </w:tc>
              <w:tc>
                <w:tcPr>
                  <w:tcW w:w="383" w:type="pct"/>
                  <w:vMerge w:val="restart"/>
                  <w:noWrap w:val="0"/>
                  <w:vAlign w:val="center"/>
                </w:tcPr>
                <w:p w14:paraId="7C10627C">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5.0</w:t>
                  </w:r>
                </w:p>
              </w:tc>
              <w:tc>
                <w:tcPr>
                  <w:tcW w:w="524" w:type="pct"/>
                  <w:noWrap w:val="0"/>
                  <w:vAlign w:val="center"/>
                </w:tcPr>
                <w:p w14:paraId="58C59F5E">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5%</w:t>
                  </w:r>
                </w:p>
              </w:tc>
              <w:tc>
                <w:tcPr>
                  <w:tcW w:w="660" w:type="pct"/>
                  <w:vMerge w:val="restart"/>
                  <w:noWrap w:val="0"/>
                  <w:vAlign w:val="center"/>
                </w:tcPr>
                <w:p w14:paraId="36CA3B0B">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129.35kg</w:t>
                  </w:r>
                </w:p>
              </w:tc>
              <w:tc>
                <w:tcPr>
                  <w:tcW w:w="509" w:type="pct"/>
                  <w:vMerge w:val="restart"/>
                  <w:noWrap w:val="0"/>
                  <w:vAlign w:val="center"/>
                </w:tcPr>
                <w:p w14:paraId="34301B4D">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12</w:t>
                  </w:r>
                </w:p>
              </w:tc>
              <w:tc>
                <w:tcPr>
                  <w:tcW w:w="636" w:type="pct"/>
                  <w:vMerge w:val="restart"/>
                  <w:noWrap w:val="0"/>
                  <w:vAlign w:val="center"/>
                </w:tcPr>
                <w:p w14:paraId="7B6A0F13">
                  <w:pPr>
                    <w:pStyle w:val="31"/>
                    <w:bidi w:val="0"/>
                    <w:ind w:firstLine="0" w:firstLineChars="0"/>
                    <w:rPr>
                      <w:rFonts w:hint="default" w:ascii="Times New Roman" w:hAnsi="Times New Roman" w:cs="Times New Roman"/>
                      <w:color w:val="000000"/>
                      <w:sz w:val="21"/>
                      <w:szCs w:val="21"/>
                      <w:highlight w:val="none"/>
                      <w:u w:val="none"/>
                      <w:lang w:val="en-US" w:eastAsia="zh-CN"/>
                    </w:rPr>
                  </w:pPr>
                  <w:r>
                    <w:rPr>
                      <w:rFonts w:hint="default" w:ascii="Times New Roman" w:hAnsi="Times New Roman" w:cs="Times New Roman"/>
                      <w:color w:val="000000"/>
                      <w:sz w:val="21"/>
                      <w:szCs w:val="21"/>
                      <w:highlight w:val="none"/>
                      <w:u w:val="none"/>
                      <w:lang w:val="en-US" w:eastAsia="zh-CN"/>
                    </w:rPr>
                    <w:t>1552.20kg</w:t>
                  </w:r>
                </w:p>
              </w:tc>
            </w:tr>
            <w:tr w14:paraId="7AFEFC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75" w:type="pct"/>
                  <w:vMerge w:val="continue"/>
                  <w:noWrap w:val="0"/>
                  <w:vAlign w:val="center"/>
                </w:tcPr>
                <w:p w14:paraId="5489C8BF">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2"/>
                      <w:sz w:val="21"/>
                      <w:szCs w:val="21"/>
                      <w:highlight w:val="none"/>
                      <w:u w:val="none"/>
                      <w:lang w:val="en-US" w:eastAsia="zh-CN" w:bidi="ar-SA"/>
                    </w:rPr>
                  </w:pPr>
                </w:p>
              </w:tc>
              <w:tc>
                <w:tcPr>
                  <w:tcW w:w="587" w:type="pct"/>
                  <w:vMerge w:val="continue"/>
                  <w:noWrap w:val="0"/>
                  <w:vAlign w:val="center"/>
                </w:tcPr>
                <w:p w14:paraId="239CEC28">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2"/>
                      <w:sz w:val="21"/>
                      <w:szCs w:val="21"/>
                      <w:highlight w:val="none"/>
                      <w:u w:val="none"/>
                      <w:lang w:val="en-US" w:eastAsia="zh-CN" w:bidi="ar-SA"/>
                    </w:rPr>
                  </w:pPr>
                </w:p>
              </w:tc>
              <w:tc>
                <w:tcPr>
                  <w:tcW w:w="568" w:type="pct"/>
                  <w:noWrap w:val="0"/>
                  <w:vAlign w:val="center"/>
                </w:tcPr>
                <w:p w14:paraId="29D907A0">
                  <w:pPr>
                    <w:pStyle w:val="31"/>
                    <w:bidi w:val="0"/>
                    <w:rPr>
                      <w:rFonts w:hint="default" w:ascii="Times New Roman" w:hAnsi="Times New Roman" w:cs="Times New Roman"/>
                      <w:color w:val="000000"/>
                      <w:sz w:val="21"/>
                      <w:szCs w:val="21"/>
                      <w:highlight w:val="none"/>
                      <w:u w:val="none"/>
                      <w:lang w:val="en-US" w:eastAsia="zh-CN"/>
                    </w:rPr>
                  </w:pPr>
                  <w:r>
                    <w:rPr>
                      <w:rFonts w:hint="default" w:ascii="Times New Roman" w:hAnsi="Times New Roman" w:cs="Times New Roman"/>
                      <w:color w:val="000000"/>
                      <w:sz w:val="21"/>
                      <w:szCs w:val="21"/>
                      <w:highlight w:val="none"/>
                      <w:u w:val="none"/>
                      <w:lang w:val="en-US" w:eastAsia="zh-CN"/>
                    </w:rPr>
                    <w:t>20~50</w:t>
                  </w:r>
                </w:p>
              </w:tc>
              <w:tc>
                <w:tcPr>
                  <w:tcW w:w="553" w:type="pct"/>
                  <w:noWrap w:val="0"/>
                  <w:vAlign w:val="center"/>
                </w:tcPr>
                <w:p w14:paraId="0A536BA3">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 xml:space="preserve">0.27 </w:t>
                  </w:r>
                </w:p>
              </w:tc>
              <w:tc>
                <w:tcPr>
                  <w:tcW w:w="383" w:type="pct"/>
                  <w:vMerge w:val="continue"/>
                  <w:noWrap w:val="0"/>
                  <w:vAlign w:val="center"/>
                </w:tcPr>
                <w:p w14:paraId="6C9BF335">
                  <w:pPr>
                    <w:pStyle w:val="31"/>
                    <w:bidi w:val="0"/>
                    <w:rPr>
                      <w:rFonts w:hint="default" w:ascii="Times New Roman" w:hAnsi="Times New Roman" w:cs="Times New Roman"/>
                      <w:color w:val="000000"/>
                      <w:highlight w:val="none"/>
                      <w:lang w:val="en-US" w:eastAsia="zh-CN"/>
                    </w:rPr>
                  </w:pPr>
                </w:p>
              </w:tc>
              <w:tc>
                <w:tcPr>
                  <w:tcW w:w="524" w:type="pct"/>
                  <w:noWrap w:val="0"/>
                  <w:vAlign w:val="center"/>
                </w:tcPr>
                <w:p w14:paraId="00B1F1E3">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20%</w:t>
                  </w:r>
                </w:p>
              </w:tc>
              <w:tc>
                <w:tcPr>
                  <w:tcW w:w="660" w:type="pct"/>
                  <w:vMerge w:val="continue"/>
                  <w:noWrap w:val="0"/>
                  <w:vAlign w:val="center"/>
                </w:tcPr>
                <w:p w14:paraId="1D9BBABF">
                  <w:pPr>
                    <w:pStyle w:val="31"/>
                    <w:bidi w:val="0"/>
                    <w:rPr>
                      <w:rFonts w:hint="default" w:ascii="Times New Roman" w:hAnsi="Times New Roman" w:cs="Times New Roman"/>
                      <w:color w:val="000000"/>
                      <w:highlight w:val="none"/>
                      <w:lang w:val="en-US" w:eastAsia="zh-CN"/>
                    </w:rPr>
                  </w:pPr>
                </w:p>
              </w:tc>
              <w:tc>
                <w:tcPr>
                  <w:tcW w:w="509" w:type="pct"/>
                  <w:vMerge w:val="continue"/>
                  <w:noWrap w:val="0"/>
                  <w:vAlign w:val="center"/>
                </w:tcPr>
                <w:p w14:paraId="00AD5A4F">
                  <w:pPr>
                    <w:pStyle w:val="31"/>
                    <w:bidi w:val="0"/>
                    <w:rPr>
                      <w:rFonts w:hint="default" w:ascii="Times New Roman" w:hAnsi="Times New Roman" w:cs="Times New Roman"/>
                      <w:color w:val="000000"/>
                      <w:highlight w:val="none"/>
                      <w:lang w:val="en-US" w:eastAsia="zh-CN"/>
                    </w:rPr>
                  </w:pPr>
                </w:p>
              </w:tc>
              <w:tc>
                <w:tcPr>
                  <w:tcW w:w="636" w:type="pct"/>
                  <w:vMerge w:val="continue"/>
                  <w:noWrap w:val="0"/>
                  <w:vAlign w:val="center"/>
                </w:tcPr>
                <w:p w14:paraId="648B08C7">
                  <w:pPr>
                    <w:pStyle w:val="31"/>
                    <w:bidi w:val="0"/>
                    <w:rPr>
                      <w:rFonts w:hint="default" w:ascii="Times New Roman" w:hAnsi="Times New Roman" w:cs="Times New Roman"/>
                      <w:color w:val="000000"/>
                      <w:sz w:val="21"/>
                      <w:szCs w:val="21"/>
                      <w:highlight w:val="none"/>
                      <w:u w:val="none"/>
                      <w:lang w:val="en-US" w:eastAsia="zh-CN"/>
                    </w:rPr>
                  </w:pPr>
                </w:p>
              </w:tc>
            </w:tr>
            <w:tr w14:paraId="2585D8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75" w:type="pct"/>
                  <w:vMerge w:val="continue"/>
                  <w:noWrap w:val="0"/>
                  <w:vAlign w:val="center"/>
                </w:tcPr>
                <w:p w14:paraId="6720A767">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2"/>
                      <w:sz w:val="21"/>
                      <w:szCs w:val="21"/>
                      <w:highlight w:val="none"/>
                      <w:u w:val="none"/>
                      <w:lang w:val="en-US" w:eastAsia="zh-CN" w:bidi="ar-SA"/>
                    </w:rPr>
                  </w:pPr>
                </w:p>
              </w:tc>
              <w:tc>
                <w:tcPr>
                  <w:tcW w:w="587" w:type="pct"/>
                  <w:vMerge w:val="continue"/>
                  <w:noWrap w:val="0"/>
                  <w:vAlign w:val="center"/>
                </w:tcPr>
                <w:p w14:paraId="7A558903">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2"/>
                      <w:sz w:val="21"/>
                      <w:szCs w:val="21"/>
                      <w:highlight w:val="none"/>
                      <w:u w:val="none"/>
                      <w:lang w:val="en-US" w:eastAsia="zh-CN" w:bidi="ar-SA"/>
                    </w:rPr>
                  </w:pPr>
                </w:p>
              </w:tc>
              <w:tc>
                <w:tcPr>
                  <w:tcW w:w="568" w:type="pct"/>
                  <w:noWrap w:val="0"/>
                  <w:vAlign w:val="center"/>
                </w:tcPr>
                <w:p w14:paraId="0066E3F8">
                  <w:pPr>
                    <w:pStyle w:val="31"/>
                    <w:bidi w:val="0"/>
                    <w:rPr>
                      <w:rFonts w:hint="default" w:ascii="Times New Roman" w:hAnsi="Times New Roman" w:cs="Times New Roman"/>
                      <w:color w:val="000000"/>
                      <w:sz w:val="21"/>
                      <w:szCs w:val="21"/>
                      <w:highlight w:val="none"/>
                      <w:u w:val="none"/>
                      <w:lang w:val="en-US" w:eastAsia="zh-CN"/>
                    </w:rPr>
                  </w:pPr>
                  <w:r>
                    <w:rPr>
                      <w:rFonts w:hint="default" w:ascii="Times New Roman" w:hAnsi="Times New Roman" w:cs="Times New Roman"/>
                      <w:color w:val="000000"/>
                      <w:sz w:val="21"/>
                      <w:szCs w:val="21"/>
                      <w:highlight w:val="none"/>
                      <w:u w:val="none"/>
                      <w:lang w:val="en-US" w:eastAsia="zh-CN"/>
                    </w:rPr>
                    <w:t>50~100</w:t>
                  </w:r>
                </w:p>
              </w:tc>
              <w:tc>
                <w:tcPr>
                  <w:tcW w:w="553" w:type="pct"/>
                  <w:noWrap w:val="0"/>
                  <w:vAlign w:val="center"/>
                </w:tcPr>
                <w:p w14:paraId="270A7B72">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0.15</w:t>
                  </w:r>
                </w:p>
              </w:tc>
              <w:tc>
                <w:tcPr>
                  <w:tcW w:w="383" w:type="pct"/>
                  <w:vMerge w:val="continue"/>
                  <w:noWrap w:val="0"/>
                  <w:vAlign w:val="center"/>
                </w:tcPr>
                <w:p w14:paraId="450AF441">
                  <w:pPr>
                    <w:pStyle w:val="31"/>
                    <w:bidi w:val="0"/>
                    <w:rPr>
                      <w:rFonts w:hint="default" w:ascii="Times New Roman" w:hAnsi="Times New Roman" w:cs="Times New Roman"/>
                      <w:color w:val="000000"/>
                      <w:highlight w:val="none"/>
                      <w:lang w:val="en-US" w:eastAsia="zh-CN"/>
                    </w:rPr>
                  </w:pPr>
                </w:p>
              </w:tc>
              <w:tc>
                <w:tcPr>
                  <w:tcW w:w="524" w:type="pct"/>
                  <w:noWrap w:val="0"/>
                  <w:vAlign w:val="center"/>
                </w:tcPr>
                <w:p w14:paraId="74E0C87E">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40%</w:t>
                  </w:r>
                </w:p>
              </w:tc>
              <w:tc>
                <w:tcPr>
                  <w:tcW w:w="660" w:type="pct"/>
                  <w:vMerge w:val="continue"/>
                  <w:noWrap w:val="0"/>
                  <w:vAlign w:val="center"/>
                </w:tcPr>
                <w:p w14:paraId="5FBBD046">
                  <w:pPr>
                    <w:pStyle w:val="31"/>
                    <w:bidi w:val="0"/>
                    <w:rPr>
                      <w:rFonts w:hint="default" w:ascii="Times New Roman" w:hAnsi="Times New Roman" w:cs="Times New Roman"/>
                      <w:color w:val="000000"/>
                      <w:highlight w:val="none"/>
                      <w:lang w:val="en-US" w:eastAsia="zh-CN"/>
                    </w:rPr>
                  </w:pPr>
                </w:p>
              </w:tc>
              <w:tc>
                <w:tcPr>
                  <w:tcW w:w="509" w:type="pct"/>
                  <w:vMerge w:val="continue"/>
                  <w:noWrap w:val="0"/>
                  <w:vAlign w:val="center"/>
                </w:tcPr>
                <w:p w14:paraId="3322708D">
                  <w:pPr>
                    <w:pStyle w:val="31"/>
                    <w:bidi w:val="0"/>
                    <w:rPr>
                      <w:rFonts w:hint="default" w:ascii="Times New Roman" w:hAnsi="Times New Roman" w:cs="Times New Roman"/>
                      <w:color w:val="000000"/>
                      <w:highlight w:val="none"/>
                      <w:lang w:val="en-US" w:eastAsia="zh-CN"/>
                    </w:rPr>
                  </w:pPr>
                </w:p>
              </w:tc>
              <w:tc>
                <w:tcPr>
                  <w:tcW w:w="636" w:type="pct"/>
                  <w:vMerge w:val="continue"/>
                  <w:noWrap w:val="0"/>
                  <w:vAlign w:val="center"/>
                </w:tcPr>
                <w:p w14:paraId="3D74294F">
                  <w:pPr>
                    <w:pStyle w:val="31"/>
                    <w:bidi w:val="0"/>
                    <w:rPr>
                      <w:rFonts w:hint="default" w:ascii="Times New Roman" w:hAnsi="Times New Roman" w:cs="Times New Roman"/>
                      <w:color w:val="000000"/>
                      <w:sz w:val="21"/>
                      <w:szCs w:val="21"/>
                      <w:highlight w:val="none"/>
                      <w:u w:val="none"/>
                      <w:lang w:val="en-US" w:eastAsia="zh-CN"/>
                    </w:rPr>
                  </w:pPr>
                </w:p>
              </w:tc>
            </w:tr>
            <w:tr w14:paraId="30BE2B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75" w:type="pct"/>
                  <w:vMerge w:val="continue"/>
                  <w:noWrap w:val="0"/>
                  <w:vAlign w:val="center"/>
                </w:tcPr>
                <w:p w14:paraId="7006ED2C">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2"/>
                      <w:sz w:val="21"/>
                      <w:szCs w:val="21"/>
                      <w:highlight w:val="none"/>
                      <w:u w:val="none"/>
                      <w:lang w:val="en-US" w:eastAsia="zh-CN" w:bidi="ar-SA"/>
                    </w:rPr>
                  </w:pPr>
                </w:p>
              </w:tc>
              <w:tc>
                <w:tcPr>
                  <w:tcW w:w="587" w:type="pct"/>
                  <w:vMerge w:val="continue"/>
                  <w:noWrap w:val="0"/>
                  <w:vAlign w:val="center"/>
                </w:tcPr>
                <w:p w14:paraId="4434E509">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2"/>
                      <w:sz w:val="21"/>
                      <w:szCs w:val="21"/>
                      <w:highlight w:val="none"/>
                      <w:u w:val="none"/>
                      <w:lang w:val="en-US" w:eastAsia="zh-CN" w:bidi="ar-SA"/>
                    </w:rPr>
                  </w:pPr>
                </w:p>
              </w:tc>
              <w:tc>
                <w:tcPr>
                  <w:tcW w:w="568" w:type="pct"/>
                  <w:noWrap w:val="0"/>
                  <w:vAlign w:val="center"/>
                </w:tcPr>
                <w:p w14:paraId="64349E1F">
                  <w:pPr>
                    <w:pStyle w:val="31"/>
                    <w:bidi w:val="0"/>
                    <w:rPr>
                      <w:rFonts w:hint="default" w:ascii="Times New Roman" w:hAnsi="Times New Roman" w:cs="Times New Roman"/>
                      <w:color w:val="000000"/>
                      <w:sz w:val="21"/>
                      <w:szCs w:val="21"/>
                      <w:highlight w:val="none"/>
                      <w:u w:val="none"/>
                      <w:lang w:val="en-US" w:eastAsia="zh-CN"/>
                    </w:rPr>
                  </w:pPr>
                  <w:r>
                    <w:rPr>
                      <w:rFonts w:hint="default" w:ascii="Times New Roman" w:hAnsi="Times New Roman" w:cs="Times New Roman"/>
                      <w:color w:val="000000"/>
                      <w:sz w:val="21"/>
                      <w:szCs w:val="21"/>
                      <w:highlight w:val="none"/>
                      <w:u w:val="none"/>
                      <w:lang w:val="en-US" w:eastAsia="zh-CN"/>
                    </w:rPr>
                    <w:t>&gt;100</w:t>
                  </w:r>
                </w:p>
              </w:tc>
              <w:tc>
                <w:tcPr>
                  <w:tcW w:w="553" w:type="pct"/>
                  <w:noWrap w:val="0"/>
                  <w:vAlign w:val="center"/>
                </w:tcPr>
                <w:p w14:paraId="0C9786BC">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 xml:space="preserve">0.28 </w:t>
                  </w:r>
                </w:p>
              </w:tc>
              <w:tc>
                <w:tcPr>
                  <w:tcW w:w="383" w:type="pct"/>
                  <w:vMerge w:val="continue"/>
                  <w:noWrap w:val="0"/>
                  <w:vAlign w:val="center"/>
                </w:tcPr>
                <w:p w14:paraId="02FD14EE">
                  <w:pPr>
                    <w:pStyle w:val="31"/>
                    <w:bidi w:val="0"/>
                    <w:rPr>
                      <w:rFonts w:hint="default" w:ascii="Times New Roman" w:hAnsi="Times New Roman" w:cs="Times New Roman"/>
                      <w:color w:val="000000"/>
                      <w:highlight w:val="none"/>
                      <w:lang w:val="en-US" w:eastAsia="zh-CN"/>
                    </w:rPr>
                  </w:pPr>
                </w:p>
              </w:tc>
              <w:tc>
                <w:tcPr>
                  <w:tcW w:w="524" w:type="pct"/>
                  <w:noWrap w:val="0"/>
                  <w:vAlign w:val="center"/>
                </w:tcPr>
                <w:p w14:paraId="5E6AC71C">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50%</w:t>
                  </w:r>
                </w:p>
              </w:tc>
              <w:tc>
                <w:tcPr>
                  <w:tcW w:w="660" w:type="pct"/>
                  <w:vMerge w:val="continue"/>
                  <w:noWrap w:val="0"/>
                  <w:vAlign w:val="center"/>
                </w:tcPr>
                <w:p w14:paraId="2340ACAB">
                  <w:pPr>
                    <w:pStyle w:val="31"/>
                    <w:bidi w:val="0"/>
                    <w:rPr>
                      <w:rFonts w:hint="default" w:ascii="Times New Roman" w:hAnsi="Times New Roman" w:cs="Times New Roman"/>
                      <w:color w:val="000000"/>
                      <w:highlight w:val="none"/>
                      <w:lang w:val="en-US" w:eastAsia="zh-CN"/>
                    </w:rPr>
                  </w:pPr>
                </w:p>
              </w:tc>
              <w:tc>
                <w:tcPr>
                  <w:tcW w:w="509" w:type="pct"/>
                  <w:vMerge w:val="continue"/>
                  <w:noWrap w:val="0"/>
                  <w:vAlign w:val="center"/>
                </w:tcPr>
                <w:p w14:paraId="573EB12D">
                  <w:pPr>
                    <w:pStyle w:val="31"/>
                    <w:bidi w:val="0"/>
                    <w:rPr>
                      <w:rFonts w:hint="default" w:ascii="Times New Roman" w:hAnsi="Times New Roman" w:cs="Times New Roman"/>
                      <w:color w:val="000000"/>
                      <w:highlight w:val="none"/>
                      <w:lang w:val="en-US" w:eastAsia="zh-CN"/>
                    </w:rPr>
                  </w:pPr>
                </w:p>
              </w:tc>
              <w:tc>
                <w:tcPr>
                  <w:tcW w:w="636" w:type="pct"/>
                  <w:vMerge w:val="continue"/>
                  <w:noWrap w:val="0"/>
                  <w:vAlign w:val="center"/>
                </w:tcPr>
                <w:p w14:paraId="11C07D56">
                  <w:pPr>
                    <w:pStyle w:val="31"/>
                    <w:bidi w:val="0"/>
                    <w:rPr>
                      <w:rFonts w:hint="default" w:ascii="Times New Roman" w:hAnsi="Times New Roman" w:cs="Times New Roman"/>
                      <w:color w:val="000000"/>
                      <w:sz w:val="21"/>
                      <w:szCs w:val="21"/>
                      <w:highlight w:val="none"/>
                      <w:u w:val="none"/>
                      <w:lang w:val="en-US" w:eastAsia="zh-CN"/>
                    </w:rPr>
                  </w:pPr>
                </w:p>
              </w:tc>
            </w:tr>
            <w:tr w14:paraId="63F9C9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75" w:type="pct"/>
                  <w:vMerge w:val="restart"/>
                  <w:noWrap w:val="0"/>
                  <w:vAlign w:val="center"/>
                </w:tcPr>
                <w:p w14:paraId="65E178F0">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2"/>
                      <w:sz w:val="21"/>
                      <w:szCs w:val="21"/>
                      <w:highlight w:val="none"/>
                      <w:u w:val="none"/>
                      <w:lang w:val="en-US" w:eastAsia="zh-CN" w:bidi="ar-SA"/>
                    </w:rPr>
                  </w:pPr>
                  <w:r>
                    <w:rPr>
                      <w:rFonts w:hint="default" w:ascii="Times New Roman" w:hAnsi="Times New Roman" w:eastAsia="宋体" w:cs="Times New Roman"/>
                      <w:color w:val="000000"/>
                      <w:kern w:val="2"/>
                      <w:sz w:val="21"/>
                      <w:szCs w:val="21"/>
                      <w:highlight w:val="none"/>
                      <w:u w:val="none"/>
                      <w:lang w:val="en-US" w:eastAsia="zh-CN" w:bidi="ar-SA"/>
                    </w:rPr>
                    <w:t>鱼卵</w:t>
                  </w:r>
                </w:p>
              </w:tc>
              <w:tc>
                <w:tcPr>
                  <w:tcW w:w="587" w:type="pct"/>
                  <w:vMerge w:val="restart"/>
                  <w:noWrap w:val="0"/>
                  <w:vAlign w:val="center"/>
                </w:tcPr>
                <w:p w14:paraId="7DE01A44">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2"/>
                      <w:sz w:val="21"/>
                      <w:szCs w:val="21"/>
                      <w:highlight w:val="none"/>
                      <w:u w:val="none"/>
                      <w:lang w:val="en-US" w:eastAsia="zh-CN" w:bidi="ar-SA"/>
                    </w:rPr>
                  </w:pPr>
                </w:p>
              </w:tc>
              <w:tc>
                <w:tcPr>
                  <w:tcW w:w="568" w:type="pct"/>
                  <w:noWrap w:val="0"/>
                  <w:vAlign w:val="center"/>
                </w:tcPr>
                <w:p w14:paraId="05C1CEC2">
                  <w:pPr>
                    <w:pStyle w:val="31"/>
                    <w:bidi w:val="0"/>
                    <w:rPr>
                      <w:rFonts w:hint="default" w:ascii="Times New Roman" w:hAnsi="Times New Roman" w:cs="Times New Roman"/>
                      <w:color w:val="000000"/>
                      <w:sz w:val="21"/>
                      <w:szCs w:val="21"/>
                      <w:highlight w:val="none"/>
                      <w:u w:val="none"/>
                      <w:lang w:val="en-US" w:eastAsia="zh-CN"/>
                    </w:rPr>
                  </w:pPr>
                  <w:r>
                    <w:rPr>
                      <w:rFonts w:hint="default" w:ascii="Times New Roman" w:hAnsi="Times New Roman" w:cs="Times New Roman"/>
                      <w:color w:val="000000"/>
                      <w:sz w:val="21"/>
                      <w:szCs w:val="21"/>
                      <w:highlight w:val="none"/>
                      <w:u w:val="none"/>
                      <w:lang w:val="en-US" w:eastAsia="zh-CN"/>
                    </w:rPr>
                    <w:t>10~20</w:t>
                  </w:r>
                </w:p>
              </w:tc>
              <w:tc>
                <w:tcPr>
                  <w:tcW w:w="553" w:type="pct"/>
                  <w:noWrap w:val="0"/>
                  <w:vAlign w:val="center"/>
                </w:tcPr>
                <w:p w14:paraId="4A316793">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0.26</w:t>
                  </w:r>
                </w:p>
              </w:tc>
              <w:tc>
                <w:tcPr>
                  <w:tcW w:w="383" w:type="pct"/>
                  <w:vMerge w:val="restart"/>
                  <w:noWrap w:val="0"/>
                  <w:vAlign w:val="center"/>
                </w:tcPr>
                <w:p w14:paraId="23805B43">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5.0</w:t>
                  </w:r>
                </w:p>
              </w:tc>
              <w:tc>
                <w:tcPr>
                  <w:tcW w:w="524" w:type="pct"/>
                  <w:noWrap w:val="0"/>
                  <w:vAlign w:val="center"/>
                </w:tcPr>
                <w:p w14:paraId="7DAAF50A">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5%</w:t>
                  </w:r>
                </w:p>
              </w:tc>
              <w:tc>
                <w:tcPr>
                  <w:tcW w:w="660" w:type="pct"/>
                  <w:vMerge w:val="restart"/>
                  <w:noWrap w:val="0"/>
                  <w:vAlign w:val="center"/>
                </w:tcPr>
                <w:p w14:paraId="2A4CE90D">
                  <w:pPr>
                    <w:pStyle w:val="31"/>
                    <w:bidi w:val="0"/>
                    <w:rPr>
                      <w:rFonts w:hint="default" w:ascii="Times New Roman" w:hAnsi="Times New Roman" w:eastAsia="宋体" w:cs="Times New Roman"/>
                      <w:color w:val="000000"/>
                      <w:highlight w:val="none"/>
                      <w:lang w:val="en-US" w:eastAsia="zh-CN"/>
                    </w:rPr>
                  </w:pPr>
                  <w:r>
                    <w:rPr>
                      <w:rFonts w:hint="default" w:ascii="Times New Roman" w:hAnsi="Times New Roman" w:eastAsia="宋体" w:cs="Times New Roman"/>
                      <w:color w:val="000000"/>
                      <w:sz w:val="21"/>
                      <w:szCs w:val="21"/>
                      <w:highlight w:val="none"/>
                      <w:u w:val="none"/>
                      <w:lang w:val="en-US" w:eastAsia="zh-CN"/>
                    </w:rPr>
                    <w:t>27.85</w:t>
                  </w:r>
                  <w:r>
                    <w:rPr>
                      <w:rFonts w:hint="default" w:ascii="Times New Roman" w:hAnsi="Times New Roman" w:eastAsia="宋体" w:cs="Times New Roman"/>
                      <w:color w:val="000000"/>
                      <w:sz w:val="21"/>
                      <w:szCs w:val="21"/>
                      <w:highlight w:val="none"/>
                      <w:u w:val="none"/>
                    </w:rPr>
                    <w:t>×10</w:t>
                  </w:r>
                  <w:r>
                    <w:rPr>
                      <w:rFonts w:hint="default" w:ascii="Times New Roman" w:hAnsi="Times New Roman" w:eastAsia="宋体" w:cs="Times New Roman"/>
                      <w:color w:val="000000"/>
                      <w:sz w:val="21"/>
                      <w:szCs w:val="21"/>
                      <w:highlight w:val="none"/>
                      <w:u w:val="none"/>
                      <w:vertAlign w:val="superscript"/>
                      <w:lang w:val="en-US" w:eastAsia="zh-CN"/>
                    </w:rPr>
                    <w:t>4</w:t>
                  </w:r>
                  <w:r>
                    <w:rPr>
                      <w:rFonts w:hint="default" w:ascii="Times New Roman" w:hAnsi="Times New Roman" w:eastAsia="宋体" w:cs="Times New Roman"/>
                      <w:color w:val="000000"/>
                      <w:sz w:val="21"/>
                      <w:szCs w:val="21"/>
                      <w:highlight w:val="none"/>
                      <w:u w:val="none"/>
                      <w:lang w:val="en-US" w:eastAsia="zh-CN"/>
                    </w:rPr>
                    <w:t>粒</w:t>
                  </w:r>
                </w:p>
              </w:tc>
              <w:tc>
                <w:tcPr>
                  <w:tcW w:w="509" w:type="pct"/>
                  <w:vMerge w:val="restart"/>
                  <w:noWrap w:val="0"/>
                  <w:vAlign w:val="center"/>
                </w:tcPr>
                <w:p w14:paraId="0EA21611">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12</w:t>
                  </w:r>
                </w:p>
              </w:tc>
              <w:tc>
                <w:tcPr>
                  <w:tcW w:w="636" w:type="pct"/>
                  <w:vMerge w:val="restart"/>
                  <w:noWrap w:val="0"/>
                  <w:vAlign w:val="center"/>
                </w:tcPr>
                <w:p w14:paraId="68DD952F">
                  <w:pPr>
                    <w:pStyle w:val="31"/>
                    <w:bidi w:val="0"/>
                    <w:ind w:firstLine="0" w:firstLineChars="0"/>
                    <w:rPr>
                      <w:rFonts w:hint="default" w:ascii="Times New Roman" w:hAnsi="Times New Roman" w:cs="Times New Roman"/>
                      <w:color w:val="000000"/>
                      <w:sz w:val="21"/>
                      <w:szCs w:val="21"/>
                      <w:highlight w:val="none"/>
                      <w:u w:val="none"/>
                      <w:lang w:val="en-US" w:eastAsia="zh-CN"/>
                    </w:rPr>
                  </w:pPr>
                  <w:r>
                    <w:rPr>
                      <w:rFonts w:hint="default" w:ascii="Times New Roman" w:hAnsi="Times New Roman" w:cs="Times New Roman"/>
                      <w:color w:val="000000"/>
                      <w:sz w:val="21"/>
                      <w:szCs w:val="21"/>
                      <w:highlight w:val="none"/>
                      <w:u w:val="none"/>
                      <w:lang w:val="en-US" w:eastAsia="zh-CN"/>
                    </w:rPr>
                    <w:t>3.34×10</w:t>
                  </w:r>
                  <w:r>
                    <w:rPr>
                      <w:rFonts w:hint="default" w:ascii="Times New Roman" w:hAnsi="Times New Roman" w:cs="Times New Roman"/>
                      <w:color w:val="000000"/>
                      <w:sz w:val="21"/>
                      <w:szCs w:val="21"/>
                      <w:highlight w:val="none"/>
                      <w:u w:val="none"/>
                      <w:vertAlign w:val="superscript"/>
                      <w:lang w:val="en-US" w:eastAsia="zh-CN"/>
                    </w:rPr>
                    <w:t>6</w:t>
                  </w:r>
                  <w:r>
                    <w:rPr>
                      <w:rFonts w:hint="default" w:ascii="Times New Roman" w:hAnsi="Times New Roman" w:cs="Times New Roman"/>
                      <w:color w:val="000000"/>
                      <w:sz w:val="21"/>
                      <w:szCs w:val="21"/>
                      <w:highlight w:val="none"/>
                      <w:u w:val="none"/>
                      <w:lang w:val="en-US" w:eastAsia="zh-CN"/>
                    </w:rPr>
                    <w:t>粒</w:t>
                  </w:r>
                </w:p>
              </w:tc>
            </w:tr>
            <w:tr w14:paraId="39323D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75" w:type="pct"/>
                  <w:vMerge w:val="continue"/>
                  <w:noWrap w:val="0"/>
                  <w:vAlign w:val="center"/>
                </w:tcPr>
                <w:p w14:paraId="147634ED">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2"/>
                      <w:sz w:val="21"/>
                      <w:szCs w:val="21"/>
                      <w:highlight w:val="none"/>
                      <w:u w:val="none"/>
                      <w:lang w:val="en-US" w:eastAsia="zh-CN" w:bidi="ar-SA"/>
                    </w:rPr>
                  </w:pPr>
                </w:p>
              </w:tc>
              <w:tc>
                <w:tcPr>
                  <w:tcW w:w="587" w:type="pct"/>
                  <w:vMerge w:val="continue"/>
                  <w:noWrap w:val="0"/>
                  <w:vAlign w:val="center"/>
                </w:tcPr>
                <w:p w14:paraId="5576CC4D">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2"/>
                      <w:sz w:val="21"/>
                      <w:szCs w:val="21"/>
                      <w:highlight w:val="none"/>
                      <w:u w:val="none"/>
                      <w:lang w:val="en-US" w:eastAsia="zh-CN" w:bidi="ar-SA"/>
                    </w:rPr>
                  </w:pPr>
                </w:p>
              </w:tc>
              <w:tc>
                <w:tcPr>
                  <w:tcW w:w="568" w:type="pct"/>
                  <w:noWrap w:val="0"/>
                  <w:vAlign w:val="center"/>
                </w:tcPr>
                <w:p w14:paraId="3CDD308E">
                  <w:pPr>
                    <w:pStyle w:val="31"/>
                    <w:bidi w:val="0"/>
                    <w:rPr>
                      <w:rFonts w:hint="default" w:ascii="Times New Roman" w:hAnsi="Times New Roman" w:cs="Times New Roman"/>
                      <w:color w:val="000000"/>
                      <w:sz w:val="21"/>
                      <w:szCs w:val="21"/>
                      <w:highlight w:val="none"/>
                      <w:u w:val="none"/>
                      <w:lang w:val="en-US" w:eastAsia="zh-CN"/>
                    </w:rPr>
                  </w:pPr>
                  <w:r>
                    <w:rPr>
                      <w:rFonts w:hint="default" w:ascii="Times New Roman" w:hAnsi="Times New Roman" w:cs="Times New Roman"/>
                      <w:color w:val="000000"/>
                      <w:sz w:val="21"/>
                      <w:szCs w:val="21"/>
                      <w:highlight w:val="none"/>
                      <w:u w:val="none"/>
                      <w:lang w:val="en-US" w:eastAsia="zh-CN"/>
                    </w:rPr>
                    <w:t>20~50</w:t>
                  </w:r>
                </w:p>
              </w:tc>
              <w:tc>
                <w:tcPr>
                  <w:tcW w:w="553" w:type="pct"/>
                  <w:noWrap w:val="0"/>
                  <w:vAlign w:val="center"/>
                </w:tcPr>
                <w:p w14:paraId="0F43C2FF">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 xml:space="preserve">0.27 </w:t>
                  </w:r>
                </w:p>
              </w:tc>
              <w:tc>
                <w:tcPr>
                  <w:tcW w:w="383" w:type="pct"/>
                  <w:vMerge w:val="continue"/>
                  <w:noWrap w:val="0"/>
                  <w:vAlign w:val="center"/>
                </w:tcPr>
                <w:p w14:paraId="488E3CB9">
                  <w:pPr>
                    <w:pStyle w:val="31"/>
                    <w:bidi w:val="0"/>
                    <w:rPr>
                      <w:rFonts w:hint="default" w:ascii="Times New Roman" w:hAnsi="Times New Roman" w:cs="Times New Roman"/>
                      <w:color w:val="000000"/>
                      <w:highlight w:val="none"/>
                      <w:lang w:val="en-US" w:eastAsia="zh-CN"/>
                    </w:rPr>
                  </w:pPr>
                </w:p>
              </w:tc>
              <w:tc>
                <w:tcPr>
                  <w:tcW w:w="524" w:type="pct"/>
                  <w:noWrap w:val="0"/>
                  <w:vAlign w:val="center"/>
                </w:tcPr>
                <w:p w14:paraId="199976AD">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17.50%</w:t>
                  </w:r>
                </w:p>
              </w:tc>
              <w:tc>
                <w:tcPr>
                  <w:tcW w:w="660" w:type="pct"/>
                  <w:vMerge w:val="continue"/>
                  <w:noWrap w:val="0"/>
                  <w:vAlign w:val="center"/>
                </w:tcPr>
                <w:p w14:paraId="251AF2BA">
                  <w:pPr>
                    <w:pStyle w:val="31"/>
                    <w:bidi w:val="0"/>
                    <w:rPr>
                      <w:rFonts w:hint="default" w:ascii="Times New Roman" w:hAnsi="Times New Roman" w:cs="Times New Roman"/>
                      <w:color w:val="000000"/>
                      <w:highlight w:val="none"/>
                      <w:lang w:val="en-US" w:eastAsia="zh-CN"/>
                    </w:rPr>
                  </w:pPr>
                </w:p>
              </w:tc>
              <w:tc>
                <w:tcPr>
                  <w:tcW w:w="509" w:type="pct"/>
                  <w:vMerge w:val="continue"/>
                  <w:noWrap w:val="0"/>
                  <w:vAlign w:val="center"/>
                </w:tcPr>
                <w:p w14:paraId="4DCB6BE5">
                  <w:pPr>
                    <w:pStyle w:val="31"/>
                    <w:bidi w:val="0"/>
                    <w:rPr>
                      <w:rFonts w:hint="default" w:ascii="Times New Roman" w:hAnsi="Times New Roman" w:cs="Times New Roman"/>
                      <w:color w:val="000000"/>
                      <w:highlight w:val="none"/>
                      <w:lang w:val="en-US" w:eastAsia="zh-CN"/>
                    </w:rPr>
                  </w:pPr>
                </w:p>
              </w:tc>
              <w:tc>
                <w:tcPr>
                  <w:tcW w:w="636" w:type="pct"/>
                  <w:vMerge w:val="continue"/>
                  <w:noWrap w:val="0"/>
                  <w:vAlign w:val="center"/>
                </w:tcPr>
                <w:p w14:paraId="6953B414">
                  <w:pPr>
                    <w:pStyle w:val="31"/>
                    <w:bidi w:val="0"/>
                    <w:rPr>
                      <w:rFonts w:hint="default" w:ascii="Times New Roman" w:hAnsi="Times New Roman" w:cs="Times New Roman"/>
                      <w:color w:val="000000"/>
                      <w:sz w:val="21"/>
                      <w:szCs w:val="21"/>
                      <w:highlight w:val="none"/>
                      <w:u w:val="none"/>
                      <w:lang w:val="en-US" w:eastAsia="zh-CN"/>
                    </w:rPr>
                  </w:pPr>
                </w:p>
              </w:tc>
            </w:tr>
            <w:tr w14:paraId="78B42E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75" w:type="pct"/>
                  <w:vMerge w:val="continue"/>
                  <w:noWrap w:val="0"/>
                  <w:vAlign w:val="center"/>
                </w:tcPr>
                <w:p w14:paraId="34870647">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2"/>
                      <w:sz w:val="21"/>
                      <w:szCs w:val="21"/>
                      <w:highlight w:val="none"/>
                      <w:u w:val="none"/>
                      <w:lang w:val="en-US" w:eastAsia="zh-CN" w:bidi="ar-SA"/>
                    </w:rPr>
                  </w:pPr>
                </w:p>
              </w:tc>
              <w:tc>
                <w:tcPr>
                  <w:tcW w:w="587" w:type="pct"/>
                  <w:vMerge w:val="continue"/>
                  <w:noWrap w:val="0"/>
                  <w:vAlign w:val="center"/>
                </w:tcPr>
                <w:p w14:paraId="6E8CD09A">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2"/>
                      <w:sz w:val="21"/>
                      <w:szCs w:val="21"/>
                      <w:highlight w:val="none"/>
                      <w:u w:val="none"/>
                      <w:lang w:val="en-US" w:eastAsia="zh-CN" w:bidi="ar-SA"/>
                    </w:rPr>
                  </w:pPr>
                </w:p>
              </w:tc>
              <w:tc>
                <w:tcPr>
                  <w:tcW w:w="568" w:type="pct"/>
                  <w:noWrap w:val="0"/>
                  <w:vAlign w:val="center"/>
                </w:tcPr>
                <w:p w14:paraId="45908AF3">
                  <w:pPr>
                    <w:pStyle w:val="31"/>
                    <w:bidi w:val="0"/>
                    <w:rPr>
                      <w:rFonts w:hint="default" w:ascii="Times New Roman" w:hAnsi="Times New Roman" w:cs="Times New Roman"/>
                      <w:color w:val="000000"/>
                      <w:sz w:val="21"/>
                      <w:szCs w:val="21"/>
                      <w:highlight w:val="none"/>
                      <w:u w:val="none"/>
                      <w:lang w:val="en-US" w:eastAsia="zh-CN"/>
                    </w:rPr>
                  </w:pPr>
                  <w:r>
                    <w:rPr>
                      <w:rFonts w:hint="default" w:ascii="Times New Roman" w:hAnsi="Times New Roman" w:cs="Times New Roman"/>
                      <w:color w:val="000000"/>
                      <w:sz w:val="21"/>
                      <w:szCs w:val="21"/>
                      <w:highlight w:val="none"/>
                      <w:u w:val="none"/>
                      <w:lang w:val="en-US" w:eastAsia="zh-CN"/>
                    </w:rPr>
                    <w:t>50~100</w:t>
                  </w:r>
                </w:p>
              </w:tc>
              <w:tc>
                <w:tcPr>
                  <w:tcW w:w="553" w:type="pct"/>
                  <w:noWrap w:val="0"/>
                  <w:vAlign w:val="center"/>
                </w:tcPr>
                <w:p w14:paraId="3DC16579">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0.15</w:t>
                  </w:r>
                </w:p>
              </w:tc>
              <w:tc>
                <w:tcPr>
                  <w:tcW w:w="383" w:type="pct"/>
                  <w:vMerge w:val="continue"/>
                  <w:noWrap w:val="0"/>
                  <w:vAlign w:val="center"/>
                </w:tcPr>
                <w:p w14:paraId="257B9194">
                  <w:pPr>
                    <w:pStyle w:val="31"/>
                    <w:bidi w:val="0"/>
                    <w:rPr>
                      <w:rFonts w:hint="default" w:ascii="Times New Roman" w:hAnsi="Times New Roman" w:cs="Times New Roman"/>
                      <w:color w:val="000000"/>
                      <w:highlight w:val="none"/>
                      <w:lang w:val="en-US" w:eastAsia="zh-CN"/>
                    </w:rPr>
                  </w:pPr>
                </w:p>
              </w:tc>
              <w:tc>
                <w:tcPr>
                  <w:tcW w:w="524" w:type="pct"/>
                  <w:noWrap w:val="0"/>
                  <w:vAlign w:val="center"/>
                </w:tcPr>
                <w:p w14:paraId="0CE0BFAE">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40%</w:t>
                  </w:r>
                </w:p>
              </w:tc>
              <w:tc>
                <w:tcPr>
                  <w:tcW w:w="660" w:type="pct"/>
                  <w:vMerge w:val="continue"/>
                  <w:noWrap w:val="0"/>
                  <w:vAlign w:val="center"/>
                </w:tcPr>
                <w:p w14:paraId="391E6DD8">
                  <w:pPr>
                    <w:pStyle w:val="31"/>
                    <w:bidi w:val="0"/>
                    <w:rPr>
                      <w:rFonts w:hint="default" w:ascii="Times New Roman" w:hAnsi="Times New Roman" w:cs="Times New Roman"/>
                      <w:color w:val="000000"/>
                      <w:highlight w:val="none"/>
                      <w:lang w:val="en-US" w:eastAsia="zh-CN"/>
                    </w:rPr>
                  </w:pPr>
                </w:p>
              </w:tc>
              <w:tc>
                <w:tcPr>
                  <w:tcW w:w="509" w:type="pct"/>
                  <w:vMerge w:val="continue"/>
                  <w:noWrap w:val="0"/>
                  <w:vAlign w:val="center"/>
                </w:tcPr>
                <w:p w14:paraId="01B69631">
                  <w:pPr>
                    <w:pStyle w:val="31"/>
                    <w:bidi w:val="0"/>
                    <w:rPr>
                      <w:rFonts w:hint="default" w:ascii="Times New Roman" w:hAnsi="Times New Roman" w:cs="Times New Roman"/>
                      <w:color w:val="000000"/>
                      <w:highlight w:val="none"/>
                      <w:lang w:val="en-US" w:eastAsia="zh-CN"/>
                    </w:rPr>
                  </w:pPr>
                </w:p>
              </w:tc>
              <w:tc>
                <w:tcPr>
                  <w:tcW w:w="636" w:type="pct"/>
                  <w:vMerge w:val="continue"/>
                  <w:noWrap w:val="0"/>
                  <w:vAlign w:val="center"/>
                </w:tcPr>
                <w:p w14:paraId="7553E36D">
                  <w:pPr>
                    <w:pStyle w:val="31"/>
                    <w:bidi w:val="0"/>
                    <w:rPr>
                      <w:rFonts w:hint="default" w:ascii="Times New Roman" w:hAnsi="Times New Roman" w:cs="Times New Roman"/>
                      <w:color w:val="000000"/>
                      <w:sz w:val="21"/>
                      <w:szCs w:val="21"/>
                      <w:highlight w:val="none"/>
                      <w:u w:val="none"/>
                      <w:lang w:val="en-US" w:eastAsia="zh-CN"/>
                    </w:rPr>
                  </w:pPr>
                </w:p>
              </w:tc>
            </w:tr>
            <w:tr w14:paraId="226A88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75" w:type="pct"/>
                  <w:vMerge w:val="continue"/>
                  <w:noWrap w:val="0"/>
                  <w:vAlign w:val="center"/>
                </w:tcPr>
                <w:p w14:paraId="3A9F181C">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2"/>
                      <w:sz w:val="21"/>
                      <w:szCs w:val="21"/>
                      <w:highlight w:val="none"/>
                      <w:u w:val="none"/>
                      <w:lang w:val="en-US" w:eastAsia="zh-CN" w:bidi="ar-SA"/>
                    </w:rPr>
                  </w:pPr>
                </w:p>
              </w:tc>
              <w:tc>
                <w:tcPr>
                  <w:tcW w:w="587" w:type="pct"/>
                  <w:vMerge w:val="continue"/>
                  <w:noWrap w:val="0"/>
                  <w:vAlign w:val="center"/>
                </w:tcPr>
                <w:p w14:paraId="6614203E">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2"/>
                      <w:sz w:val="21"/>
                      <w:szCs w:val="21"/>
                      <w:highlight w:val="none"/>
                      <w:u w:val="none"/>
                      <w:lang w:val="en-US" w:eastAsia="zh-CN" w:bidi="ar-SA"/>
                    </w:rPr>
                  </w:pPr>
                </w:p>
              </w:tc>
              <w:tc>
                <w:tcPr>
                  <w:tcW w:w="568" w:type="pct"/>
                  <w:noWrap w:val="0"/>
                  <w:vAlign w:val="center"/>
                </w:tcPr>
                <w:p w14:paraId="342891E4">
                  <w:pPr>
                    <w:pStyle w:val="31"/>
                    <w:bidi w:val="0"/>
                    <w:rPr>
                      <w:rFonts w:hint="default" w:ascii="Times New Roman" w:hAnsi="Times New Roman" w:cs="Times New Roman"/>
                      <w:color w:val="000000"/>
                      <w:sz w:val="21"/>
                      <w:szCs w:val="21"/>
                      <w:highlight w:val="none"/>
                      <w:u w:val="none"/>
                      <w:lang w:val="en-US" w:eastAsia="zh-CN"/>
                    </w:rPr>
                  </w:pPr>
                  <w:r>
                    <w:rPr>
                      <w:rFonts w:hint="default" w:ascii="Times New Roman" w:hAnsi="Times New Roman" w:cs="Times New Roman"/>
                      <w:color w:val="000000"/>
                      <w:sz w:val="21"/>
                      <w:szCs w:val="21"/>
                      <w:highlight w:val="none"/>
                      <w:u w:val="none"/>
                      <w:lang w:val="en-US" w:eastAsia="zh-CN"/>
                    </w:rPr>
                    <w:t>&gt;100</w:t>
                  </w:r>
                </w:p>
              </w:tc>
              <w:tc>
                <w:tcPr>
                  <w:tcW w:w="553" w:type="pct"/>
                  <w:noWrap w:val="0"/>
                  <w:vAlign w:val="center"/>
                </w:tcPr>
                <w:p w14:paraId="1F46E795">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 xml:space="preserve">0.28 </w:t>
                  </w:r>
                </w:p>
              </w:tc>
              <w:tc>
                <w:tcPr>
                  <w:tcW w:w="383" w:type="pct"/>
                  <w:vMerge w:val="continue"/>
                  <w:noWrap w:val="0"/>
                  <w:vAlign w:val="center"/>
                </w:tcPr>
                <w:p w14:paraId="3B142A94">
                  <w:pPr>
                    <w:pStyle w:val="31"/>
                    <w:bidi w:val="0"/>
                    <w:rPr>
                      <w:rFonts w:hint="default" w:ascii="Times New Roman" w:hAnsi="Times New Roman" w:cs="Times New Roman"/>
                      <w:color w:val="000000"/>
                      <w:highlight w:val="none"/>
                      <w:lang w:val="en-US" w:eastAsia="zh-CN"/>
                    </w:rPr>
                  </w:pPr>
                </w:p>
              </w:tc>
              <w:tc>
                <w:tcPr>
                  <w:tcW w:w="524" w:type="pct"/>
                  <w:noWrap w:val="0"/>
                  <w:vAlign w:val="center"/>
                </w:tcPr>
                <w:p w14:paraId="483FFE74">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50%</w:t>
                  </w:r>
                </w:p>
              </w:tc>
              <w:tc>
                <w:tcPr>
                  <w:tcW w:w="660" w:type="pct"/>
                  <w:vMerge w:val="continue"/>
                  <w:noWrap w:val="0"/>
                  <w:vAlign w:val="center"/>
                </w:tcPr>
                <w:p w14:paraId="69676AEB">
                  <w:pPr>
                    <w:pStyle w:val="31"/>
                    <w:bidi w:val="0"/>
                    <w:rPr>
                      <w:rFonts w:hint="default" w:ascii="Times New Roman" w:hAnsi="Times New Roman" w:cs="Times New Roman"/>
                      <w:color w:val="000000"/>
                      <w:highlight w:val="none"/>
                      <w:lang w:val="en-US" w:eastAsia="zh-CN"/>
                    </w:rPr>
                  </w:pPr>
                </w:p>
              </w:tc>
              <w:tc>
                <w:tcPr>
                  <w:tcW w:w="509" w:type="pct"/>
                  <w:vMerge w:val="continue"/>
                  <w:noWrap w:val="0"/>
                  <w:vAlign w:val="center"/>
                </w:tcPr>
                <w:p w14:paraId="3F7EA1E0">
                  <w:pPr>
                    <w:pStyle w:val="31"/>
                    <w:bidi w:val="0"/>
                    <w:rPr>
                      <w:rFonts w:hint="default" w:ascii="Times New Roman" w:hAnsi="Times New Roman" w:cs="Times New Roman"/>
                      <w:color w:val="000000"/>
                      <w:highlight w:val="none"/>
                      <w:lang w:val="en-US" w:eastAsia="zh-CN"/>
                    </w:rPr>
                  </w:pPr>
                </w:p>
              </w:tc>
              <w:tc>
                <w:tcPr>
                  <w:tcW w:w="636" w:type="pct"/>
                  <w:vMerge w:val="continue"/>
                  <w:noWrap w:val="0"/>
                  <w:vAlign w:val="center"/>
                </w:tcPr>
                <w:p w14:paraId="47EDC1C3">
                  <w:pPr>
                    <w:pStyle w:val="31"/>
                    <w:bidi w:val="0"/>
                    <w:rPr>
                      <w:rFonts w:hint="default" w:ascii="Times New Roman" w:hAnsi="Times New Roman" w:cs="Times New Roman"/>
                      <w:color w:val="000000"/>
                      <w:sz w:val="21"/>
                      <w:szCs w:val="21"/>
                      <w:highlight w:val="none"/>
                      <w:u w:val="none"/>
                      <w:lang w:val="en-US" w:eastAsia="zh-CN"/>
                    </w:rPr>
                  </w:pPr>
                </w:p>
              </w:tc>
            </w:tr>
            <w:tr w14:paraId="7E1286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75" w:type="pct"/>
                  <w:vMerge w:val="restart"/>
                  <w:noWrap w:val="0"/>
                  <w:vAlign w:val="center"/>
                </w:tcPr>
                <w:p w14:paraId="13AAD895">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2"/>
                      <w:sz w:val="21"/>
                      <w:szCs w:val="21"/>
                      <w:highlight w:val="none"/>
                      <w:u w:val="none"/>
                      <w:lang w:val="en-US" w:eastAsia="zh-CN" w:bidi="ar-SA"/>
                    </w:rPr>
                  </w:pPr>
                  <w:r>
                    <w:rPr>
                      <w:rFonts w:hint="default" w:ascii="Times New Roman" w:hAnsi="Times New Roman" w:eastAsia="宋体" w:cs="Times New Roman"/>
                      <w:color w:val="000000"/>
                      <w:kern w:val="2"/>
                      <w:sz w:val="21"/>
                      <w:szCs w:val="21"/>
                      <w:highlight w:val="none"/>
                      <w:u w:val="none"/>
                      <w:lang w:val="en-US" w:eastAsia="zh-CN" w:bidi="ar-SA"/>
                    </w:rPr>
                    <w:t>仔稚鱼</w:t>
                  </w:r>
                </w:p>
              </w:tc>
              <w:tc>
                <w:tcPr>
                  <w:tcW w:w="587" w:type="pct"/>
                  <w:vMerge w:val="restart"/>
                  <w:noWrap w:val="0"/>
                  <w:vAlign w:val="center"/>
                </w:tcPr>
                <w:p w14:paraId="71BD9C16">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2"/>
                      <w:sz w:val="21"/>
                      <w:szCs w:val="21"/>
                      <w:highlight w:val="none"/>
                      <w:u w:val="none"/>
                      <w:lang w:val="en-US" w:eastAsia="zh-CN" w:bidi="ar-SA"/>
                    </w:rPr>
                  </w:pPr>
                </w:p>
              </w:tc>
              <w:tc>
                <w:tcPr>
                  <w:tcW w:w="568" w:type="pct"/>
                  <w:noWrap w:val="0"/>
                  <w:vAlign w:val="center"/>
                </w:tcPr>
                <w:p w14:paraId="1A3524F0">
                  <w:pPr>
                    <w:pStyle w:val="31"/>
                    <w:bidi w:val="0"/>
                    <w:rPr>
                      <w:rFonts w:hint="default" w:ascii="Times New Roman" w:hAnsi="Times New Roman" w:cs="Times New Roman"/>
                      <w:color w:val="000000"/>
                      <w:sz w:val="21"/>
                      <w:szCs w:val="21"/>
                      <w:highlight w:val="none"/>
                      <w:u w:val="none"/>
                      <w:lang w:val="en-US" w:eastAsia="zh-CN"/>
                    </w:rPr>
                  </w:pPr>
                  <w:r>
                    <w:rPr>
                      <w:rFonts w:hint="default" w:ascii="Times New Roman" w:hAnsi="Times New Roman" w:cs="Times New Roman"/>
                      <w:color w:val="000000"/>
                      <w:sz w:val="21"/>
                      <w:szCs w:val="21"/>
                      <w:highlight w:val="none"/>
                      <w:u w:val="none"/>
                      <w:lang w:val="en-US" w:eastAsia="zh-CN"/>
                    </w:rPr>
                    <w:t>10~20</w:t>
                  </w:r>
                </w:p>
              </w:tc>
              <w:tc>
                <w:tcPr>
                  <w:tcW w:w="553" w:type="pct"/>
                  <w:noWrap w:val="0"/>
                  <w:vAlign w:val="center"/>
                </w:tcPr>
                <w:p w14:paraId="5BDE6D7B">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0.26</w:t>
                  </w:r>
                </w:p>
              </w:tc>
              <w:tc>
                <w:tcPr>
                  <w:tcW w:w="383" w:type="pct"/>
                  <w:vMerge w:val="restart"/>
                  <w:noWrap w:val="0"/>
                  <w:vAlign w:val="center"/>
                </w:tcPr>
                <w:p w14:paraId="6DBA8C0E">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5.0</w:t>
                  </w:r>
                </w:p>
              </w:tc>
              <w:tc>
                <w:tcPr>
                  <w:tcW w:w="524" w:type="pct"/>
                  <w:noWrap w:val="0"/>
                  <w:vAlign w:val="center"/>
                </w:tcPr>
                <w:p w14:paraId="6C211325">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5%</w:t>
                  </w:r>
                </w:p>
              </w:tc>
              <w:tc>
                <w:tcPr>
                  <w:tcW w:w="660" w:type="pct"/>
                  <w:vMerge w:val="restart"/>
                  <w:noWrap w:val="0"/>
                  <w:vAlign w:val="center"/>
                </w:tcPr>
                <w:p w14:paraId="6AD7AC7A">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17.96</w:t>
                  </w:r>
                  <w:r>
                    <w:rPr>
                      <w:rFonts w:hint="default" w:ascii="Times New Roman" w:hAnsi="Times New Roman" w:eastAsia="宋体" w:cs="Times New Roman"/>
                      <w:color w:val="000000"/>
                      <w:sz w:val="21"/>
                      <w:szCs w:val="21"/>
                      <w:highlight w:val="none"/>
                      <w:u w:val="none"/>
                    </w:rPr>
                    <w:t>×10</w:t>
                  </w:r>
                  <w:r>
                    <w:rPr>
                      <w:rFonts w:hint="default" w:ascii="Times New Roman" w:hAnsi="Times New Roman" w:eastAsia="宋体" w:cs="Times New Roman"/>
                      <w:color w:val="000000"/>
                      <w:sz w:val="21"/>
                      <w:szCs w:val="21"/>
                      <w:highlight w:val="none"/>
                      <w:u w:val="none"/>
                      <w:vertAlign w:val="superscript"/>
                      <w:lang w:val="en-US" w:eastAsia="zh-CN"/>
                    </w:rPr>
                    <w:t>4</w:t>
                  </w:r>
                  <w:r>
                    <w:rPr>
                      <w:rFonts w:hint="default" w:ascii="Times New Roman" w:hAnsi="Times New Roman" w:eastAsia="宋体" w:cs="Times New Roman"/>
                      <w:color w:val="000000"/>
                      <w:sz w:val="21"/>
                      <w:szCs w:val="21"/>
                      <w:highlight w:val="none"/>
                      <w:u w:val="none"/>
                      <w:lang w:val="en-US" w:eastAsia="zh-CN"/>
                    </w:rPr>
                    <w:t>尾</w:t>
                  </w:r>
                </w:p>
              </w:tc>
              <w:tc>
                <w:tcPr>
                  <w:tcW w:w="509" w:type="pct"/>
                  <w:vMerge w:val="restart"/>
                  <w:noWrap w:val="0"/>
                  <w:vAlign w:val="center"/>
                </w:tcPr>
                <w:p w14:paraId="191AEA0E">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12</w:t>
                  </w:r>
                </w:p>
              </w:tc>
              <w:tc>
                <w:tcPr>
                  <w:tcW w:w="636" w:type="pct"/>
                  <w:vMerge w:val="restart"/>
                  <w:noWrap w:val="0"/>
                  <w:vAlign w:val="center"/>
                </w:tcPr>
                <w:p w14:paraId="6E486697">
                  <w:pPr>
                    <w:pStyle w:val="31"/>
                    <w:bidi w:val="0"/>
                    <w:ind w:firstLine="0" w:firstLineChars="0"/>
                    <w:rPr>
                      <w:rFonts w:hint="default" w:ascii="Times New Roman" w:hAnsi="Times New Roman" w:cs="Times New Roman"/>
                      <w:color w:val="000000"/>
                      <w:sz w:val="21"/>
                      <w:szCs w:val="21"/>
                      <w:highlight w:val="none"/>
                      <w:u w:val="none"/>
                      <w:lang w:val="en-US" w:eastAsia="zh-CN"/>
                    </w:rPr>
                  </w:pPr>
                  <w:r>
                    <w:rPr>
                      <w:rFonts w:hint="default" w:ascii="Times New Roman" w:hAnsi="Times New Roman" w:cs="Times New Roman"/>
                      <w:color w:val="000000"/>
                      <w:highlight w:val="none"/>
                      <w:lang w:val="en-US" w:eastAsia="zh-CN"/>
                    </w:rPr>
                    <w:t>2.16</w:t>
                  </w:r>
                  <w:r>
                    <w:rPr>
                      <w:rFonts w:hint="default" w:ascii="Times New Roman" w:hAnsi="Times New Roman" w:eastAsia="宋体" w:cs="Times New Roman"/>
                      <w:color w:val="000000"/>
                      <w:sz w:val="21"/>
                      <w:szCs w:val="21"/>
                      <w:highlight w:val="none"/>
                      <w:u w:val="none"/>
                    </w:rPr>
                    <w:t>×10</w:t>
                  </w:r>
                  <w:r>
                    <w:rPr>
                      <w:rFonts w:hint="default" w:ascii="Times New Roman" w:hAnsi="Times New Roman" w:eastAsia="宋体" w:cs="Times New Roman"/>
                      <w:color w:val="000000"/>
                      <w:sz w:val="21"/>
                      <w:szCs w:val="21"/>
                      <w:highlight w:val="none"/>
                      <w:u w:val="none"/>
                      <w:vertAlign w:val="superscript"/>
                      <w:lang w:val="en-US" w:eastAsia="zh-CN"/>
                    </w:rPr>
                    <w:t>6</w:t>
                  </w:r>
                  <w:r>
                    <w:rPr>
                      <w:rFonts w:hint="default" w:ascii="Times New Roman" w:hAnsi="Times New Roman" w:eastAsia="宋体" w:cs="Times New Roman"/>
                      <w:color w:val="000000"/>
                      <w:sz w:val="21"/>
                      <w:szCs w:val="21"/>
                      <w:highlight w:val="none"/>
                      <w:u w:val="none"/>
                      <w:lang w:val="en-US" w:eastAsia="zh-CN"/>
                    </w:rPr>
                    <w:t>尾</w:t>
                  </w:r>
                </w:p>
              </w:tc>
            </w:tr>
            <w:tr w14:paraId="3DDB8E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75" w:type="pct"/>
                  <w:vMerge w:val="continue"/>
                  <w:noWrap w:val="0"/>
                  <w:vAlign w:val="center"/>
                </w:tcPr>
                <w:p w14:paraId="5604598D">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2"/>
                      <w:sz w:val="21"/>
                      <w:szCs w:val="21"/>
                      <w:highlight w:val="none"/>
                      <w:u w:val="none"/>
                      <w:lang w:val="en-US" w:eastAsia="zh-CN" w:bidi="ar-SA"/>
                    </w:rPr>
                  </w:pPr>
                </w:p>
              </w:tc>
              <w:tc>
                <w:tcPr>
                  <w:tcW w:w="587" w:type="pct"/>
                  <w:vMerge w:val="continue"/>
                  <w:noWrap w:val="0"/>
                  <w:vAlign w:val="center"/>
                </w:tcPr>
                <w:p w14:paraId="674A8132">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2"/>
                      <w:sz w:val="21"/>
                      <w:szCs w:val="21"/>
                      <w:highlight w:val="none"/>
                      <w:u w:val="none"/>
                      <w:lang w:val="en-US" w:eastAsia="zh-CN" w:bidi="ar-SA"/>
                    </w:rPr>
                  </w:pPr>
                </w:p>
              </w:tc>
              <w:tc>
                <w:tcPr>
                  <w:tcW w:w="568" w:type="pct"/>
                  <w:noWrap w:val="0"/>
                  <w:vAlign w:val="center"/>
                </w:tcPr>
                <w:p w14:paraId="13EF41B4">
                  <w:pPr>
                    <w:pStyle w:val="31"/>
                    <w:bidi w:val="0"/>
                    <w:rPr>
                      <w:rFonts w:hint="default" w:ascii="Times New Roman" w:hAnsi="Times New Roman" w:cs="Times New Roman"/>
                      <w:color w:val="000000"/>
                      <w:sz w:val="21"/>
                      <w:szCs w:val="21"/>
                      <w:highlight w:val="none"/>
                      <w:u w:val="none"/>
                      <w:lang w:val="en-US" w:eastAsia="zh-CN"/>
                    </w:rPr>
                  </w:pPr>
                  <w:r>
                    <w:rPr>
                      <w:rFonts w:hint="default" w:ascii="Times New Roman" w:hAnsi="Times New Roman" w:cs="Times New Roman"/>
                      <w:color w:val="000000"/>
                      <w:sz w:val="21"/>
                      <w:szCs w:val="21"/>
                      <w:highlight w:val="none"/>
                      <w:u w:val="none"/>
                      <w:lang w:val="en-US" w:eastAsia="zh-CN"/>
                    </w:rPr>
                    <w:t>20~50</w:t>
                  </w:r>
                </w:p>
              </w:tc>
              <w:tc>
                <w:tcPr>
                  <w:tcW w:w="553" w:type="pct"/>
                  <w:noWrap w:val="0"/>
                  <w:vAlign w:val="center"/>
                </w:tcPr>
                <w:p w14:paraId="52A5644D">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 xml:space="preserve">0.27 </w:t>
                  </w:r>
                </w:p>
              </w:tc>
              <w:tc>
                <w:tcPr>
                  <w:tcW w:w="383" w:type="pct"/>
                  <w:vMerge w:val="continue"/>
                  <w:noWrap w:val="0"/>
                  <w:vAlign w:val="center"/>
                </w:tcPr>
                <w:p w14:paraId="4770E85E">
                  <w:pPr>
                    <w:pStyle w:val="31"/>
                    <w:bidi w:val="0"/>
                    <w:rPr>
                      <w:rFonts w:hint="default" w:ascii="Times New Roman" w:hAnsi="Times New Roman" w:cs="Times New Roman"/>
                      <w:color w:val="000000"/>
                      <w:highlight w:val="none"/>
                      <w:lang w:val="en-US" w:eastAsia="zh-CN"/>
                    </w:rPr>
                  </w:pPr>
                </w:p>
              </w:tc>
              <w:tc>
                <w:tcPr>
                  <w:tcW w:w="524" w:type="pct"/>
                  <w:noWrap w:val="0"/>
                  <w:vAlign w:val="center"/>
                </w:tcPr>
                <w:p w14:paraId="41611AB8">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17.50%</w:t>
                  </w:r>
                </w:p>
              </w:tc>
              <w:tc>
                <w:tcPr>
                  <w:tcW w:w="660" w:type="pct"/>
                  <w:vMerge w:val="continue"/>
                  <w:noWrap w:val="0"/>
                  <w:vAlign w:val="center"/>
                </w:tcPr>
                <w:p w14:paraId="12C950AB">
                  <w:pPr>
                    <w:pStyle w:val="31"/>
                    <w:bidi w:val="0"/>
                    <w:rPr>
                      <w:rFonts w:hint="default" w:ascii="Times New Roman" w:hAnsi="Times New Roman" w:cs="Times New Roman"/>
                      <w:color w:val="000000"/>
                      <w:highlight w:val="none"/>
                      <w:lang w:val="en-US" w:eastAsia="zh-CN"/>
                    </w:rPr>
                  </w:pPr>
                </w:p>
              </w:tc>
              <w:tc>
                <w:tcPr>
                  <w:tcW w:w="509" w:type="pct"/>
                  <w:vMerge w:val="continue"/>
                  <w:noWrap w:val="0"/>
                  <w:vAlign w:val="center"/>
                </w:tcPr>
                <w:p w14:paraId="255EB820">
                  <w:pPr>
                    <w:pStyle w:val="31"/>
                    <w:bidi w:val="0"/>
                    <w:rPr>
                      <w:rFonts w:hint="default" w:ascii="Times New Roman" w:hAnsi="Times New Roman" w:cs="Times New Roman"/>
                      <w:color w:val="000000"/>
                      <w:highlight w:val="none"/>
                      <w:lang w:val="en-US" w:eastAsia="zh-CN"/>
                    </w:rPr>
                  </w:pPr>
                </w:p>
              </w:tc>
              <w:tc>
                <w:tcPr>
                  <w:tcW w:w="636" w:type="pct"/>
                  <w:vMerge w:val="continue"/>
                  <w:noWrap w:val="0"/>
                  <w:vAlign w:val="center"/>
                </w:tcPr>
                <w:p w14:paraId="253E232F">
                  <w:pPr>
                    <w:pStyle w:val="31"/>
                    <w:bidi w:val="0"/>
                    <w:rPr>
                      <w:rFonts w:hint="default" w:ascii="Times New Roman" w:hAnsi="Times New Roman" w:cs="Times New Roman"/>
                      <w:color w:val="000000"/>
                      <w:sz w:val="21"/>
                      <w:szCs w:val="21"/>
                      <w:highlight w:val="none"/>
                      <w:u w:val="none"/>
                      <w:lang w:val="en-US" w:eastAsia="zh-CN"/>
                    </w:rPr>
                  </w:pPr>
                </w:p>
              </w:tc>
            </w:tr>
            <w:tr w14:paraId="165BE9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75" w:type="pct"/>
                  <w:vMerge w:val="continue"/>
                  <w:noWrap w:val="0"/>
                  <w:vAlign w:val="center"/>
                </w:tcPr>
                <w:p w14:paraId="0B9F08F9">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2"/>
                      <w:sz w:val="21"/>
                      <w:szCs w:val="21"/>
                      <w:highlight w:val="none"/>
                      <w:u w:val="none"/>
                      <w:lang w:val="en-US" w:eastAsia="zh-CN" w:bidi="ar-SA"/>
                    </w:rPr>
                  </w:pPr>
                </w:p>
              </w:tc>
              <w:tc>
                <w:tcPr>
                  <w:tcW w:w="587" w:type="pct"/>
                  <w:vMerge w:val="continue"/>
                  <w:noWrap w:val="0"/>
                  <w:vAlign w:val="center"/>
                </w:tcPr>
                <w:p w14:paraId="6C6CD2FF">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2"/>
                      <w:sz w:val="21"/>
                      <w:szCs w:val="21"/>
                      <w:highlight w:val="none"/>
                      <w:u w:val="none"/>
                      <w:lang w:val="en-US" w:eastAsia="zh-CN" w:bidi="ar-SA"/>
                    </w:rPr>
                  </w:pPr>
                </w:p>
              </w:tc>
              <w:tc>
                <w:tcPr>
                  <w:tcW w:w="568" w:type="pct"/>
                  <w:noWrap w:val="0"/>
                  <w:vAlign w:val="center"/>
                </w:tcPr>
                <w:p w14:paraId="50C8091F">
                  <w:pPr>
                    <w:pStyle w:val="31"/>
                    <w:bidi w:val="0"/>
                    <w:rPr>
                      <w:rFonts w:hint="default" w:ascii="Times New Roman" w:hAnsi="Times New Roman" w:cs="Times New Roman"/>
                      <w:color w:val="000000"/>
                      <w:sz w:val="21"/>
                      <w:szCs w:val="21"/>
                      <w:highlight w:val="none"/>
                      <w:u w:val="none"/>
                      <w:lang w:val="en-US" w:eastAsia="zh-CN"/>
                    </w:rPr>
                  </w:pPr>
                  <w:r>
                    <w:rPr>
                      <w:rFonts w:hint="default" w:ascii="Times New Roman" w:hAnsi="Times New Roman" w:cs="Times New Roman"/>
                      <w:color w:val="000000"/>
                      <w:sz w:val="21"/>
                      <w:szCs w:val="21"/>
                      <w:highlight w:val="none"/>
                      <w:u w:val="none"/>
                      <w:lang w:val="en-US" w:eastAsia="zh-CN"/>
                    </w:rPr>
                    <w:t>50~100</w:t>
                  </w:r>
                </w:p>
              </w:tc>
              <w:tc>
                <w:tcPr>
                  <w:tcW w:w="553" w:type="pct"/>
                  <w:noWrap w:val="0"/>
                  <w:vAlign w:val="center"/>
                </w:tcPr>
                <w:p w14:paraId="48F5177B">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0.15</w:t>
                  </w:r>
                </w:p>
              </w:tc>
              <w:tc>
                <w:tcPr>
                  <w:tcW w:w="383" w:type="pct"/>
                  <w:vMerge w:val="continue"/>
                  <w:noWrap w:val="0"/>
                  <w:vAlign w:val="center"/>
                </w:tcPr>
                <w:p w14:paraId="402CDF43">
                  <w:pPr>
                    <w:pStyle w:val="31"/>
                    <w:bidi w:val="0"/>
                    <w:rPr>
                      <w:rFonts w:hint="default" w:ascii="Times New Roman" w:hAnsi="Times New Roman" w:cs="Times New Roman"/>
                      <w:color w:val="000000"/>
                      <w:highlight w:val="none"/>
                      <w:lang w:val="en-US" w:eastAsia="zh-CN"/>
                    </w:rPr>
                  </w:pPr>
                </w:p>
              </w:tc>
              <w:tc>
                <w:tcPr>
                  <w:tcW w:w="524" w:type="pct"/>
                  <w:noWrap w:val="0"/>
                  <w:vAlign w:val="center"/>
                </w:tcPr>
                <w:p w14:paraId="071538E4">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40%</w:t>
                  </w:r>
                </w:p>
              </w:tc>
              <w:tc>
                <w:tcPr>
                  <w:tcW w:w="660" w:type="pct"/>
                  <w:vMerge w:val="continue"/>
                  <w:noWrap w:val="0"/>
                  <w:vAlign w:val="center"/>
                </w:tcPr>
                <w:p w14:paraId="7500941C">
                  <w:pPr>
                    <w:pStyle w:val="31"/>
                    <w:bidi w:val="0"/>
                    <w:rPr>
                      <w:rFonts w:hint="default" w:ascii="Times New Roman" w:hAnsi="Times New Roman" w:cs="Times New Roman"/>
                      <w:color w:val="000000"/>
                      <w:highlight w:val="none"/>
                      <w:lang w:val="en-US" w:eastAsia="zh-CN"/>
                    </w:rPr>
                  </w:pPr>
                </w:p>
              </w:tc>
              <w:tc>
                <w:tcPr>
                  <w:tcW w:w="509" w:type="pct"/>
                  <w:vMerge w:val="continue"/>
                  <w:noWrap w:val="0"/>
                  <w:vAlign w:val="center"/>
                </w:tcPr>
                <w:p w14:paraId="558E0F9C">
                  <w:pPr>
                    <w:pStyle w:val="31"/>
                    <w:bidi w:val="0"/>
                    <w:rPr>
                      <w:rFonts w:hint="default" w:ascii="Times New Roman" w:hAnsi="Times New Roman" w:cs="Times New Roman"/>
                      <w:color w:val="000000"/>
                      <w:highlight w:val="none"/>
                      <w:lang w:val="en-US" w:eastAsia="zh-CN"/>
                    </w:rPr>
                  </w:pPr>
                </w:p>
              </w:tc>
              <w:tc>
                <w:tcPr>
                  <w:tcW w:w="636" w:type="pct"/>
                  <w:vMerge w:val="continue"/>
                  <w:noWrap w:val="0"/>
                  <w:vAlign w:val="center"/>
                </w:tcPr>
                <w:p w14:paraId="572B15A3">
                  <w:pPr>
                    <w:pStyle w:val="31"/>
                    <w:bidi w:val="0"/>
                    <w:rPr>
                      <w:rFonts w:hint="default" w:ascii="Times New Roman" w:hAnsi="Times New Roman" w:cs="Times New Roman"/>
                      <w:color w:val="000000"/>
                      <w:sz w:val="21"/>
                      <w:szCs w:val="21"/>
                      <w:highlight w:val="none"/>
                      <w:u w:val="none"/>
                      <w:lang w:val="en-US" w:eastAsia="zh-CN"/>
                    </w:rPr>
                  </w:pPr>
                </w:p>
              </w:tc>
            </w:tr>
            <w:tr w14:paraId="481690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75" w:type="pct"/>
                  <w:vMerge w:val="continue"/>
                  <w:noWrap w:val="0"/>
                  <w:vAlign w:val="center"/>
                </w:tcPr>
                <w:p w14:paraId="59DFAF92">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2"/>
                      <w:sz w:val="21"/>
                      <w:szCs w:val="21"/>
                      <w:highlight w:val="none"/>
                      <w:u w:val="none"/>
                      <w:lang w:val="en-US" w:eastAsia="zh-CN" w:bidi="ar-SA"/>
                    </w:rPr>
                  </w:pPr>
                </w:p>
              </w:tc>
              <w:tc>
                <w:tcPr>
                  <w:tcW w:w="587" w:type="pct"/>
                  <w:vMerge w:val="continue"/>
                  <w:noWrap w:val="0"/>
                  <w:vAlign w:val="center"/>
                </w:tcPr>
                <w:p w14:paraId="43F75B8F">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2"/>
                      <w:sz w:val="21"/>
                      <w:szCs w:val="21"/>
                      <w:highlight w:val="none"/>
                      <w:u w:val="none"/>
                      <w:lang w:val="en-US" w:eastAsia="zh-CN" w:bidi="ar-SA"/>
                    </w:rPr>
                  </w:pPr>
                </w:p>
              </w:tc>
              <w:tc>
                <w:tcPr>
                  <w:tcW w:w="568" w:type="pct"/>
                  <w:noWrap w:val="0"/>
                  <w:vAlign w:val="center"/>
                </w:tcPr>
                <w:p w14:paraId="42E638F0">
                  <w:pPr>
                    <w:pStyle w:val="31"/>
                    <w:bidi w:val="0"/>
                    <w:rPr>
                      <w:rFonts w:hint="default" w:ascii="Times New Roman" w:hAnsi="Times New Roman" w:cs="Times New Roman"/>
                      <w:color w:val="000000"/>
                      <w:sz w:val="21"/>
                      <w:szCs w:val="21"/>
                      <w:highlight w:val="none"/>
                      <w:u w:val="none"/>
                      <w:lang w:val="en-US" w:eastAsia="zh-CN"/>
                    </w:rPr>
                  </w:pPr>
                  <w:r>
                    <w:rPr>
                      <w:rFonts w:hint="default" w:ascii="Times New Roman" w:hAnsi="Times New Roman" w:cs="Times New Roman"/>
                      <w:color w:val="000000"/>
                      <w:sz w:val="21"/>
                      <w:szCs w:val="21"/>
                      <w:highlight w:val="none"/>
                      <w:u w:val="none"/>
                      <w:lang w:val="en-US" w:eastAsia="zh-CN"/>
                    </w:rPr>
                    <w:t>&gt;100</w:t>
                  </w:r>
                </w:p>
              </w:tc>
              <w:tc>
                <w:tcPr>
                  <w:tcW w:w="553" w:type="pct"/>
                  <w:noWrap w:val="0"/>
                  <w:vAlign w:val="center"/>
                </w:tcPr>
                <w:p w14:paraId="693BC26D">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 xml:space="preserve">0.28 </w:t>
                  </w:r>
                </w:p>
              </w:tc>
              <w:tc>
                <w:tcPr>
                  <w:tcW w:w="383" w:type="pct"/>
                  <w:vMerge w:val="continue"/>
                  <w:noWrap w:val="0"/>
                  <w:vAlign w:val="center"/>
                </w:tcPr>
                <w:p w14:paraId="2806228E">
                  <w:pPr>
                    <w:pStyle w:val="31"/>
                    <w:bidi w:val="0"/>
                    <w:rPr>
                      <w:rFonts w:hint="default" w:ascii="Times New Roman" w:hAnsi="Times New Roman" w:cs="Times New Roman"/>
                      <w:color w:val="000000"/>
                      <w:highlight w:val="none"/>
                      <w:lang w:val="en-US" w:eastAsia="zh-CN"/>
                    </w:rPr>
                  </w:pPr>
                </w:p>
              </w:tc>
              <w:tc>
                <w:tcPr>
                  <w:tcW w:w="524" w:type="pct"/>
                  <w:noWrap w:val="0"/>
                  <w:vAlign w:val="center"/>
                </w:tcPr>
                <w:p w14:paraId="6AEFDF0C">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50%</w:t>
                  </w:r>
                </w:p>
              </w:tc>
              <w:tc>
                <w:tcPr>
                  <w:tcW w:w="660" w:type="pct"/>
                  <w:vMerge w:val="continue"/>
                  <w:noWrap w:val="0"/>
                  <w:vAlign w:val="center"/>
                </w:tcPr>
                <w:p w14:paraId="7A6C964E">
                  <w:pPr>
                    <w:pStyle w:val="31"/>
                    <w:bidi w:val="0"/>
                    <w:rPr>
                      <w:rFonts w:hint="default" w:ascii="Times New Roman" w:hAnsi="Times New Roman" w:cs="Times New Roman"/>
                      <w:color w:val="000000"/>
                      <w:highlight w:val="none"/>
                      <w:lang w:val="en-US" w:eastAsia="zh-CN"/>
                    </w:rPr>
                  </w:pPr>
                </w:p>
              </w:tc>
              <w:tc>
                <w:tcPr>
                  <w:tcW w:w="509" w:type="pct"/>
                  <w:vMerge w:val="continue"/>
                  <w:noWrap w:val="0"/>
                  <w:vAlign w:val="center"/>
                </w:tcPr>
                <w:p w14:paraId="46E23CD4">
                  <w:pPr>
                    <w:pStyle w:val="31"/>
                    <w:bidi w:val="0"/>
                    <w:rPr>
                      <w:rFonts w:hint="default" w:ascii="Times New Roman" w:hAnsi="Times New Roman" w:cs="Times New Roman"/>
                      <w:color w:val="000000"/>
                      <w:highlight w:val="none"/>
                      <w:lang w:val="en-US" w:eastAsia="zh-CN"/>
                    </w:rPr>
                  </w:pPr>
                </w:p>
              </w:tc>
              <w:tc>
                <w:tcPr>
                  <w:tcW w:w="636" w:type="pct"/>
                  <w:vMerge w:val="continue"/>
                  <w:noWrap w:val="0"/>
                  <w:vAlign w:val="center"/>
                </w:tcPr>
                <w:p w14:paraId="638FE2ED">
                  <w:pPr>
                    <w:pStyle w:val="31"/>
                    <w:bidi w:val="0"/>
                    <w:rPr>
                      <w:rFonts w:hint="default" w:ascii="Times New Roman" w:hAnsi="Times New Roman" w:cs="Times New Roman"/>
                      <w:color w:val="000000"/>
                      <w:sz w:val="21"/>
                      <w:szCs w:val="21"/>
                      <w:highlight w:val="none"/>
                      <w:u w:val="none"/>
                      <w:lang w:val="en-US" w:eastAsia="zh-CN"/>
                    </w:rPr>
                  </w:pPr>
                </w:p>
              </w:tc>
            </w:tr>
            <w:tr w14:paraId="7D5C87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75" w:type="pct"/>
                  <w:vMerge w:val="restart"/>
                  <w:noWrap w:val="0"/>
                  <w:vAlign w:val="center"/>
                </w:tcPr>
                <w:p w14:paraId="64CA4B71">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2"/>
                      <w:sz w:val="21"/>
                      <w:szCs w:val="21"/>
                      <w:highlight w:val="none"/>
                      <w:u w:val="none"/>
                      <w:lang w:val="en-US" w:eastAsia="zh-CN" w:bidi="ar-SA"/>
                    </w:rPr>
                  </w:pPr>
                  <w:r>
                    <w:rPr>
                      <w:rFonts w:hint="default" w:ascii="Times New Roman" w:hAnsi="Times New Roman" w:eastAsia="宋体" w:cs="Times New Roman"/>
                      <w:color w:val="000000"/>
                      <w:kern w:val="2"/>
                      <w:sz w:val="21"/>
                      <w:szCs w:val="21"/>
                      <w:highlight w:val="none"/>
                      <w:u w:val="none"/>
                      <w:lang w:val="en-US" w:eastAsia="zh-CN" w:bidi="ar-SA"/>
                    </w:rPr>
                    <w:t>游泳动物</w:t>
                  </w:r>
                </w:p>
              </w:tc>
              <w:tc>
                <w:tcPr>
                  <w:tcW w:w="587" w:type="pct"/>
                  <w:vMerge w:val="restart"/>
                  <w:noWrap w:val="0"/>
                  <w:vAlign w:val="center"/>
                </w:tcPr>
                <w:p w14:paraId="55DA0F52">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2"/>
                      <w:sz w:val="21"/>
                      <w:szCs w:val="21"/>
                      <w:highlight w:val="none"/>
                      <w:u w:val="none"/>
                      <w:lang w:val="en-US" w:eastAsia="zh-CN" w:bidi="ar-SA"/>
                    </w:rPr>
                  </w:pPr>
                </w:p>
              </w:tc>
              <w:tc>
                <w:tcPr>
                  <w:tcW w:w="568" w:type="pct"/>
                  <w:noWrap w:val="0"/>
                  <w:vAlign w:val="center"/>
                </w:tcPr>
                <w:p w14:paraId="7DF84BE0">
                  <w:pPr>
                    <w:pStyle w:val="31"/>
                    <w:bidi w:val="0"/>
                    <w:rPr>
                      <w:rFonts w:hint="default" w:ascii="Times New Roman" w:hAnsi="Times New Roman" w:cs="Times New Roman"/>
                      <w:color w:val="000000"/>
                      <w:sz w:val="21"/>
                      <w:szCs w:val="21"/>
                      <w:highlight w:val="none"/>
                      <w:u w:val="none"/>
                      <w:lang w:val="en-US" w:eastAsia="zh-CN"/>
                    </w:rPr>
                  </w:pPr>
                  <w:r>
                    <w:rPr>
                      <w:rFonts w:hint="default" w:ascii="Times New Roman" w:hAnsi="Times New Roman" w:cs="Times New Roman"/>
                      <w:color w:val="000000"/>
                      <w:sz w:val="21"/>
                      <w:szCs w:val="21"/>
                      <w:highlight w:val="none"/>
                      <w:u w:val="none"/>
                      <w:lang w:val="en-US" w:eastAsia="zh-CN"/>
                    </w:rPr>
                    <w:t>10~20</w:t>
                  </w:r>
                </w:p>
              </w:tc>
              <w:tc>
                <w:tcPr>
                  <w:tcW w:w="553" w:type="pct"/>
                  <w:noWrap w:val="0"/>
                  <w:vAlign w:val="center"/>
                </w:tcPr>
                <w:p w14:paraId="5B6FC235">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0.26</w:t>
                  </w:r>
                </w:p>
              </w:tc>
              <w:tc>
                <w:tcPr>
                  <w:tcW w:w="383" w:type="pct"/>
                  <w:vMerge w:val="restart"/>
                  <w:noWrap w:val="0"/>
                  <w:vAlign w:val="center"/>
                </w:tcPr>
                <w:p w14:paraId="48BCB83B">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5.0</w:t>
                  </w:r>
                </w:p>
              </w:tc>
              <w:tc>
                <w:tcPr>
                  <w:tcW w:w="524" w:type="pct"/>
                  <w:noWrap w:val="0"/>
                  <w:vAlign w:val="center"/>
                </w:tcPr>
                <w:p w14:paraId="451449A0">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0.50%</w:t>
                  </w:r>
                </w:p>
              </w:tc>
              <w:tc>
                <w:tcPr>
                  <w:tcW w:w="660" w:type="pct"/>
                  <w:vMerge w:val="restart"/>
                  <w:noWrap w:val="0"/>
                  <w:vAlign w:val="center"/>
                </w:tcPr>
                <w:p w14:paraId="6042EF68">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20.26kg</w:t>
                  </w:r>
                </w:p>
              </w:tc>
              <w:tc>
                <w:tcPr>
                  <w:tcW w:w="509" w:type="pct"/>
                  <w:vMerge w:val="restart"/>
                  <w:noWrap w:val="0"/>
                  <w:vAlign w:val="center"/>
                </w:tcPr>
                <w:p w14:paraId="7F9F091B">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12</w:t>
                  </w:r>
                </w:p>
              </w:tc>
              <w:tc>
                <w:tcPr>
                  <w:tcW w:w="636" w:type="pct"/>
                  <w:vMerge w:val="restart"/>
                  <w:noWrap w:val="0"/>
                  <w:vAlign w:val="center"/>
                </w:tcPr>
                <w:p w14:paraId="09A05DDC">
                  <w:pPr>
                    <w:pStyle w:val="31"/>
                    <w:bidi w:val="0"/>
                    <w:ind w:firstLine="0" w:firstLineChars="0"/>
                    <w:rPr>
                      <w:rFonts w:hint="default" w:ascii="Times New Roman" w:hAnsi="Times New Roman" w:cs="Times New Roman"/>
                      <w:color w:val="000000"/>
                      <w:sz w:val="21"/>
                      <w:szCs w:val="21"/>
                      <w:highlight w:val="none"/>
                      <w:u w:val="none"/>
                      <w:lang w:val="en-US" w:eastAsia="zh-CN"/>
                    </w:rPr>
                  </w:pPr>
                  <w:r>
                    <w:rPr>
                      <w:rFonts w:hint="default" w:ascii="Times New Roman" w:hAnsi="Times New Roman" w:cs="Times New Roman"/>
                      <w:color w:val="000000"/>
                      <w:highlight w:val="none"/>
                      <w:lang w:val="en-US" w:eastAsia="zh-CN"/>
                    </w:rPr>
                    <w:t>243.12kg</w:t>
                  </w:r>
                </w:p>
              </w:tc>
            </w:tr>
            <w:tr w14:paraId="1BF885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75" w:type="pct"/>
                  <w:vMerge w:val="continue"/>
                  <w:noWrap w:val="0"/>
                  <w:vAlign w:val="center"/>
                </w:tcPr>
                <w:p w14:paraId="173DA9B0">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2"/>
                      <w:sz w:val="21"/>
                      <w:szCs w:val="21"/>
                      <w:highlight w:val="none"/>
                      <w:u w:val="single"/>
                      <w:lang w:val="en-US" w:eastAsia="zh-CN" w:bidi="ar-SA"/>
                    </w:rPr>
                  </w:pPr>
                </w:p>
              </w:tc>
              <w:tc>
                <w:tcPr>
                  <w:tcW w:w="587" w:type="pct"/>
                  <w:vMerge w:val="continue"/>
                  <w:noWrap w:val="0"/>
                  <w:vAlign w:val="center"/>
                </w:tcPr>
                <w:p w14:paraId="664CB903">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2"/>
                      <w:sz w:val="21"/>
                      <w:szCs w:val="21"/>
                      <w:highlight w:val="none"/>
                      <w:u w:val="single"/>
                      <w:lang w:val="en-US" w:eastAsia="zh-CN" w:bidi="ar-SA"/>
                    </w:rPr>
                  </w:pPr>
                </w:p>
              </w:tc>
              <w:tc>
                <w:tcPr>
                  <w:tcW w:w="568" w:type="pct"/>
                  <w:noWrap w:val="0"/>
                  <w:vAlign w:val="center"/>
                </w:tcPr>
                <w:p w14:paraId="73116972">
                  <w:pPr>
                    <w:pStyle w:val="31"/>
                    <w:bidi w:val="0"/>
                    <w:rPr>
                      <w:rFonts w:hint="default" w:ascii="Times New Roman" w:hAnsi="Times New Roman" w:cs="Times New Roman"/>
                      <w:color w:val="000000"/>
                      <w:sz w:val="21"/>
                      <w:szCs w:val="21"/>
                      <w:highlight w:val="none"/>
                      <w:u w:val="none"/>
                      <w:lang w:val="en-US" w:eastAsia="zh-CN"/>
                    </w:rPr>
                  </w:pPr>
                  <w:r>
                    <w:rPr>
                      <w:rFonts w:hint="default" w:ascii="Times New Roman" w:hAnsi="Times New Roman" w:cs="Times New Roman"/>
                      <w:color w:val="000000"/>
                      <w:sz w:val="21"/>
                      <w:szCs w:val="21"/>
                      <w:highlight w:val="none"/>
                      <w:u w:val="none"/>
                      <w:lang w:val="en-US" w:eastAsia="zh-CN"/>
                    </w:rPr>
                    <w:t>20~50</w:t>
                  </w:r>
                </w:p>
              </w:tc>
              <w:tc>
                <w:tcPr>
                  <w:tcW w:w="553" w:type="pct"/>
                  <w:noWrap w:val="0"/>
                  <w:vAlign w:val="center"/>
                </w:tcPr>
                <w:p w14:paraId="3BF3301E">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 xml:space="preserve">0.27 </w:t>
                  </w:r>
                </w:p>
              </w:tc>
              <w:tc>
                <w:tcPr>
                  <w:tcW w:w="383" w:type="pct"/>
                  <w:vMerge w:val="continue"/>
                  <w:noWrap w:val="0"/>
                  <w:vAlign w:val="center"/>
                </w:tcPr>
                <w:p w14:paraId="356AC228">
                  <w:pPr>
                    <w:pStyle w:val="31"/>
                    <w:bidi w:val="0"/>
                    <w:rPr>
                      <w:rFonts w:hint="default" w:ascii="Times New Roman" w:hAnsi="Times New Roman" w:cs="Times New Roman"/>
                      <w:color w:val="000000"/>
                      <w:highlight w:val="none"/>
                      <w:lang w:val="en-US" w:eastAsia="zh-CN"/>
                    </w:rPr>
                  </w:pPr>
                </w:p>
              </w:tc>
              <w:tc>
                <w:tcPr>
                  <w:tcW w:w="524" w:type="pct"/>
                  <w:noWrap w:val="0"/>
                  <w:vAlign w:val="center"/>
                </w:tcPr>
                <w:p w14:paraId="621BBAB6">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5.50%</w:t>
                  </w:r>
                </w:p>
              </w:tc>
              <w:tc>
                <w:tcPr>
                  <w:tcW w:w="660" w:type="pct"/>
                  <w:vMerge w:val="continue"/>
                  <w:noWrap w:val="0"/>
                  <w:vAlign w:val="center"/>
                </w:tcPr>
                <w:p w14:paraId="46A5E61E">
                  <w:pPr>
                    <w:pStyle w:val="31"/>
                    <w:bidi w:val="0"/>
                    <w:rPr>
                      <w:rFonts w:hint="default" w:ascii="Times New Roman" w:hAnsi="Times New Roman" w:cs="Times New Roman"/>
                      <w:color w:val="000000"/>
                      <w:highlight w:val="none"/>
                      <w:lang w:val="en-US" w:eastAsia="zh-CN"/>
                    </w:rPr>
                  </w:pPr>
                </w:p>
              </w:tc>
              <w:tc>
                <w:tcPr>
                  <w:tcW w:w="509" w:type="pct"/>
                  <w:vMerge w:val="continue"/>
                  <w:noWrap w:val="0"/>
                  <w:vAlign w:val="center"/>
                </w:tcPr>
                <w:p w14:paraId="655A8ECF">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2"/>
                      <w:sz w:val="21"/>
                      <w:szCs w:val="21"/>
                      <w:highlight w:val="none"/>
                      <w:u w:val="single"/>
                      <w:lang w:val="en-US" w:eastAsia="zh-CN" w:bidi="ar-SA"/>
                    </w:rPr>
                  </w:pPr>
                </w:p>
              </w:tc>
              <w:tc>
                <w:tcPr>
                  <w:tcW w:w="636" w:type="pct"/>
                  <w:vMerge w:val="continue"/>
                  <w:noWrap w:val="0"/>
                  <w:vAlign w:val="center"/>
                </w:tcPr>
                <w:p w14:paraId="14181792">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2"/>
                      <w:sz w:val="21"/>
                      <w:szCs w:val="21"/>
                      <w:highlight w:val="none"/>
                      <w:u w:val="single"/>
                      <w:lang w:val="en-US" w:eastAsia="zh-CN" w:bidi="ar-SA"/>
                    </w:rPr>
                  </w:pPr>
                </w:p>
              </w:tc>
            </w:tr>
            <w:tr w14:paraId="386184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75" w:type="pct"/>
                  <w:vMerge w:val="continue"/>
                  <w:noWrap w:val="0"/>
                  <w:vAlign w:val="center"/>
                </w:tcPr>
                <w:p w14:paraId="65A14F36">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2"/>
                      <w:sz w:val="21"/>
                      <w:szCs w:val="21"/>
                      <w:highlight w:val="none"/>
                      <w:u w:val="single"/>
                      <w:lang w:val="en-US" w:eastAsia="zh-CN" w:bidi="ar-SA"/>
                    </w:rPr>
                  </w:pPr>
                </w:p>
              </w:tc>
              <w:tc>
                <w:tcPr>
                  <w:tcW w:w="587" w:type="pct"/>
                  <w:vMerge w:val="continue"/>
                  <w:noWrap w:val="0"/>
                  <w:vAlign w:val="center"/>
                </w:tcPr>
                <w:p w14:paraId="4223B693">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2"/>
                      <w:sz w:val="21"/>
                      <w:szCs w:val="21"/>
                      <w:highlight w:val="none"/>
                      <w:u w:val="single"/>
                      <w:lang w:val="en-US" w:eastAsia="zh-CN" w:bidi="ar-SA"/>
                    </w:rPr>
                  </w:pPr>
                </w:p>
              </w:tc>
              <w:tc>
                <w:tcPr>
                  <w:tcW w:w="568" w:type="pct"/>
                  <w:noWrap w:val="0"/>
                  <w:vAlign w:val="center"/>
                </w:tcPr>
                <w:p w14:paraId="62B3AE5E">
                  <w:pPr>
                    <w:pStyle w:val="31"/>
                    <w:bidi w:val="0"/>
                    <w:rPr>
                      <w:rFonts w:hint="default" w:ascii="Times New Roman" w:hAnsi="Times New Roman" w:cs="Times New Roman"/>
                      <w:color w:val="000000"/>
                      <w:sz w:val="21"/>
                      <w:szCs w:val="21"/>
                      <w:highlight w:val="none"/>
                      <w:u w:val="none"/>
                      <w:lang w:val="en-US" w:eastAsia="zh-CN"/>
                    </w:rPr>
                  </w:pPr>
                  <w:r>
                    <w:rPr>
                      <w:rFonts w:hint="default" w:ascii="Times New Roman" w:hAnsi="Times New Roman" w:cs="Times New Roman"/>
                      <w:color w:val="000000"/>
                      <w:sz w:val="21"/>
                      <w:szCs w:val="21"/>
                      <w:highlight w:val="none"/>
                      <w:u w:val="none"/>
                      <w:lang w:val="en-US" w:eastAsia="zh-CN"/>
                    </w:rPr>
                    <w:t>50~100</w:t>
                  </w:r>
                </w:p>
              </w:tc>
              <w:tc>
                <w:tcPr>
                  <w:tcW w:w="553" w:type="pct"/>
                  <w:noWrap w:val="0"/>
                  <w:vAlign w:val="center"/>
                </w:tcPr>
                <w:p w14:paraId="7672A064">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0.15</w:t>
                  </w:r>
                </w:p>
              </w:tc>
              <w:tc>
                <w:tcPr>
                  <w:tcW w:w="383" w:type="pct"/>
                  <w:vMerge w:val="continue"/>
                  <w:noWrap w:val="0"/>
                  <w:vAlign w:val="center"/>
                </w:tcPr>
                <w:p w14:paraId="1FC3CAFF">
                  <w:pPr>
                    <w:pStyle w:val="31"/>
                    <w:bidi w:val="0"/>
                    <w:rPr>
                      <w:rFonts w:hint="default" w:ascii="Times New Roman" w:hAnsi="Times New Roman" w:cs="Times New Roman"/>
                      <w:color w:val="000000"/>
                      <w:highlight w:val="none"/>
                      <w:lang w:val="en-US" w:eastAsia="zh-CN"/>
                    </w:rPr>
                  </w:pPr>
                </w:p>
              </w:tc>
              <w:tc>
                <w:tcPr>
                  <w:tcW w:w="524" w:type="pct"/>
                  <w:noWrap w:val="0"/>
                  <w:vAlign w:val="center"/>
                </w:tcPr>
                <w:p w14:paraId="6E8E8475">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15%</w:t>
                  </w:r>
                </w:p>
              </w:tc>
              <w:tc>
                <w:tcPr>
                  <w:tcW w:w="660" w:type="pct"/>
                  <w:vMerge w:val="continue"/>
                  <w:noWrap w:val="0"/>
                  <w:vAlign w:val="center"/>
                </w:tcPr>
                <w:p w14:paraId="25A2615E">
                  <w:pPr>
                    <w:pStyle w:val="31"/>
                    <w:bidi w:val="0"/>
                    <w:rPr>
                      <w:rFonts w:hint="default" w:ascii="Times New Roman" w:hAnsi="Times New Roman" w:cs="Times New Roman"/>
                      <w:color w:val="000000"/>
                      <w:highlight w:val="none"/>
                      <w:lang w:val="en-US" w:eastAsia="zh-CN"/>
                    </w:rPr>
                  </w:pPr>
                </w:p>
              </w:tc>
              <w:tc>
                <w:tcPr>
                  <w:tcW w:w="509" w:type="pct"/>
                  <w:vMerge w:val="continue"/>
                  <w:noWrap w:val="0"/>
                  <w:vAlign w:val="center"/>
                </w:tcPr>
                <w:p w14:paraId="5DC64ABA">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2"/>
                      <w:sz w:val="21"/>
                      <w:szCs w:val="21"/>
                      <w:highlight w:val="none"/>
                      <w:u w:val="single"/>
                      <w:lang w:val="en-US" w:eastAsia="zh-CN" w:bidi="ar-SA"/>
                    </w:rPr>
                  </w:pPr>
                </w:p>
              </w:tc>
              <w:tc>
                <w:tcPr>
                  <w:tcW w:w="636" w:type="pct"/>
                  <w:vMerge w:val="continue"/>
                  <w:noWrap w:val="0"/>
                  <w:vAlign w:val="center"/>
                </w:tcPr>
                <w:p w14:paraId="156214A5">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2"/>
                      <w:sz w:val="21"/>
                      <w:szCs w:val="21"/>
                      <w:highlight w:val="none"/>
                      <w:u w:val="single"/>
                      <w:lang w:val="en-US" w:eastAsia="zh-CN" w:bidi="ar-SA"/>
                    </w:rPr>
                  </w:pPr>
                </w:p>
              </w:tc>
            </w:tr>
            <w:tr w14:paraId="6F4A7A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75" w:type="pct"/>
                  <w:vMerge w:val="continue"/>
                  <w:noWrap w:val="0"/>
                  <w:vAlign w:val="center"/>
                </w:tcPr>
                <w:p w14:paraId="01CFFB6A">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2"/>
                      <w:sz w:val="21"/>
                      <w:szCs w:val="21"/>
                      <w:highlight w:val="none"/>
                      <w:u w:val="single"/>
                      <w:lang w:val="en-US" w:eastAsia="zh-CN" w:bidi="ar-SA"/>
                    </w:rPr>
                  </w:pPr>
                </w:p>
              </w:tc>
              <w:tc>
                <w:tcPr>
                  <w:tcW w:w="587" w:type="pct"/>
                  <w:vMerge w:val="continue"/>
                  <w:noWrap w:val="0"/>
                  <w:vAlign w:val="center"/>
                </w:tcPr>
                <w:p w14:paraId="6761C6C0">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2"/>
                      <w:sz w:val="21"/>
                      <w:szCs w:val="21"/>
                      <w:highlight w:val="none"/>
                      <w:u w:val="single"/>
                      <w:lang w:val="en-US" w:eastAsia="zh-CN" w:bidi="ar-SA"/>
                    </w:rPr>
                  </w:pPr>
                </w:p>
              </w:tc>
              <w:tc>
                <w:tcPr>
                  <w:tcW w:w="568" w:type="pct"/>
                  <w:noWrap w:val="0"/>
                  <w:vAlign w:val="center"/>
                </w:tcPr>
                <w:p w14:paraId="3E34876E">
                  <w:pPr>
                    <w:pStyle w:val="31"/>
                    <w:bidi w:val="0"/>
                    <w:rPr>
                      <w:rFonts w:hint="default" w:ascii="Times New Roman" w:hAnsi="Times New Roman" w:cs="Times New Roman"/>
                      <w:color w:val="000000"/>
                      <w:sz w:val="21"/>
                      <w:szCs w:val="21"/>
                      <w:highlight w:val="none"/>
                      <w:u w:val="none"/>
                      <w:lang w:val="en-US" w:eastAsia="zh-CN"/>
                    </w:rPr>
                  </w:pPr>
                  <w:r>
                    <w:rPr>
                      <w:rFonts w:hint="default" w:ascii="Times New Roman" w:hAnsi="Times New Roman" w:cs="Times New Roman"/>
                      <w:color w:val="000000"/>
                      <w:sz w:val="21"/>
                      <w:szCs w:val="21"/>
                      <w:highlight w:val="none"/>
                      <w:u w:val="none"/>
                      <w:lang w:val="en-US" w:eastAsia="zh-CN"/>
                    </w:rPr>
                    <w:t>&gt;100</w:t>
                  </w:r>
                </w:p>
              </w:tc>
              <w:tc>
                <w:tcPr>
                  <w:tcW w:w="553" w:type="pct"/>
                  <w:noWrap w:val="0"/>
                  <w:vAlign w:val="center"/>
                </w:tcPr>
                <w:p w14:paraId="06972A6F">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 xml:space="preserve">0.28 </w:t>
                  </w:r>
                </w:p>
              </w:tc>
              <w:tc>
                <w:tcPr>
                  <w:tcW w:w="383" w:type="pct"/>
                  <w:vMerge w:val="continue"/>
                  <w:noWrap w:val="0"/>
                  <w:vAlign w:val="center"/>
                </w:tcPr>
                <w:p w14:paraId="36A892C2">
                  <w:pPr>
                    <w:pStyle w:val="31"/>
                    <w:bidi w:val="0"/>
                    <w:rPr>
                      <w:rFonts w:hint="default" w:ascii="Times New Roman" w:hAnsi="Times New Roman" w:cs="Times New Roman"/>
                      <w:color w:val="000000"/>
                      <w:highlight w:val="none"/>
                      <w:lang w:val="en-US" w:eastAsia="zh-CN"/>
                    </w:rPr>
                  </w:pPr>
                </w:p>
              </w:tc>
              <w:tc>
                <w:tcPr>
                  <w:tcW w:w="524" w:type="pct"/>
                  <w:noWrap w:val="0"/>
                  <w:vAlign w:val="center"/>
                </w:tcPr>
                <w:p w14:paraId="47867F53">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20%</w:t>
                  </w:r>
                </w:p>
              </w:tc>
              <w:tc>
                <w:tcPr>
                  <w:tcW w:w="660" w:type="pct"/>
                  <w:vMerge w:val="continue"/>
                  <w:noWrap w:val="0"/>
                  <w:vAlign w:val="center"/>
                </w:tcPr>
                <w:p w14:paraId="52CEB0C0">
                  <w:pPr>
                    <w:pStyle w:val="31"/>
                    <w:bidi w:val="0"/>
                    <w:rPr>
                      <w:rFonts w:hint="default" w:ascii="Times New Roman" w:hAnsi="Times New Roman" w:cs="Times New Roman"/>
                      <w:color w:val="000000"/>
                      <w:highlight w:val="none"/>
                      <w:lang w:val="en-US" w:eastAsia="zh-CN"/>
                    </w:rPr>
                  </w:pPr>
                </w:p>
              </w:tc>
              <w:tc>
                <w:tcPr>
                  <w:tcW w:w="509" w:type="pct"/>
                  <w:vMerge w:val="continue"/>
                  <w:noWrap w:val="0"/>
                  <w:vAlign w:val="center"/>
                </w:tcPr>
                <w:p w14:paraId="45107213">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2"/>
                      <w:sz w:val="21"/>
                      <w:szCs w:val="21"/>
                      <w:highlight w:val="none"/>
                      <w:u w:val="single"/>
                      <w:lang w:val="en-US" w:eastAsia="zh-CN" w:bidi="ar-SA"/>
                    </w:rPr>
                  </w:pPr>
                </w:p>
              </w:tc>
              <w:tc>
                <w:tcPr>
                  <w:tcW w:w="636" w:type="pct"/>
                  <w:vMerge w:val="continue"/>
                  <w:noWrap w:val="0"/>
                  <w:vAlign w:val="center"/>
                </w:tcPr>
                <w:p w14:paraId="6D2DF755">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2"/>
                      <w:sz w:val="21"/>
                      <w:szCs w:val="21"/>
                      <w:highlight w:val="none"/>
                      <w:u w:val="single"/>
                      <w:lang w:val="en-US" w:eastAsia="zh-CN" w:bidi="ar-SA"/>
                    </w:rPr>
                  </w:pPr>
                </w:p>
              </w:tc>
            </w:tr>
          </w:tbl>
          <w:p w14:paraId="41A441A3">
            <w:pPr>
              <w:ind w:firstLine="480"/>
              <w:rPr>
                <w:rFonts w:hint="default" w:ascii="Times New Roman" w:hAnsi="Times New Roman" w:cs="Times New Roman"/>
                <w:b/>
                <w:bCs/>
                <w:color w:val="000000"/>
                <w:highlight w:val="none"/>
                <w:u w:val="none"/>
                <w:lang w:val="en-US" w:eastAsia="zh-CN"/>
              </w:rPr>
            </w:pPr>
            <w:r>
              <w:rPr>
                <w:rFonts w:hint="default" w:ascii="Times New Roman" w:hAnsi="Times New Roman" w:cs="Times New Roman"/>
                <w:b/>
                <w:bCs/>
                <w:color w:val="000000"/>
                <w:highlight w:val="none"/>
                <w:u w:val="none"/>
                <w:lang w:val="en-US" w:eastAsia="zh-CN"/>
              </w:rPr>
              <w:t>B、抛填块石悬浮泥沙影响损失估算</w:t>
            </w:r>
          </w:p>
          <w:p w14:paraId="78B783A2">
            <w:pPr>
              <w:ind w:firstLine="480"/>
              <w:rPr>
                <w:rFonts w:hint="default" w:ascii="Times New Roman" w:hAnsi="Times New Roman" w:cs="Times New Roman"/>
                <w:b w:val="0"/>
                <w:bCs w:val="0"/>
                <w:color w:val="000000"/>
                <w:highlight w:val="none"/>
                <w:u w:val="none"/>
                <w:lang w:val="en-US" w:eastAsia="zh-CN"/>
              </w:rPr>
            </w:pPr>
            <w:r>
              <w:rPr>
                <w:rFonts w:hint="default" w:ascii="Times New Roman" w:hAnsi="Times New Roman" w:cs="Times New Roman"/>
                <w:b w:val="0"/>
                <w:bCs w:val="0"/>
                <w:color w:val="000000"/>
                <w:highlight w:val="none"/>
                <w:u w:val="none"/>
                <w:lang w:val="en-US" w:eastAsia="zh-CN"/>
              </w:rPr>
              <w:t>本项目抛填块石施工24个月，施工工期超过一年，则</w:t>
            </w:r>
            <w:r>
              <w:rPr>
                <w:rFonts w:hint="default" w:ascii="Times New Roman" w:hAnsi="Times New Roman" w:cs="Times New Roman"/>
                <w:color w:val="000000"/>
                <w:highlight w:val="none"/>
                <w:u w:val="none"/>
                <w:lang w:val="en-US" w:eastAsia="zh-CN"/>
              </w:rPr>
              <w:t>持续影响周期数取24，影响水深按5.0m计算。根据悬浮泥沙扩散的预测结果可知：</w:t>
            </w:r>
            <w:r>
              <w:rPr>
                <w:rFonts w:hint="default" w:ascii="Times New Roman" w:hAnsi="Times New Roman" w:cs="Times New Roman"/>
                <w:b w:val="0"/>
                <w:bCs w:val="0"/>
                <w:color w:val="000000"/>
                <w:highlight w:val="none"/>
                <w:u w:val="none"/>
                <w:lang w:val="en-US" w:eastAsia="zh-CN"/>
              </w:rPr>
              <w:t>基槽开挖、港池疏浚</w:t>
            </w:r>
            <w:r>
              <w:rPr>
                <w:rFonts w:hint="default" w:ascii="Times New Roman" w:hAnsi="Times New Roman" w:cs="Times New Roman"/>
                <w:color w:val="000000"/>
                <w:highlight w:val="none"/>
                <w:u w:val="none"/>
                <w:lang w:val="en-US" w:eastAsia="zh-CN"/>
              </w:rPr>
              <w:t>施工过程可能引起悬浮物浓度增量10～20mg/L的影响范围面积为</w:t>
            </w:r>
            <w:r>
              <w:rPr>
                <w:rFonts w:hint="default" w:ascii="Times New Roman" w:hAnsi="Times New Roman" w:cs="Times New Roman"/>
                <w:color w:val="000000"/>
                <w:highlight w:val="none"/>
                <w:lang w:val="en-US" w:eastAsia="zh-CN"/>
              </w:rPr>
              <w:t>0.64</w:t>
            </w:r>
            <w:r>
              <w:rPr>
                <w:rFonts w:hint="default" w:ascii="Times New Roman" w:hAnsi="Times New Roman" w:cs="Times New Roman"/>
                <w:color w:val="000000"/>
                <w:highlight w:val="none"/>
                <w:u w:val="none"/>
                <w:lang w:val="en-US" w:eastAsia="zh-CN"/>
              </w:rPr>
              <w:t>km</w:t>
            </w:r>
            <w:r>
              <w:rPr>
                <w:rFonts w:hint="default" w:ascii="Times New Roman" w:hAnsi="Times New Roman" w:cs="Times New Roman"/>
                <w:color w:val="000000"/>
                <w:highlight w:val="none"/>
                <w:u w:val="none"/>
                <w:vertAlign w:val="superscript"/>
                <w:lang w:val="en-US" w:eastAsia="zh-CN"/>
              </w:rPr>
              <w:t>2</w:t>
            </w:r>
            <w:r>
              <w:rPr>
                <w:rFonts w:hint="default" w:ascii="Times New Roman" w:hAnsi="Times New Roman" w:cs="Times New Roman"/>
                <w:color w:val="000000"/>
                <w:highlight w:val="none"/>
                <w:u w:val="none"/>
                <w:lang w:val="en-US" w:eastAsia="zh-CN"/>
              </w:rPr>
              <w:t>，超标倍数按Bi≤1倍计；20～50mg/L的影响范围面积为</w:t>
            </w:r>
            <w:r>
              <w:rPr>
                <w:rFonts w:hint="default" w:ascii="Times New Roman" w:hAnsi="Times New Roman" w:cs="Times New Roman"/>
                <w:color w:val="000000"/>
                <w:highlight w:val="none"/>
                <w:lang w:val="en-US" w:eastAsia="zh-CN"/>
              </w:rPr>
              <w:t>0.81</w:t>
            </w:r>
            <w:r>
              <w:rPr>
                <w:rFonts w:hint="default" w:ascii="Times New Roman" w:hAnsi="Times New Roman" w:cs="Times New Roman"/>
                <w:color w:val="000000"/>
                <w:highlight w:val="none"/>
                <w:u w:val="none"/>
                <w:lang w:val="en-US" w:eastAsia="zh-CN"/>
              </w:rPr>
              <w:t>km</w:t>
            </w:r>
            <w:r>
              <w:rPr>
                <w:rFonts w:hint="default" w:ascii="Times New Roman" w:hAnsi="Times New Roman" w:cs="Times New Roman"/>
                <w:color w:val="000000"/>
                <w:highlight w:val="none"/>
                <w:u w:val="none"/>
                <w:vertAlign w:val="superscript"/>
                <w:lang w:val="en-US" w:eastAsia="zh-CN"/>
              </w:rPr>
              <w:t>2</w:t>
            </w:r>
            <w:r>
              <w:rPr>
                <w:rFonts w:hint="default" w:ascii="Times New Roman" w:hAnsi="Times New Roman" w:cs="Times New Roman"/>
                <w:color w:val="000000"/>
                <w:highlight w:val="none"/>
                <w:u w:val="none"/>
                <w:lang w:val="en-US" w:eastAsia="zh-CN"/>
              </w:rPr>
              <w:t>，超标倍数按1&lt;Bi≤4倍计；50～100mg/L的影响范围面积为</w:t>
            </w:r>
            <w:r>
              <w:rPr>
                <w:rFonts w:hint="default" w:ascii="Times New Roman" w:hAnsi="Times New Roman" w:cs="Times New Roman"/>
                <w:color w:val="000000"/>
                <w:highlight w:val="none"/>
                <w:lang w:val="en-US" w:eastAsia="zh-CN"/>
              </w:rPr>
              <w:t>0.54</w:t>
            </w:r>
            <w:r>
              <w:rPr>
                <w:rFonts w:hint="default" w:ascii="Times New Roman" w:hAnsi="Times New Roman" w:cs="Times New Roman"/>
                <w:color w:val="000000"/>
                <w:highlight w:val="none"/>
                <w:u w:val="none"/>
                <w:lang w:val="en-US" w:eastAsia="zh-CN"/>
              </w:rPr>
              <w:t>km</w:t>
            </w:r>
            <w:r>
              <w:rPr>
                <w:rFonts w:hint="default" w:ascii="Times New Roman" w:hAnsi="Times New Roman" w:cs="Times New Roman"/>
                <w:color w:val="000000"/>
                <w:highlight w:val="none"/>
                <w:u w:val="none"/>
                <w:vertAlign w:val="superscript"/>
                <w:lang w:val="en-US" w:eastAsia="zh-CN"/>
              </w:rPr>
              <w:t>2</w:t>
            </w:r>
            <w:r>
              <w:rPr>
                <w:rFonts w:hint="default" w:ascii="Times New Roman" w:hAnsi="Times New Roman" w:cs="Times New Roman"/>
                <w:color w:val="000000"/>
                <w:highlight w:val="none"/>
                <w:u w:val="none"/>
                <w:lang w:val="en-US" w:eastAsia="zh-CN"/>
              </w:rPr>
              <w:t>，超标倍数按4&lt;Bi≤9倍计；&gt;100mg/L的影响范围面积为</w:t>
            </w:r>
            <w:r>
              <w:rPr>
                <w:rFonts w:hint="default" w:ascii="Times New Roman" w:hAnsi="Times New Roman" w:cs="Times New Roman"/>
                <w:color w:val="000000"/>
                <w:szCs w:val="24"/>
                <w:highlight w:val="none"/>
                <w:lang w:val="en-US" w:eastAsia="zh-CN"/>
              </w:rPr>
              <w:t>0.84</w:t>
            </w:r>
            <w:r>
              <w:rPr>
                <w:rFonts w:hint="default" w:ascii="Times New Roman" w:hAnsi="Times New Roman" w:cs="Times New Roman"/>
                <w:color w:val="000000"/>
                <w:highlight w:val="none"/>
                <w:u w:val="none"/>
                <w:lang w:val="en-US" w:eastAsia="zh-CN"/>
              </w:rPr>
              <w:t>km</w:t>
            </w:r>
            <w:r>
              <w:rPr>
                <w:rFonts w:hint="default" w:ascii="Times New Roman" w:hAnsi="Times New Roman" w:cs="Times New Roman"/>
                <w:color w:val="000000"/>
                <w:highlight w:val="none"/>
                <w:u w:val="none"/>
                <w:vertAlign w:val="superscript"/>
                <w:lang w:val="en-US" w:eastAsia="zh-CN"/>
              </w:rPr>
              <w:t>2</w:t>
            </w:r>
            <w:r>
              <w:rPr>
                <w:rFonts w:hint="default" w:ascii="Times New Roman" w:hAnsi="Times New Roman" w:cs="Times New Roman"/>
                <w:color w:val="000000"/>
                <w:highlight w:val="none"/>
                <w:u w:val="none"/>
                <w:lang w:val="en-US" w:eastAsia="zh-CN"/>
              </w:rPr>
              <w:t>，超标倍数按Bi≥9倍计。</w:t>
            </w:r>
            <w:r>
              <w:rPr>
                <w:rFonts w:hint="default" w:ascii="Times New Roman" w:hAnsi="Times New Roman" w:eastAsia="宋体" w:cs="Times New Roman"/>
                <w:color w:val="000000"/>
                <w:highlight w:val="none"/>
                <w:u w:val="none"/>
                <w:lang w:val="en-US" w:eastAsia="zh-CN"/>
              </w:rPr>
              <w:t>工程抛填块石悬浮泥沙影响损失估算详见</w:t>
            </w:r>
            <w:r>
              <w:rPr>
                <w:rFonts w:hint="default" w:ascii="Times New Roman" w:hAnsi="Times New Roman" w:eastAsia="宋体" w:cs="Times New Roman"/>
                <w:b w:val="0"/>
                <w:bCs w:val="0"/>
                <w:color w:val="000000"/>
                <w:highlight w:val="none"/>
                <w:u w:val="none"/>
                <w:lang w:val="en-US" w:eastAsia="zh-CN"/>
              </w:rPr>
              <w:fldChar w:fldCharType="begin"/>
            </w:r>
            <w:r>
              <w:rPr>
                <w:rFonts w:hint="default" w:ascii="Times New Roman" w:hAnsi="Times New Roman" w:eastAsia="宋体" w:cs="Times New Roman"/>
                <w:b w:val="0"/>
                <w:bCs w:val="0"/>
                <w:color w:val="000000"/>
                <w:highlight w:val="none"/>
                <w:u w:val="none"/>
                <w:lang w:val="en-US" w:eastAsia="zh-CN"/>
              </w:rPr>
              <w:instrText xml:space="preserve"> REF _Ref18293 \h </w:instrText>
            </w:r>
            <w:r>
              <w:rPr>
                <w:rFonts w:hint="default" w:ascii="Times New Roman" w:hAnsi="Times New Roman" w:eastAsia="宋体" w:cs="Times New Roman"/>
                <w:b w:val="0"/>
                <w:bCs w:val="0"/>
                <w:color w:val="000000"/>
                <w:highlight w:val="none"/>
                <w:u w:val="none"/>
                <w:lang w:val="en-US" w:eastAsia="zh-CN"/>
              </w:rPr>
              <w:fldChar w:fldCharType="separate"/>
            </w:r>
            <w:r>
              <w:rPr>
                <w:rFonts w:hint="default" w:ascii="Times New Roman" w:hAnsi="Times New Roman" w:eastAsia="宋体" w:cs="Times New Roman"/>
                <w:b w:val="0"/>
                <w:bCs w:val="0"/>
                <w:color w:val="000000"/>
                <w:kern w:val="2"/>
                <w:sz w:val="24"/>
                <w:szCs w:val="28"/>
                <w:highlight w:val="none"/>
                <w:u w:val="none"/>
                <w:lang w:val="en-US" w:eastAsia="zh-CN" w:bidi="ar-SA"/>
              </w:rPr>
              <w:t>表</w:t>
            </w:r>
            <w:r>
              <w:rPr>
                <w:rFonts w:hint="default" w:ascii="Times New Roman" w:hAnsi="Times New Roman" w:eastAsia="宋体" w:cs="Times New Roman"/>
                <w:b w:val="0"/>
                <w:bCs w:val="0"/>
                <w:color w:val="000000"/>
                <w:kern w:val="2"/>
                <w:sz w:val="24"/>
                <w:szCs w:val="28"/>
                <w:highlight w:val="none"/>
                <w:u w:val="none"/>
                <w:lang w:val="en-US" w:eastAsia="zh-CN" w:bidi="ar-SA"/>
              </w:rPr>
              <w:fldChar w:fldCharType="begin"/>
            </w:r>
            <w:r>
              <w:rPr>
                <w:rFonts w:hint="default" w:ascii="Times New Roman" w:hAnsi="Times New Roman" w:eastAsia="宋体" w:cs="Times New Roman"/>
                <w:b w:val="0"/>
                <w:bCs w:val="0"/>
                <w:color w:val="000000"/>
                <w:kern w:val="2"/>
                <w:sz w:val="24"/>
                <w:szCs w:val="28"/>
                <w:highlight w:val="none"/>
                <w:u w:val="none"/>
                <w:lang w:val="en-US" w:eastAsia="zh-CN" w:bidi="ar-SA"/>
              </w:rPr>
              <w:instrText xml:space="preserve"> STYLEREF 2 \s </w:instrText>
            </w:r>
            <w:r>
              <w:rPr>
                <w:rFonts w:hint="default" w:ascii="Times New Roman" w:hAnsi="Times New Roman" w:eastAsia="宋体" w:cs="Times New Roman"/>
                <w:b w:val="0"/>
                <w:bCs w:val="0"/>
                <w:color w:val="000000"/>
                <w:kern w:val="2"/>
                <w:sz w:val="24"/>
                <w:szCs w:val="28"/>
                <w:highlight w:val="none"/>
                <w:u w:val="none"/>
                <w:lang w:val="en-US" w:eastAsia="zh-CN" w:bidi="ar-SA"/>
              </w:rPr>
              <w:fldChar w:fldCharType="separate"/>
            </w:r>
            <w:r>
              <w:rPr>
                <w:rFonts w:hint="default" w:ascii="Times New Roman" w:hAnsi="Times New Roman" w:eastAsia="宋体" w:cs="Times New Roman"/>
                <w:b w:val="0"/>
                <w:bCs w:val="0"/>
                <w:color w:val="000000"/>
                <w:kern w:val="2"/>
                <w:sz w:val="24"/>
                <w:szCs w:val="28"/>
                <w:highlight w:val="none"/>
                <w:u w:val="none"/>
                <w:lang w:val="en-US" w:eastAsia="zh-CN" w:bidi="ar-SA"/>
              </w:rPr>
              <w:t>4.3</w:t>
            </w:r>
            <w:r>
              <w:rPr>
                <w:rFonts w:hint="default" w:ascii="Times New Roman" w:hAnsi="Times New Roman" w:eastAsia="宋体" w:cs="Times New Roman"/>
                <w:b w:val="0"/>
                <w:bCs w:val="0"/>
                <w:color w:val="000000"/>
                <w:kern w:val="2"/>
                <w:sz w:val="24"/>
                <w:szCs w:val="28"/>
                <w:highlight w:val="none"/>
                <w:u w:val="none"/>
                <w:lang w:val="en-US" w:eastAsia="zh-CN" w:bidi="ar-SA"/>
              </w:rPr>
              <w:fldChar w:fldCharType="end"/>
            </w:r>
            <w:r>
              <w:rPr>
                <w:rFonts w:hint="default" w:ascii="Times New Roman" w:hAnsi="Times New Roman" w:eastAsia="宋体" w:cs="Times New Roman"/>
                <w:b w:val="0"/>
                <w:bCs w:val="0"/>
                <w:color w:val="000000"/>
                <w:kern w:val="2"/>
                <w:sz w:val="24"/>
                <w:szCs w:val="28"/>
                <w:highlight w:val="none"/>
                <w:u w:val="none"/>
                <w:lang w:val="en-US" w:eastAsia="zh-CN" w:bidi="ar-SA"/>
              </w:rPr>
              <w:t>-7</w:t>
            </w:r>
            <w:r>
              <w:rPr>
                <w:rFonts w:hint="default" w:ascii="Times New Roman" w:hAnsi="Times New Roman" w:eastAsia="宋体" w:cs="Times New Roman"/>
                <w:b w:val="0"/>
                <w:bCs w:val="0"/>
                <w:color w:val="000000"/>
                <w:highlight w:val="none"/>
                <w:u w:val="none"/>
                <w:lang w:val="en-US" w:eastAsia="zh-CN"/>
              </w:rPr>
              <w:fldChar w:fldCharType="end"/>
            </w:r>
            <w:r>
              <w:rPr>
                <w:rFonts w:hint="default" w:ascii="Times New Roman" w:hAnsi="Times New Roman" w:eastAsia="宋体" w:cs="Times New Roman"/>
                <w:color w:val="000000"/>
                <w:highlight w:val="none"/>
                <w:u w:val="none"/>
                <w:lang w:val="en-US" w:eastAsia="zh-CN"/>
              </w:rPr>
              <w:t>。</w:t>
            </w:r>
          </w:p>
          <w:p w14:paraId="00379E71">
            <w:pPr>
              <w:widowControl w:val="0"/>
              <w:bidi w:val="0"/>
              <w:adjustRightInd/>
              <w:snapToGrid/>
              <w:spacing w:line="240" w:lineRule="auto"/>
              <w:ind w:firstLine="0" w:firstLineChars="0"/>
              <w:jc w:val="center"/>
              <w:rPr>
                <w:rFonts w:hint="default" w:ascii="Times New Roman" w:hAnsi="Times New Roman" w:eastAsia="宋体" w:cs="Times New Roman"/>
                <w:b/>
                <w:color w:val="000000"/>
                <w:kern w:val="2"/>
                <w:sz w:val="24"/>
                <w:szCs w:val="28"/>
                <w:highlight w:val="none"/>
                <w:u w:val="none"/>
                <w:lang w:val="en-US" w:eastAsia="zh-CN" w:bidi="ar-SA"/>
              </w:rPr>
            </w:pPr>
            <w:bookmarkStart w:id="336" w:name="_Ref18293"/>
            <w:r>
              <w:rPr>
                <w:rFonts w:hint="default" w:ascii="Times New Roman" w:hAnsi="Times New Roman" w:eastAsia="宋体" w:cs="Times New Roman"/>
                <w:b/>
                <w:color w:val="000000"/>
                <w:kern w:val="2"/>
                <w:sz w:val="24"/>
                <w:szCs w:val="28"/>
                <w:highlight w:val="none"/>
                <w:u w:val="none"/>
                <w:lang w:val="en-US" w:eastAsia="zh-CN" w:bidi="ar-SA"/>
              </w:rPr>
              <w:t>表</w:t>
            </w:r>
            <w:r>
              <w:rPr>
                <w:rFonts w:hint="default" w:ascii="Times New Roman" w:hAnsi="Times New Roman" w:eastAsia="宋体" w:cs="Times New Roman"/>
                <w:b/>
                <w:color w:val="000000"/>
                <w:kern w:val="2"/>
                <w:sz w:val="24"/>
                <w:szCs w:val="28"/>
                <w:highlight w:val="none"/>
                <w:u w:val="none"/>
                <w:lang w:val="en-US" w:eastAsia="zh-CN" w:bidi="ar-SA"/>
              </w:rPr>
              <w:fldChar w:fldCharType="begin"/>
            </w:r>
            <w:r>
              <w:rPr>
                <w:rFonts w:hint="default" w:ascii="Times New Roman" w:hAnsi="Times New Roman" w:eastAsia="宋体" w:cs="Times New Roman"/>
                <w:b/>
                <w:color w:val="000000"/>
                <w:kern w:val="2"/>
                <w:sz w:val="24"/>
                <w:szCs w:val="28"/>
                <w:highlight w:val="none"/>
                <w:u w:val="none"/>
                <w:lang w:val="en-US" w:eastAsia="zh-CN" w:bidi="ar-SA"/>
              </w:rPr>
              <w:instrText xml:space="preserve"> STYLEREF 2 \s </w:instrText>
            </w:r>
            <w:r>
              <w:rPr>
                <w:rFonts w:hint="default" w:ascii="Times New Roman" w:hAnsi="Times New Roman" w:eastAsia="宋体" w:cs="Times New Roman"/>
                <w:b/>
                <w:color w:val="000000"/>
                <w:kern w:val="2"/>
                <w:sz w:val="24"/>
                <w:szCs w:val="28"/>
                <w:highlight w:val="none"/>
                <w:u w:val="none"/>
                <w:lang w:val="en-US" w:eastAsia="zh-CN" w:bidi="ar-SA"/>
              </w:rPr>
              <w:fldChar w:fldCharType="separate"/>
            </w:r>
            <w:r>
              <w:rPr>
                <w:rFonts w:hint="default" w:ascii="Times New Roman" w:hAnsi="Times New Roman" w:eastAsia="宋体" w:cs="Times New Roman"/>
                <w:b/>
                <w:color w:val="000000"/>
                <w:kern w:val="2"/>
                <w:sz w:val="24"/>
                <w:szCs w:val="28"/>
                <w:highlight w:val="none"/>
                <w:u w:val="none"/>
                <w:lang w:val="en-US" w:eastAsia="zh-CN" w:bidi="ar-SA"/>
              </w:rPr>
              <w:t>4.3</w:t>
            </w:r>
            <w:r>
              <w:rPr>
                <w:rFonts w:hint="default" w:ascii="Times New Roman" w:hAnsi="Times New Roman" w:eastAsia="宋体" w:cs="Times New Roman"/>
                <w:b/>
                <w:color w:val="000000"/>
                <w:kern w:val="2"/>
                <w:sz w:val="24"/>
                <w:szCs w:val="28"/>
                <w:highlight w:val="none"/>
                <w:u w:val="none"/>
                <w:lang w:val="en-US" w:eastAsia="zh-CN" w:bidi="ar-SA"/>
              </w:rPr>
              <w:fldChar w:fldCharType="end"/>
            </w:r>
            <w:r>
              <w:rPr>
                <w:rFonts w:hint="default" w:ascii="Times New Roman" w:hAnsi="Times New Roman" w:eastAsia="宋体" w:cs="Times New Roman"/>
                <w:b/>
                <w:color w:val="000000"/>
                <w:kern w:val="2"/>
                <w:sz w:val="24"/>
                <w:szCs w:val="28"/>
                <w:highlight w:val="none"/>
                <w:u w:val="none"/>
                <w:lang w:val="en-US" w:eastAsia="zh-CN" w:bidi="ar-SA"/>
              </w:rPr>
              <w:t>-</w:t>
            </w:r>
            <w:r>
              <w:rPr>
                <w:rFonts w:hint="default" w:ascii="Times New Roman" w:hAnsi="Times New Roman" w:eastAsia="宋体" w:cs="Times New Roman"/>
                <w:b/>
                <w:color w:val="000000"/>
                <w:kern w:val="2"/>
                <w:sz w:val="24"/>
                <w:szCs w:val="28"/>
                <w:highlight w:val="none"/>
                <w:u w:val="none"/>
                <w:lang w:val="en-US" w:eastAsia="zh-CN" w:bidi="ar-SA"/>
              </w:rPr>
              <w:fldChar w:fldCharType="begin"/>
            </w:r>
            <w:r>
              <w:rPr>
                <w:rFonts w:hint="default" w:ascii="Times New Roman" w:hAnsi="Times New Roman" w:eastAsia="宋体" w:cs="Times New Roman"/>
                <w:b/>
                <w:color w:val="000000"/>
                <w:kern w:val="2"/>
                <w:sz w:val="24"/>
                <w:szCs w:val="28"/>
                <w:highlight w:val="none"/>
                <w:u w:val="none"/>
                <w:lang w:val="en-US" w:eastAsia="zh-CN" w:bidi="ar-SA"/>
              </w:rPr>
              <w:instrText xml:space="preserve"> SEQ 表 \* ARABIC \s 2 </w:instrText>
            </w:r>
            <w:r>
              <w:rPr>
                <w:rFonts w:hint="default" w:ascii="Times New Roman" w:hAnsi="Times New Roman" w:eastAsia="宋体" w:cs="Times New Roman"/>
                <w:b/>
                <w:color w:val="000000"/>
                <w:kern w:val="2"/>
                <w:sz w:val="24"/>
                <w:szCs w:val="28"/>
                <w:highlight w:val="none"/>
                <w:u w:val="none"/>
                <w:lang w:val="en-US" w:eastAsia="zh-CN" w:bidi="ar-SA"/>
              </w:rPr>
              <w:fldChar w:fldCharType="separate"/>
            </w:r>
            <w:r>
              <w:rPr>
                <w:rFonts w:hint="default" w:ascii="Times New Roman" w:hAnsi="Times New Roman" w:eastAsia="宋体" w:cs="Times New Roman"/>
                <w:b/>
                <w:color w:val="000000"/>
                <w:kern w:val="2"/>
                <w:sz w:val="24"/>
                <w:szCs w:val="28"/>
                <w:highlight w:val="none"/>
                <w:u w:val="none"/>
                <w:lang w:val="en-US" w:eastAsia="zh-CN" w:bidi="ar-SA"/>
              </w:rPr>
              <w:t>7</w:t>
            </w:r>
            <w:r>
              <w:rPr>
                <w:rFonts w:hint="default" w:ascii="Times New Roman" w:hAnsi="Times New Roman" w:eastAsia="宋体" w:cs="Times New Roman"/>
                <w:b/>
                <w:color w:val="000000"/>
                <w:kern w:val="2"/>
                <w:sz w:val="24"/>
                <w:szCs w:val="28"/>
                <w:highlight w:val="none"/>
                <w:u w:val="none"/>
                <w:lang w:val="en-US" w:eastAsia="zh-CN" w:bidi="ar-SA"/>
              </w:rPr>
              <w:fldChar w:fldCharType="end"/>
            </w:r>
            <w:bookmarkEnd w:id="336"/>
            <w:r>
              <w:rPr>
                <w:rFonts w:hint="default" w:ascii="Times New Roman" w:hAnsi="Times New Roman" w:eastAsia="宋体" w:cs="Times New Roman"/>
                <w:b/>
                <w:color w:val="000000"/>
                <w:kern w:val="2"/>
                <w:sz w:val="24"/>
                <w:szCs w:val="28"/>
                <w:highlight w:val="none"/>
                <w:u w:val="none"/>
                <w:lang w:val="en-US" w:eastAsia="zh-CN" w:bidi="ar-SA"/>
              </w:rPr>
              <w:t xml:space="preserve"> 本工程抛填块石悬浮泥沙影响损失估算表</w:t>
            </w:r>
          </w:p>
          <w:tbl>
            <w:tblPr>
              <w:tblStyle w:val="22"/>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47"/>
              <w:gridCol w:w="966"/>
              <w:gridCol w:w="935"/>
              <w:gridCol w:w="911"/>
              <w:gridCol w:w="632"/>
              <w:gridCol w:w="862"/>
              <w:gridCol w:w="1008"/>
              <w:gridCol w:w="778"/>
              <w:gridCol w:w="1186"/>
            </w:tblGrid>
            <w:tr w14:paraId="473A66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blHeader/>
              </w:trPr>
              <w:tc>
                <w:tcPr>
                  <w:tcW w:w="575" w:type="pct"/>
                  <w:noWrap w:val="0"/>
                  <w:vAlign w:val="center"/>
                </w:tcPr>
                <w:p w14:paraId="61E18914">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kern w:val="2"/>
                      <w:sz w:val="21"/>
                      <w:szCs w:val="21"/>
                      <w:highlight w:val="none"/>
                      <w:u w:val="none"/>
                      <w:lang w:val="en-US" w:eastAsia="zh-CN" w:bidi="ar-SA"/>
                    </w:rPr>
                  </w:pPr>
                  <w:r>
                    <w:rPr>
                      <w:rFonts w:hint="default" w:ascii="Times New Roman" w:hAnsi="Times New Roman" w:eastAsia="宋体" w:cs="Times New Roman"/>
                      <w:b/>
                      <w:bCs/>
                      <w:color w:val="000000"/>
                      <w:kern w:val="2"/>
                      <w:sz w:val="21"/>
                      <w:szCs w:val="21"/>
                      <w:highlight w:val="none"/>
                      <w:u w:val="none"/>
                      <w:lang w:val="en-US" w:eastAsia="zh-CN" w:bidi="ar-SA"/>
                    </w:rPr>
                    <w:t>项目</w:t>
                  </w:r>
                </w:p>
              </w:tc>
              <w:tc>
                <w:tcPr>
                  <w:tcW w:w="587" w:type="pct"/>
                  <w:noWrap w:val="0"/>
                  <w:vAlign w:val="center"/>
                </w:tcPr>
                <w:p w14:paraId="46499B6A">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kern w:val="2"/>
                      <w:sz w:val="21"/>
                      <w:szCs w:val="21"/>
                      <w:highlight w:val="none"/>
                      <w:u w:val="none"/>
                      <w:lang w:val="en-US" w:eastAsia="zh-CN" w:bidi="ar-SA"/>
                    </w:rPr>
                  </w:pPr>
                  <w:r>
                    <w:rPr>
                      <w:rFonts w:hint="default" w:ascii="Times New Roman" w:hAnsi="Times New Roman" w:eastAsia="宋体" w:cs="Times New Roman"/>
                      <w:b/>
                      <w:bCs/>
                      <w:color w:val="000000"/>
                      <w:kern w:val="2"/>
                      <w:sz w:val="21"/>
                      <w:szCs w:val="21"/>
                      <w:highlight w:val="none"/>
                      <w:u w:val="none"/>
                      <w:lang w:val="en-US" w:eastAsia="zh-CN" w:bidi="ar-SA"/>
                    </w:rPr>
                    <w:t>资源密度</w:t>
                  </w:r>
                </w:p>
              </w:tc>
              <w:tc>
                <w:tcPr>
                  <w:tcW w:w="568" w:type="pct"/>
                  <w:noWrap w:val="0"/>
                  <w:vAlign w:val="center"/>
                </w:tcPr>
                <w:p w14:paraId="726B5EDB">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kern w:val="2"/>
                      <w:sz w:val="21"/>
                      <w:szCs w:val="21"/>
                      <w:highlight w:val="none"/>
                      <w:u w:val="none"/>
                      <w:lang w:val="en-US" w:eastAsia="zh-CN" w:bidi="ar-SA"/>
                    </w:rPr>
                  </w:pPr>
                  <w:r>
                    <w:rPr>
                      <w:rFonts w:hint="default" w:ascii="Times New Roman" w:hAnsi="Times New Roman" w:eastAsia="宋体" w:cs="Times New Roman"/>
                      <w:b/>
                      <w:bCs/>
                      <w:color w:val="000000"/>
                      <w:kern w:val="2"/>
                      <w:sz w:val="21"/>
                      <w:szCs w:val="21"/>
                      <w:highlight w:val="none"/>
                      <w:u w:val="none"/>
                      <w:lang w:val="en-US" w:eastAsia="zh-CN" w:bidi="ar-SA"/>
                    </w:rPr>
                    <w:t>SS浓度（mg/L)</w:t>
                  </w:r>
                </w:p>
              </w:tc>
              <w:tc>
                <w:tcPr>
                  <w:tcW w:w="553" w:type="pct"/>
                  <w:noWrap w:val="0"/>
                  <w:vAlign w:val="center"/>
                </w:tcPr>
                <w:p w14:paraId="3EAD3779">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kern w:val="2"/>
                      <w:sz w:val="21"/>
                      <w:szCs w:val="21"/>
                      <w:highlight w:val="none"/>
                      <w:u w:val="none"/>
                      <w:lang w:val="en-US" w:eastAsia="zh-CN" w:bidi="ar-SA"/>
                    </w:rPr>
                  </w:pPr>
                  <w:r>
                    <w:rPr>
                      <w:rFonts w:hint="default" w:ascii="Times New Roman" w:hAnsi="Times New Roman" w:eastAsia="宋体" w:cs="Times New Roman"/>
                      <w:b/>
                      <w:bCs/>
                      <w:color w:val="000000"/>
                      <w:kern w:val="2"/>
                      <w:sz w:val="21"/>
                      <w:szCs w:val="21"/>
                      <w:highlight w:val="none"/>
                      <w:u w:val="none"/>
                      <w:lang w:val="en-US" w:eastAsia="zh-CN" w:bidi="ar-SA"/>
                    </w:rPr>
                    <w:t>影响面积（km</w:t>
                  </w:r>
                  <w:r>
                    <w:rPr>
                      <w:rFonts w:hint="default" w:ascii="Times New Roman" w:hAnsi="Times New Roman" w:eastAsia="宋体" w:cs="Times New Roman"/>
                      <w:b/>
                      <w:bCs/>
                      <w:color w:val="000000"/>
                      <w:kern w:val="2"/>
                      <w:sz w:val="21"/>
                      <w:szCs w:val="21"/>
                      <w:highlight w:val="none"/>
                      <w:u w:val="none"/>
                      <w:vertAlign w:val="superscript"/>
                      <w:lang w:val="en-US" w:eastAsia="zh-CN" w:bidi="ar-SA"/>
                    </w:rPr>
                    <w:t>2</w:t>
                  </w:r>
                  <w:r>
                    <w:rPr>
                      <w:rFonts w:hint="default" w:ascii="Times New Roman" w:hAnsi="Times New Roman" w:eastAsia="宋体" w:cs="Times New Roman"/>
                      <w:b/>
                      <w:bCs/>
                      <w:color w:val="000000"/>
                      <w:kern w:val="2"/>
                      <w:sz w:val="21"/>
                      <w:szCs w:val="21"/>
                      <w:highlight w:val="none"/>
                      <w:u w:val="none"/>
                      <w:lang w:val="en-US" w:eastAsia="zh-CN" w:bidi="ar-SA"/>
                    </w:rPr>
                    <w:t>）</w:t>
                  </w:r>
                </w:p>
              </w:tc>
              <w:tc>
                <w:tcPr>
                  <w:tcW w:w="383" w:type="pct"/>
                  <w:noWrap w:val="0"/>
                  <w:vAlign w:val="center"/>
                </w:tcPr>
                <w:p w14:paraId="53DE48F4">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kern w:val="2"/>
                      <w:sz w:val="21"/>
                      <w:szCs w:val="21"/>
                      <w:highlight w:val="none"/>
                      <w:u w:val="none"/>
                      <w:lang w:val="en-US" w:eastAsia="zh-CN" w:bidi="ar-SA"/>
                    </w:rPr>
                  </w:pPr>
                  <w:r>
                    <w:rPr>
                      <w:rFonts w:hint="default" w:ascii="Times New Roman" w:hAnsi="Times New Roman" w:eastAsia="宋体" w:cs="Times New Roman"/>
                      <w:b/>
                      <w:bCs/>
                      <w:color w:val="000000"/>
                      <w:kern w:val="2"/>
                      <w:sz w:val="21"/>
                      <w:szCs w:val="21"/>
                      <w:highlight w:val="none"/>
                      <w:u w:val="none"/>
                      <w:lang w:val="en-US" w:eastAsia="zh-CN" w:bidi="ar-SA"/>
                    </w:rPr>
                    <w:t>水深（m）</w:t>
                  </w:r>
                </w:p>
              </w:tc>
              <w:tc>
                <w:tcPr>
                  <w:tcW w:w="524" w:type="pct"/>
                  <w:noWrap w:val="0"/>
                  <w:vAlign w:val="center"/>
                </w:tcPr>
                <w:p w14:paraId="3194D486">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b/>
                      <w:bCs/>
                      <w:color w:val="000000"/>
                      <w:highlight w:val="none"/>
                      <w:lang w:val="en-US" w:eastAsia="zh-CN"/>
                    </w:rPr>
                    <w:t>损失率</w:t>
                  </w:r>
                </w:p>
              </w:tc>
              <w:tc>
                <w:tcPr>
                  <w:tcW w:w="612" w:type="pct"/>
                  <w:noWrap w:val="0"/>
                  <w:vAlign w:val="center"/>
                </w:tcPr>
                <w:p w14:paraId="7C03AC87">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kern w:val="2"/>
                      <w:sz w:val="21"/>
                      <w:szCs w:val="21"/>
                      <w:highlight w:val="none"/>
                      <w:u w:val="none"/>
                      <w:lang w:val="en-US" w:eastAsia="zh-CN" w:bidi="ar-SA"/>
                    </w:rPr>
                  </w:pPr>
                  <w:r>
                    <w:rPr>
                      <w:rFonts w:hint="default" w:ascii="Times New Roman" w:hAnsi="Times New Roman" w:eastAsia="宋体" w:cs="Times New Roman"/>
                      <w:b/>
                      <w:bCs/>
                      <w:color w:val="000000"/>
                      <w:kern w:val="2"/>
                      <w:sz w:val="21"/>
                      <w:szCs w:val="21"/>
                      <w:highlight w:val="none"/>
                      <w:u w:val="none"/>
                      <w:lang w:val="en-US" w:eastAsia="zh-CN" w:bidi="ar-SA"/>
                    </w:rPr>
                    <w:t>一次性平均受损量</w:t>
                  </w:r>
                </w:p>
              </w:tc>
              <w:tc>
                <w:tcPr>
                  <w:tcW w:w="472" w:type="pct"/>
                  <w:noWrap w:val="0"/>
                  <w:vAlign w:val="center"/>
                </w:tcPr>
                <w:p w14:paraId="0B8E9231">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kern w:val="2"/>
                      <w:sz w:val="21"/>
                      <w:szCs w:val="21"/>
                      <w:highlight w:val="none"/>
                      <w:u w:val="none"/>
                      <w:lang w:val="en-US" w:eastAsia="zh-CN" w:bidi="ar-SA"/>
                    </w:rPr>
                  </w:pPr>
                  <w:r>
                    <w:rPr>
                      <w:rFonts w:hint="default" w:ascii="Times New Roman" w:hAnsi="Times New Roman" w:eastAsia="宋体" w:cs="Times New Roman"/>
                      <w:b/>
                      <w:bCs/>
                      <w:color w:val="000000"/>
                      <w:kern w:val="2"/>
                      <w:sz w:val="21"/>
                      <w:szCs w:val="21"/>
                      <w:highlight w:val="none"/>
                      <w:u w:val="none"/>
                      <w:lang w:val="en-US" w:eastAsia="zh-CN" w:bidi="ar-SA"/>
                    </w:rPr>
                    <w:t>持续周期（T）</w:t>
                  </w:r>
                </w:p>
              </w:tc>
              <w:tc>
                <w:tcPr>
                  <w:tcW w:w="721" w:type="pct"/>
                  <w:noWrap w:val="0"/>
                  <w:vAlign w:val="center"/>
                </w:tcPr>
                <w:p w14:paraId="5426B8E2">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kern w:val="2"/>
                      <w:sz w:val="21"/>
                      <w:szCs w:val="21"/>
                      <w:highlight w:val="none"/>
                      <w:u w:val="none"/>
                      <w:lang w:val="en-US" w:eastAsia="zh-CN" w:bidi="ar-SA"/>
                    </w:rPr>
                  </w:pPr>
                  <w:r>
                    <w:rPr>
                      <w:rFonts w:hint="default" w:ascii="Times New Roman" w:hAnsi="Times New Roman" w:eastAsia="宋体" w:cs="Times New Roman"/>
                      <w:b/>
                      <w:bCs/>
                      <w:color w:val="000000"/>
                      <w:kern w:val="2"/>
                      <w:sz w:val="21"/>
                      <w:szCs w:val="21"/>
                      <w:highlight w:val="none"/>
                      <w:u w:val="none"/>
                      <w:lang w:val="en-US" w:eastAsia="zh-CN" w:bidi="ar-SA"/>
                    </w:rPr>
                    <w:t>持续性损害受损量</w:t>
                  </w:r>
                </w:p>
              </w:tc>
            </w:tr>
            <w:tr w14:paraId="3EE281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75" w:type="pct"/>
                  <w:vMerge w:val="restart"/>
                  <w:noWrap w:val="0"/>
                  <w:vAlign w:val="center"/>
                </w:tcPr>
                <w:p w14:paraId="447B9584">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2"/>
                      <w:sz w:val="21"/>
                      <w:szCs w:val="21"/>
                      <w:highlight w:val="none"/>
                      <w:u w:val="none"/>
                      <w:lang w:val="en-US" w:eastAsia="zh-CN" w:bidi="ar-SA"/>
                    </w:rPr>
                  </w:pPr>
                  <w:r>
                    <w:rPr>
                      <w:rFonts w:hint="default" w:ascii="Times New Roman" w:hAnsi="Times New Roman" w:eastAsia="宋体" w:cs="Times New Roman"/>
                      <w:color w:val="000000"/>
                      <w:kern w:val="2"/>
                      <w:sz w:val="21"/>
                      <w:szCs w:val="21"/>
                      <w:highlight w:val="none"/>
                      <w:u w:val="none"/>
                      <w:lang w:val="en-US" w:eastAsia="zh-CN" w:bidi="ar-SA"/>
                    </w:rPr>
                    <w:t>浮游植物</w:t>
                  </w:r>
                </w:p>
              </w:tc>
              <w:tc>
                <w:tcPr>
                  <w:tcW w:w="587" w:type="pct"/>
                  <w:vMerge w:val="restart"/>
                  <w:noWrap w:val="0"/>
                  <w:vAlign w:val="center"/>
                </w:tcPr>
                <w:p w14:paraId="01B912B3">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2"/>
                      <w:sz w:val="21"/>
                      <w:szCs w:val="21"/>
                      <w:highlight w:val="none"/>
                      <w:u w:val="none"/>
                      <w:lang w:val="en-US" w:eastAsia="zh-CN" w:bidi="ar-SA"/>
                    </w:rPr>
                  </w:pPr>
                </w:p>
              </w:tc>
              <w:tc>
                <w:tcPr>
                  <w:tcW w:w="568" w:type="pct"/>
                  <w:noWrap w:val="0"/>
                  <w:vAlign w:val="center"/>
                </w:tcPr>
                <w:p w14:paraId="4EA61CFB">
                  <w:pPr>
                    <w:pStyle w:val="31"/>
                    <w:bidi w:val="0"/>
                    <w:rPr>
                      <w:rFonts w:hint="default" w:ascii="Times New Roman" w:hAnsi="Times New Roman" w:cs="Times New Roman"/>
                      <w:color w:val="000000"/>
                      <w:sz w:val="21"/>
                      <w:szCs w:val="21"/>
                      <w:highlight w:val="none"/>
                      <w:u w:val="none"/>
                      <w:lang w:val="en-US" w:eastAsia="zh-CN"/>
                    </w:rPr>
                  </w:pPr>
                  <w:r>
                    <w:rPr>
                      <w:rFonts w:hint="default" w:ascii="Times New Roman" w:hAnsi="Times New Roman" w:cs="Times New Roman"/>
                      <w:color w:val="000000"/>
                      <w:sz w:val="21"/>
                      <w:szCs w:val="21"/>
                      <w:highlight w:val="none"/>
                      <w:u w:val="none"/>
                      <w:lang w:val="en-US" w:eastAsia="zh-CN"/>
                    </w:rPr>
                    <w:t>10~20</w:t>
                  </w:r>
                </w:p>
              </w:tc>
              <w:tc>
                <w:tcPr>
                  <w:tcW w:w="553" w:type="pct"/>
                  <w:noWrap w:val="0"/>
                  <w:vAlign w:val="center"/>
                </w:tcPr>
                <w:p w14:paraId="3696E4BB">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0.64</w:t>
                  </w:r>
                </w:p>
              </w:tc>
              <w:tc>
                <w:tcPr>
                  <w:tcW w:w="383" w:type="pct"/>
                  <w:vMerge w:val="restart"/>
                  <w:noWrap w:val="0"/>
                  <w:vAlign w:val="center"/>
                </w:tcPr>
                <w:p w14:paraId="11F8F8A2">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5.0</w:t>
                  </w:r>
                </w:p>
              </w:tc>
              <w:tc>
                <w:tcPr>
                  <w:tcW w:w="524" w:type="pct"/>
                  <w:noWrap w:val="0"/>
                  <w:vAlign w:val="center"/>
                </w:tcPr>
                <w:p w14:paraId="1F9C61D4">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5%</w:t>
                  </w:r>
                </w:p>
              </w:tc>
              <w:tc>
                <w:tcPr>
                  <w:tcW w:w="612" w:type="pct"/>
                  <w:vMerge w:val="restart"/>
                  <w:noWrap w:val="0"/>
                  <w:vAlign w:val="center"/>
                </w:tcPr>
                <w:p w14:paraId="28FF1ADD">
                  <w:pPr>
                    <w:pStyle w:val="31"/>
                    <w:bidi w:val="0"/>
                    <w:rPr>
                      <w:rFonts w:hint="default" w:ascii="Times New Roman" w:hAnsi="Times New Roman" w:cs="Times New Roman"/>
                      <w:color w:val="000000"/>
                      <w:highlight w:val="none"/>
                      <w:lang w:val="en-US" w:eastAsia="zh-CN"/>
                    </w:rPr>
                  </w:pPr>
                  <w:r>
                    <w:rPr>
                      <w:rFonts w:hint="default" w:ascii="Times New Roman" w:hAnsi="Times New Roman" w:eastAsia="宋体" w:cs="Times New Roman"/>
                      <w:color w:val="000000"/>
                      <w:sz w:val="21"/>
                      <w:szCs w:val="21"/>
                      <w:highlight w:val="none"/>
                      <w:u w:val="none"/>
                      <w:lang w:val="en-US" w:eastAsia="zh-CN"/>
                    </w:rPr>
                    <w:t>7.51</w:t>
                  </w:r>
                  <w:r>
                    <w:rPr>
                      <w:rFonts w:hint="default" w:ascii="Times New Roman" w:hAnsi="Times New Roman" w:eastAsia="宋体" w:cs="Times New Roman"/>
                      <w:color w:val="000000"/>
                      <w:sz w:val="21"/>
                      <w:szCs w:val="21"/>
                      <w:highlight w:val="none"/>
                      <w:u w:val="none"/>
                    </w:rPr>
                    <w:t>×10</w:t>
                  </w:r>
                  <w:r>
                    <w:rPr>
                      <w:rFonts w:hint="default" w:ascii="Times New Roman" w:hAnsi="Times New Roman" w:eastAsia="宋体" w:cs="Times New Roman"/>
                      <w:color w:val="000000"/>
                      <w:sz w:val="21"/>
                      <w:szCs w:val="21"/>
                      <w:highlight w:val="none"/>
                      <w:u w:val="none"/>
                      <w:vertAlign w:val="superscript"/>
                      <w:lang w:val="en-US" w:eastAsia="zh-CN"/>
                    </w:rPr>
                    <w:t>13</w:t>
                  </w:r>
                  <w:r>
                    <w:rPr>
                      <w:rFonts w:hint="default" w:ascii="Times New Roman" w:hAnsi="Times New Roman" w:eastAsia="宋体" w:cs="Times New Roman"/>
                      <w:color w:val="000000"/>
                      <w:sz w:val="21"/>
                      <w:szCs w:val="21"/>
                      <w:highlight w:val="none"/>
                      <w:u w:val="none"/>
                    </w:rPr>
                    <w:t>个</w:t>
                  </w:r>
                </w:p>
              </w:tc>
              <w:tc>
                <w:tcPr>
                  <w:tcW w:w="472" w:type="pct"/>
                  <w:vMerge w:val="restart"/>
                  <w:noWrap w:val="0"/>
                  <w:vAlign w:val="center"/>
                </w:tcPr>
                <w:p w14:paraId="588E2DFF">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24</w:t>
                  </w:r>
                </w:p>
              </w:tc>
              <w:tc>
                <w:tcPr>
                  <w:tcW w:w="721" w:type="pct"/>
                  <w:vMerge w:val="restart"/>
                  <w:noWrap w:val="0"/>
                  <w:vAlign w:val="center"/>
                </w:tcPr>
                <w:p w14:paraId="7A7EF567">
                  <w:pPr>
                    <w:pStyle w:val="31"/>
                    <w:bidi w:val="0"/>
                    <w:rPr>
                      <w:rFonts w:hint="default" w:ascii="Times New Roman" w:hAnsi="Times New Roman" w:cs="Times New Roman"/>
                      <w:color w:val="000000"/>
                      <w:sz w:val="21"/>
                      <w:szCs w:val="21"/>
                      <w:highlight w:val="none"/>
                      <w:u w:val="none"/>
                      <w:lang w:val="en-US" w:eastAsia="zh-CN"/>
                    </w:rPr>
                  </w:pPr>
                  <w:r>
                    <w:rPr>
                      <w:rFonts w:hint="default" w:ascii="Times New Roman" w:hAnsi="Times New Roman" w:eastAsia="宋体" w:cs="Times New Roman"/>
                      <w:color w:val="000000"/>
                      <w:sz w:val="21"/>
                      <w:szCs w:val="21"/>
                      <w:highlight w:val="none"/>
                      <w:u w:val="none"/>
                      <w:lang w:val="en-US" w:eastAsia="zh-CN"/>
                    </w:rPr>
                    <w:t>180.24</w:t>
                  </w:r>
                  <w:r>
                    <w:rPr>
                      <w:rFonts w:hint="default" w:ascii="Times New Roman" w:hAnsi="Times New Roman" w:eastAsia="宋体" w:cs="Times New Roman"/>
                      <w:color w:val="000000"/>
                      <w:sz w:val="21"/>
                      <w:szCs w:val="21"/>
                      <w:highlight w:val="none"/>
                      <w:u w:val="none"/>
                    </w:rPr>
                    <w:t>×10</w:t>
                  </w:r>
                  <w:r>
                    <w:rPr>
                      <w:rFonts w:hint="default" w:ascii="Times New Roman" w:hAnsi="Times New Roman" w:eastAsia="宋体" w:cs="Times New Roman"/>
                      <w:color w:val="000000"/>
                      <w:sz w:val="21"/>
                      <w:szCs w:val="21"/>
                      <w:highlight w:val="none"/>
                      <w:u w:val="none"/>
                      <w:vertAlign w:val="superscript"/>
                      <w:lang w:val="en-US" w:eastAsia="zh-CN"/>
                    </w:rPr>
                    <w:t>13</w:t>
                  </w:r>
                  <w:r>
                    <w:rPr>
                      <w:rFonts w:hint="default" w:ascii="Times New Roman" w:hAnsi="Times New Roman" w:eastAsia="宋体" w:cs="Times New Roman"/>
                      <w:color w:val="000000"/>
                      <w:sz w:val="21"/>
                      <w:szCs w:val="21"/>
                      <w:highlight w:val="none"/>
                      <w:u w:val="none"/>
                    </w:rPr>
                    <w:t>个</w:t>
                  </w:r>
                </w:p>
              </w:tc>
            </w:tr>
            <w:tr w14:paraId="42DCB8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75" w:type="pct"/>
                  <w:vMerge w:val="continue"/>
                  <w:noWrap w:val="0"/>
                  <w:vAlign w:val="center"/>
                </w:tcPr>
                <w:p w14:paraId="131C76B8">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2"/>
                      <w:sz w:val="21"/>
                      <w:szCs w:val="21"/>
                      <w:highlight w:val="none"/>
                      <w:u w:val="none"/>
                      <w:lang w:val="en-US" w:eastAsia="zh-CN" w:bidi="ar-SA"/>
                    </w:rPr>
                  </w:pPr>
                </w:p>
              </w:tc>
              <w:tc>
                <w:tcPr>
                  <w:tcW w:w="587" w:type="pct"/>
                  <w:vMerge w:val="continue"/>
                  <w:noWrap w:val="0"/>
                  <w:vAlign w:val="center"/>
                </w:tcPr>
                <w:p w14:paraId="7DE5B365">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2"/>
                      <w:sz w:val="21"/>
                      <w:szCs w:val="21"/>
                      <w:highlight w:val="none"/>
                      <w:u w:val="none"/>
                      <w:lang w:val="en-US" w:eastAsia="zh-CN" w:bidi="ar-SA"/>
                    </w:rPr>
                  </w:pPr>
                </w:p>
              </w:tc>
              <w:tc>
                <w:tcPr>
                  <w:tcW w:w="568" w:type="pct"/>
                  <w:noWrap w:val="0"/>
                  <w:vAlign w:val="center"/>
                </w:tcPr>
                <w:p w14:paraId="4B64B0DB">
                  <w:pPr>
                    <w:pStyle w:val="31"/>
                    <w:bidi w:val="0"/>
                    <w:rPr>
                      <w:rFonts w:hint="default" w:ascii="Times New Roman" w:hAnsi="Times New Roman" w:cs="Times New Roman"/>
                      <w:color w:val="000000"/>
                      <w:sz w:val="21"/>
                      <w:szCs w:val="21"/>
                      <w:highlight w:val="none"/>
                      <w:u w:val="none"/>
                      <w:lang w:val="en-US" w:eastAsia="zh-CN"/>
                    </w:rPr>
                  </w:pPr>
                  <w:r>
                    <w:rPr>
                      <w:rFonts w:hint="default" w:ascii="Times New Roman" w:hAnsi="Times New Roman" w:cs="Times New Roman"/>
                      <w:color w:val="000000"/>
                      <w:sz w:val="21"/>
                      <w:szCs w:val="21"/>
                      <w:highlight w:val="none"/>
                      <w:u w:val="none"/>
                      <w:lang w:val="en-US" w:eastAsia="zh-CN"/>
                    </w:rPr>
                    <w:t>20~50</w:t>
                  </w:r>
                </w:p>
              </w:tc>
              <w:tc>
                <w:tcPr>
                  <w:tcW w:w="553" w:type="pct"/>
                  <w:noWrap w:val="0"/>
                  <w:vAlign w:val="center"/>
                </w:tcPr>
                <w:p w14:paraId="0C6719C3">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 xml:space="preserve">0.81 </w:t>
                  </w:r>
                </w:p>
              </w:tc>
              <w:tc>
                <w:tcPr>
                  <w:tcW w:w="383" w:type="pct"/>
                  <w:vMerge w:val="continue"/>
                  <w:noWrap w:val="0"/>
                  <w:vAlign w:val="center"/>
                </w:tcPr>
                <w:p w14:paraId="770A588D">
                  <w:pPr>
                    <w:pStyle w:val="31"/>
                    <w:bidi w:val="0"/>
                    <w:rPr>
                      <w:rFonts w:hint="default" w:ascii="Times New Roman" w:hAnsi="Times New Roman" w:cs="Times New Roman"/>
                      <w:color w:val="000000"/>
                      <w:highlight w:val="none"/>
                      <w:lang w:val="en-US" w:eastAsia="zh-CN"/>
                    </w:rPr>
                  </w:pPr>
                </w:p>
              </w:tc>
              <w:tc>
                <w:tcPr>
                  <w:tcW w:w="524" w:type="pct"/>
                  <w:noWrap w:val="0"/>
                  <w:vAlign w:val="center"/>
                </w:tcPr>
                <w:p w14:paraId="46EBEC4C">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20%</w:t>
                  </w:r>
                </w:p>
              </w:tc>
              <w:tc>
                <w:tcPr>
                  <w:tcW w:w="612" w:type="pct"/>
                  <w:vMerge w:val="continue"/>
                  <w:noWrap w:val="0"/>
                  <w:vAlign w:val="center"/>
                </w:tcPr>
                <w:p w14:paraId="70E7B393">
                  <w:pPr>
                    <w:pStyle w:val="31"/>
                    <w:bidi w:val="0"/>
                    <w:rPr>
                      <w:rFonts w:hint="default" w:ascii="Times New Roman" w:hAnsi="Times New Roman" w:cs="Times New Roman"/>
                      <w:color w:val="000000"/>
                      <w:highlight w:val="none"/>
                      <w:lang w:val="en-US" w:eastAsia="zh-CN"/>
                    </w:rPr>
                  </w:pPr>
                </w:p>
              </w:tc>
              <w:tc>
                <w:tcPr>
                  <w:tcW w:w="472" w:type="pct"/>
                  <w:vMerge w:val="continue"/>
                  <w:noWrap w:val="0"/>
                  <w:vAlign w:val="center"/>
                </w:tcPr>
                <w:p w14:paraId="4AC199ED">
                  <w:pPr>
                    <w:pStyle w:val="31"/>
                    <w:bidi w:val="0"/>
                    <w:rPr>
                      <w:rFonts w:hint="default" w:ascii="Times New Roman" w:hAnsi="Times New Roman" w:cs="Times New Roman"/>
                      <w:color w:val="000000"/>
                      <w:highlight w:val="none"/>
                      <w:lang w:val="en-US" w:eastAsia="zh-CN"/>
                    </w:rPr>
                  </w:pPr>
                </w:p>
              </w:tc>
              <w:tc>
                <w:tcPr>
                  <w:tcW w:w="721" w:type="pct"/>
                  <w:vMerge w:val="continue"/>
                  <w:noWrap w:val="0"/>
                  <w:vAlign w:val="center"/>
                </w:tcPr>
                <w:p w14:paraId="2D7A4F6A">
                  <w:pPr>
                    <w:pStyle w:val="31"/>
                    <w:bidi w:val="0"/>
                    <w:rPr>
                      <w:rFonts w:hint="default" w:ascii="Times New Roman" w:hAnsi="Times New Roman" w:cs="Times New Roman"/>
                      <w:color w:val="000000"/>
                      <w:sz w:val="21"/>
                      <w:szCs w:val="21"/>
                      <w:highlight w:val="none"/>
                      <w:u w:val="none"/>
                      <w:lang w:val="en-US" w:eastAsia="zh-CN"/>
                    </w:rPr>
                  </w:pPr>
                </w:p>
              </w:tc>
            </w:tr>
            <w:tr w14:paraId="5130CA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3" w:hRule="atLeast"/>
              </w:trPr>
              <w:tc>
                <w:tcPr>
                  <w:tcW w:w="575" w:type="pct"/>
                  <w:vMerge w:val="continue"/>
                  <w:noWrap w:val="0"/>
                  <w:vAlign w:val="center"/>
                </w:tcPr>
                <w:p w14:paraId="4C7858B5">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2"/>
                      <w:sz w:val="21"/>
                      <w:szCs w:val="21"/>
                      <w:highlight w:val="none"/>
                      <w:u w:val="none"/>
                      <w:lang w:val="en-US" w:eastAsia="zh-CN" w:bidi="ar-SA"/>
                    </w:rPr>
                  </w:pPr>
                </w:p>
              </w:tc>
              <w:tc>
                <w:tcPr>
                  <w:tcW w:w="587" w:type="pct"/>
                  <w:vMerge w:val="continue"/>
                  <w:noWrap w:val="0"/>
                  <w:vAlign w:val="center"/>
                </w:tcPr>
                <w:p w14:paraId="0A5C1B96">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2"/>
                      <w:sz w:val="21"/>
                      <w:szCs w:val="21"/>
                      <w:highlight w:val="none"/>
                      <w:u w:val="none"/>
                      <w:lang w:val="en-US" w:eastAsia="zh-CN" w:bidi="ar-SA"/>
                    </w:rPr>
                  </w:pPr>
                </w:p>
              </w:tc>
              <w:tc>
                <w:tcPr>
                  <w:tcW w:w="568" w:type="pct"/>
                  <w:noWrap w:val="0"/>
                  <w:vAlign w:val="center"/>
                </w:tcPr>
                <w:p w14:paraId="0945D673">
                  <w:pPr>
                    <w:pStyle w:val="31"/>
                    <w:bidi w:val="0"/>
                    <w:rPr>
                      <w:rFonts w:hint="default" w:ascii="Times New Roman" w:hAnsi="Times New Roman" w:cs="Times New Roman"/>
                      <w:color w:val="000000"/>
                      <w:sz w:val="21"/>
                      <w:szCs w:val="21"/>
                      <w:highlight w:val="none"/>
                      <w:u w:val="none"/>
                      <w:lang w:val="en-US" w:eastAsia="zh-CN"/>
                    </w:rPr>
                  </w:pPr>
                  <w:r>
                    <w:rPr>
                      <w:rFonts w:hint="default" w:ascii="Times New Roman" w:hAnsi="Times New Roman" w:cs="Times New Roman"/>
                      <w:color w:val="000000"/>
                      <w:sz w:val="21"/>
                      <w:szCs w:val="21"/>
                      <w:highlight w:val="none"/>
                      <w:u w:val="none"/>
                      <w:lang w:val="en-US" w:eastAsia="zh-CN"/>
                    </w:rPr>
                    <w:t>50~100</w:t>
                  </w:r>
                </w:p>
              </w:tc>
              <w:tc>
                <w:tcPr>
                  <w:tcW w:w="553" w:type="pct"/>
                  <w:noWrap w:val="0"/>
                  <w:vAlign w:val="center"/>
                </w:tcPr>
                <w:p w14:paraId="41570F50">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0.54</w:t>
                  </w:r>
                </w:p>
              </w:tc>
              <w:tc>
                <w:tcPr>
                  <w:tcW w:w="383" w:type="pct"/>
                  <w:vMerge w:val="continue"/>
                  <w:noWrap w:val="0"/>
                  <w:vAlign w:val="center"/>
                </w:tcPr>
                <w:p w14:paraId="3DA6FB63">
                  <w:pPr>
                    <w:pStyle w:val="31"/>
                    <w:bidi w:val="0"/>
                    <w:rPr>
                      <w:rFonts w:hint="default" w:ascii="Times New Roman" w:hAnsi="Times New Roman" w:cs="Times New Roman"/>
                      <w:color w:val="000000"/>
                      <w:highlight w:val="none"/>
                      <w:lang w:val="en-US" w:eastAsia="zh-CN"/>
                    </w:rPr>
                  </w:pPr>
                </w:p>
              </w:tc>
              <w:tc>
                <w:tcPr>
                  <w:tcW w:w="524" w:type="pct"/>
                  <w:noWrap w:val="0"/>
                  <w:vAlign w:val="center"/>
                </w:tcPr>
                <w:p w14:paraId="5176F7C7">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40%</w:t>
                  </w:r>
                </w:p>
              </w:tc>
              <w:tc>
                <w:tcPr>
                  <w:tcW w:w="612" w:type="pct"/>
                  <w:vMerge w:val="continue"/>
                  <w:noWrap w:val="0"/>
                  <w:vAlign w:val="center"/>
                </w:tcPr>
                <w:p w14:paraId="19EC288B">
                  <w:pPr>
                    <w:pStyle w:val="31"/>
                    <w:bidi w:val="0"/>
                    <w:rPr>
                      <w:rFonts w:hint="default" w:ascii="Times New Roman" w:hAnsi="Times New Roman" w:cs="Times New Roman"/>
                      <w:color w:val="000000"/>
                      <w:highlight w:val="none"/>
                      <w:lang w:val="en-US" w:eastAsia="zh-CN"/>
                    </w:rPr>
                  </w:pPr>
                </w:p>
              </w:tc>
              <w:tc>
                <w:tcPr>
                  <w:tcW w:w="472" w:type="pct"/>
                  <w:vMerge w:val="continue"/>
                  <w:noWrap w:val="0"/>
                  <w:vAlign w:val="center"/>
                </w:tcPr>
                <w:p w14:paraId="33694DAF">
                  <w:pPr>
                    <w:pStyle w:val="31"/>
                    <w:bidi w:val="0"/>
                    <w:rPr>
                      <w:rFonts w:hint="default" w:ascii="Times New Roman" w:hAnsi="Times New Roman" w:cs="Times New Roman"/>
                      <w:color w:val="000000"/>
                      <w:highlight w:val="none"/>
                      <w:lang w:val="en-US" w:eastAsia="zh-CN"/>
                    </w:rPr>
                  </w:pPr>
                </w:p>
              </w:tc>
              <w:tc>
                <w:tcPr>
                  <w:tcW w:w="721" w:type="pct"/>
                  <w:vMerge w:val="continue"/>
                  <w:noWrap w:val="0"/>
                  <w:vAlign w:val="center"/>
                </w:tcPr>
                <w:p w14:paraId="71CC3FD6">
                  <w:pPr>
                    <w:pStyle w:val="31"/>
                    <w:bidi w:val="0"/>
                    <w:rPr>
                      <w:rFonts w:hint="default" w:ascii="Times New Roman" w:hAnsi="Times New Roman" w:cs="Times New Roman"/>
                      <w:color w:val="000000"/>
                      <w:sz w:val="21"/>
                      <w:szCs w:val="21"/>
                      <w:highlight w:val="none"/>
                      <w:u w:val="none"/>
                      <w:lang w:val="en-US" w:eastAsia="zh-CN"/>
                    </w:rPr>
                  </w:pPr>
                </w:p>
              </w:tc>
            </w:tr>
            <w:tr w14:paraId="407186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75" w:type="pct"/>
                  <w:vMerge w:val="continue"/>
                  <w:noWrap w:val="0"/>
                  <w:vAlign w:val="center"/>
                </w:tcPr>
                <w:p w14:paraId="26DF974B">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2"/>
                      <w:sz w:val="21"/>
                      <w:szCs w:val="21"/>
                      <w:highlight w:val="none"/>
                      <w:u w:val="none"/>
                      <w:lang w:val="en-US" w:eastAsia="zh-CN" w:bidi="ar-SA"/>
                    </w:rPr>
                  </w:pPr>
                </w:p>
              </w:tc>
              <w:tc>
                <w:tcPr>
                  <w:tcW w:w="587" w:type="pct"/>
                  <w:vMerge w:val="continue"/>
                  <w:noWrap w:val="0"/>
                  <w:vAlign w:val="center"/>
                </w:tcPr>
                <w:p w14:paraId="68EBAC8E">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2"/>
                      <w:sz w:val="21"/>
                      <w:szCs w:val="21"/>
                      <w:highlight w:val="none"/>
                      <w:u w:val="none"/>
                      <w:lang w:val="en-US" w:eastAsia="zh-CN" w:bidi="ar-SA"/>
                    </w:rPr>
                  </w:pPr>
                </w:p>
              </w:tc>
              <w:tc>
                <w:tcPr>
                  <w:tcW w:w="568" w:type="pct"/>
                  <w:noWrap w:val="0"/>
                  <w:vAlign w:val="center"/>
                </w:tcPr>
                <w:p w14:paraId="15C305C6">
                  <w:pPr>
                    <w:pStyle w:val="31"/>
                    <w:bidi w:val="0"/>
                    <w:rPr>
                      <w:rFonts w:hint="default" w:ascii="Times New Roman" w:hAnsi="Times New Roman" w:cs="Times New Roman"/>
                      <w:color w:val="000000"/>
                      <w:sz w:val="21"/>
                      <w:szCs w:val="21"/>
                      <w:highlight w:val="none"/>
                      <w:u w:val="none"/>
                      <w:lang w:val="en-US" w:eastAsia="zh-CN"/>
                    </w:rPr>
                  </w:pPr>
                  <w:r>
                    <w:rPr>
                      <w:rFonts w:hint="default" w:ascii="Times New Roman" w:hAnsi="Times New Roman" w:cs="Times New Roman"/>
                      <w:color w:val="000000"/>
                      <w:sz w:val="21"/>
                      <w:szCs w:val="21"/>
                      <w:highlight w:val="none"/>
                      <w:u w:val="none"/>
                      <w:lang w:val="en-US" w:eastAsia="zh-CN"/>
                    </w:rPr>
                    <w:t>&gt;100</w:t>
                  </w:r>
                </w:p>
              </w:tc>
              <w:tc>
                <w:tcPr>
                  <w:tcW w:w="553" w:type="pct"/>
                  <w:noWrap w:val="0"/>
                  <w:vAlign w:val="center"/>
                </w:tcPr>
                <w:p w14:paraId="65D2F951">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 xml:space="preserve">0.84 </w:t>
                  </w:r>
                </w:p>
              </w:tc>
              <w:tc>
                <w:tcPr>
                  <w:tcW w:w="383" w:type="pct"/>
                  <w:vMerge w:val="continue"/>
                  <w:noWrap w:val="0"/>
                  <w:vAlign w:val="center"/>
                </w:tcPr>
                <w:p w14:paraId="5234DDD8">
                  <w:pPr>
                    <w:pStyle w:val="31"/>
                    <w:bidi w:val="0"/>
                    <w:rPr>
                      <w:rFonts w:hint="default" w:ascii="Times New Roman" w:hAnsi="Times New Roman" w:cs="Times New Roman"/>
                      <w:color w:val="000000"/>
                      <w:highlight w:val="none"/>
                      <w:lang w:val="en-US" w:eastAsia="zh-CN"/>
                    </w:rPr>
                  </w:pPr>
                </w:p>
              </w:tc>
              <w:tc>
                <w:tcPr>
                  <w:tcW w:w="524" w:type="pct"/>
                  <w:noWrap w:val="0"/>
                  <w:vAlign w:val="center"/>
                </w:tcPr>
                <w:p w14:paraId="0A8E89C9">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50%</w:t>
                  </w:r>
                </w:p>
              </w:tc>
              <w:tc>
                <w:tcPr>
                  <w:tcW w:w="612" w:type="pct"/>
                  <w:vMerge w:val="continue"/>
                  <w:noWrap w:val="0"/>
                  <w:vAlign w:val="center"/>
                </w:tcPr>
                <w:p w14:paraId="117608C0">
                  <w:pPr>
                    <w:pStyle w:val="31"/>
                    <w:bidi w:val="0"/>
                    <w:rPr>
                      <w:rFonts w:hint="default" w:ascii="Times New Roman" w:hAnsi="Times New Roman" w:cs="Times New Roman"/>
                      <w:color w:val="000000"/>
                      <w:highlight w:val="none"/>
                      <w:lang w:val="en-US" w:eastAsia="zh-CN"/>
                    </w:rPr>
                  </w:pPr>
                </w:p>
              </w:tc>
              <w:tc>
                <w:tcPr>
                  <w:tcW w:w="472" w:type="pct"/>
                  <w:vMerge w:val="continue"/>
                  <w:noWrap w:val="0"/>
                  <w:vAlign w:val="center"/>
                </w:tcPr>
                <w:p w14:paraId="75EDDD56">
                  <w:pPr>
                    <w:pStyle w:val="31"/>
                    <w:bidi w:val="0"/>
                    <w:rPr>
                      <w:rFonts w:hint="default" w:ascii="Times New Roman" w:hAnsi="Times New Roman" w:cs="Times New Roman"/>
                      <w:color w:val="000000"/>
                      <w:highlight w:val="none"/>
                      <w:lang w:val="en-US" w:eastAsia="zh-CN"/>
                    </w:rPr>
                  </w:pPr>
                </w:p>
              </w:tc>
              <w:tc>
                <w:tcPr>
                  <w:tcW w:w="721" w:type="pct"/>
                  <w:vMerge w:val="continue"/>
                  <w:noWrap w:val="0"/>
                  <w:vAlign w:val="center"/>
                </w:tcPr>
                <w:p w14:paraId="18302C6F">
                  <w:pPr>
                    <w:pStyle w:val="31"/>
                    <w:bidi w:val="0"/>
                    <w:rPr>
                      <w:rFonts w:hint="default" w:ascii="Times New Roman" w:hAnsi="Times New Roman" w:cs="Times New Roman"/>
                      <w:color w:val="000000"/>
                      <w:sz w:val="21"/>
                      <w:szCs w:val="21"/>
                      <w:highlight w:val="none"/>
                      <w:u w:val="none"/>
                      <w:lang w:val="en-US" w:eastAsia="zh-CN"/>
                    </w:rPr>
                  </w:pPr>
                </w:p>
              </w:tc>
            </w:tr>
            <w:tr w14:paraId="4007FC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75" w:type="pct"/>
                  <w:vMerge w:val="restart"/>
                  <w:noWrap w:val="0"/>
                  <w:vAlign w:val="center"/>
                </w:tcPr>
                <w:p w14:paraId="4E47F4FB">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2"/>
                      <w:sz w:val="21"/>
                      <w:szCs w:val="21"/>
                      <w:highlight w:val="none"/>
                      <w:u w:val="none"/>
                      <w:lang w:val="en-US" w:eastAsia="zh-CN" w:bidi="ar-SA"/>
                    </w:rPr>
                  </w:pPr>
                  <w:r>
                    <w:rPr>
                      <w:rFonts w:hint="default" w:ascii="Times New Roman" w:hAnsi="Times New Roman" w:eastAsia="宋体" w:cs="Times New Roman"/>
                      <w:color w:val="000000"/>
                      <w:kern w:val="2"/>
                      <w:sz w:val="21"/>
                      <w:szCs w:val="21"/>
                      <w:highlight w:val="none"/>
                      <w:u w:val="none"/>
                      <w:lang w:val="en-US" w:eastAsia="zh-CN" w:bidi="ar-SA"/>
                    </w:rPr>
                    <w:t>浮游动物</w:t>
                  </w:r>
                </w:p>
              </w:tc>
              <w:tc>
                <w:tcPr>
                  <w:tcW w:w="587" w:type="pct"/>
                  <w:vMerge w:val="restart"/>
                  <w:noWrap w:val="0"/>
                  <w:vAlign w:val="center"/>
                </w:tcPr>
                <w:p w14:paraId="58A99541">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2"/>
                      <w:sz w:val="21"/>
                      <w:szCs w:val="21"/>
                      <w:highlight w:val="none"/>
                      <w:u w:val="none"/>
                      <w:lang w:val="en-US" w:eastAsia="zh-CN" w:bidi="ar-SA"/>
                    </w:rPr>
                  </w:pPr>
                </w:p>
              </w:tc>
              <w:tc>
                <w:tcPr>
                  <w:tcW w:w="568" w:type="pct"/>
                  <w:noWrap w:val="0"/>
                  <w:vAlign w:val="center"/>
                </w:tcPr>
                <w:p w14:paraId="772F2F83">
                  <w:pPr>
                    <w:pStyle w:val="31"/>
                    <w:bidi w:val="0"/>
                    <w:rPr>
                      <w:rFonts w:hint="default" w:ascii="Times New Roman" w:hAnsi="Times New Roman" w:cs="Times New Roman"/>
                      <w:color w:val="000000"/>
                      <w:sz w:val="21"/>
                      <w:szCs w:val="21"/>
                      <w:highlight w:val="none"/>
                      <w:u w:val="none"/>
                      <w:lang w:val="en-US" w:eastAsia="zh-CN"/>
                    </w:rPr>
                  </w:pPr>
                  <w:r>
                    <w:rPr>
                      <w:rFonts w:hint="default" w:ascii="Times New Roman" w:hAnsi="Times New Roman" w:cs="Times New Roman"/>
                      <w:color w:val="000000"/>
                      <w:sz w:val="21"/>
                      <w:szCs w:val="21"/>
                      <w:highlight w:val="none"/>
                      <w:u w:val="none"/>
                      <w:lang w:val="en-US" w:eastAsia="zh-CN"/>
                    </w:rPr>
                    <w:t>10~20</w:t>
                  </w:r>
                </w:p>
              </w:tc>
              <w:tc>
                <w:tcPr>
                  <w:tcW w:w="553" w:type="pct"/>
                  <w:noWrap w:val="0"/>
                  <w:vAlign w:val="center"/>
                </w:tcPr>
                <w:p w14:paraId="3D9AA79D">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0.64</w:t>
                  </w:r>
                </w:p>
              </w:tc>
              <w:tc>
                <w:tcPr>
                  <w:tcW w:w="383" w:type="pct"/>
                  <w:vMerge w:val="restart"/>
                  <w:noWrap w:val="0"/>
                  <w:vAlign w:val="center"/>
                </w:tcPr>
                <w:p w14:paraId="2C750E7E">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5.0</w:t>
                  </w:r>
                </w:p>
              </w:tc>
              <w:tc>
                <w:tcPr>
                  <w:tcW w:w="524" w:type="pct"/>
                  <w:noWrap w:val="0"/>
                  <w:vAlign w:val="center"/>
                </w:tcPr>
                <w:p w14:paraId="1731D338">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5%</w:t>
                  </w:r>
                </w:p>
              </w:tc>
              <w:tc>
                <w:tcPr>
                  <w:tcW w:w="612" w:type="pct"/>
                  <w:vMerge w:val="restart"/>
                  <w:noWrap w:val="0"/>
                  <w:vAlign w:val="center"/>
                </w:tcPr>
                <w:p w14:paraId="0A11A4F1">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402.09kg</w:t>
                  </w:r>
                </w:p>
              </w:tc>
              <w:tc>
                <w:tcPr>
                  <w:tcW w:w="472" w:type="pct"/>
                  <w:vMerge w:val="restart"/>
                  <w:noWrap w:val="0"/>
                  <w:vAlign w:val="center"/>
                </w:tcPr>
                <w:p w14:paraId="79FAFC9C">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24</w:t>
                  </w:r>
                </w:p>
              </w:tc>
              <w:tc>
                <w:tcPr>
                  <w:tcW w:w="721" w:type="pct"/>
                  <w:vMerge w:val="restart"/>
                  <w:noWrap w:val="0"/>
                  <w:vAlign w:val="center"/>
                </w:tcPr>
                <w:p w14:paraId="468C8F53">
                  <w:pPr>
                    <w:pStyle w:val="31"/>
                    <w:bidi w:val="0"/>
                    <w:rPr>
                      <w:rFonts w:hint="default" w:ascii="Times New Roman" w:hAnsi="Times New Roman" w:cs="Times New Roman"/>
                      <w:color w:val="000000"/>
                      <w:sz w:val="21"/>
                      <w:szCs w:val="21"/>
                      <w:highlight w:val="none"/>
                      <w:u w:val="none"/>
                      <w:lang w:val="en-US" w:eastAsia="zh-CN"/>
                    </w:rPr>
                  </w:pPr>
                  <w:r>
                    <w:rPr>
                      <w:rFonts w:hint="default" w:ascii="Times New Roman" w:hAnsi="Times New Roman" w:cs="Times New Roman"/>
                      <w:color w:val="000000"/>
                      <w:sz w:val="21"/>
                      <w:szCs w:val="21"/>
                      <w:highlight w:val="none"/>
                      <w:u w:val="none"/>
                      <w:lang w:val="en-US" w:eastAsia="zh-CN"/>
                    </w:rPr>
                    <w:t>9650.16kg</w:t>
                  </w:r>
                </w:p>
              </w:tc>
            </w:tr>
            <w:tr w14:paraId="1D9F04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75" w:type="pct"/>
                  <w:vMerge w:val="continue"/>
                  <w:noWrap w:val="0"/>
                  <w:vAlign w:val="center"/>
                </w:tcPr>
                <w:p w14:paraId="06324526">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2"/>
                      <w:sz w:val="21"/>
                      <w:szCs w:val="21"/>
                      <w:highlight w:val="none"/>
                      <w:u w:val="none"/>
                      <w:lang w:val="en-US" w:eastAsia="zh-CN" w:bidi="ar-SA"/>
                    </w:rPr>
                  </w:pPr>
                </w:p>
              </w:tc>
              <w:tc>
                <w:tcPr>
                  <w:tcW w:w="587" w:type="pct"/>
                  <w:vMerge w:val="continue"/>
                  <w:noWrap w:val="0"/>
                  <w:vAlign w:val="center"/>
                </w:tcPr>
                <w:p w14:paraId="2F676043">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2"/>
                      <w:sz w:val="21"/>
                      <w:szCs w:val="21"/>
                      <w:highlight w:val="none"/>
                      <w:u w:val="none"/>
                      <w:lang w:val="en-US" w:eastAsia="zh-CN" w:bidi="ar-SA"/>
                    </w:rPr>
                  </w:pPr>
                </w:p>
              </w:tc>
              <w:tc>
                <w:tcPr>
                  <w:tcW w:w="568" w:type="pct"/>
                  <w:noWrap w:val="0"/>
                  <w:vAlign w:val="center"/>
                </w:tcPr>
                <w:p w14:paraId="2D20428B">
                  <w:pPr>
                    <w:pStyle w:val="31"/>
                    <w:bidi w:val="0"/>
                    <w:rPr>
                      <w:rFonts w:hint="default" w:ascii="Times New Roman" w:hAnsi="Times New Roman" w:cs="Times New Roman"/>
                      <w:color w:val="000000"/>
                      <w:sz w:val="21"/>
                      <w:szCs w:val="21"/>
                      <w:highlight w:val="none"/>
                      <w:u w:val="none"/>
                      <w:lang w:val="en-US" w:eastAsia="zh-CN"/>
                    </w:rPr>
                  </w:pPr>
                  <w:r>
                    <w:rPr>
                      <w:rFonts w:hint="default" w:ascii="Times New Roman" w:hAnsi="Times New Roman" w:cs="Times New Roman"/>
                      <w:color w:val="000000"/>
                      <w:sz w:val="21"/>
                      <w:szCs w:val="21"/>
                      <w:highlight w:val="none"/>
                      <w:u w:val="none"/>
                      <w:lang w:val="en-US" w:eastAsia="zh-CN"/>
                    </w:rPr>
                    <w:t>20~50</w:t>
                  </w:r>
                </w:p>
              </w:tc>
              <w:tc>
                <w:tcPr>
                  <w:tcW w:w="553" w:type="pct"/>
                  <w:noWrap w:val="0"/>
                  <w:vAlign w:val="center"/>
                </w:tcPr>
                <w:p w14:paraId="38DFD0EF">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 xml:space="preserve">0.81 </w:t>
                  </w:r>
                </w:p>
              </w:tc>
              <w:tc>
                <w:tcPr>
                  <w:tcW w:w="383" w:type="pct"/>
                  <w:vMerge w:val="continue"/>
                  <w:noWrap w:val="0"/>
                  <w:vAlign w:val="center"/>
                </w:tcPr>
                <w:p w14:paraId="2173FB5B">
                  <w:pPr>
                    <w:pStyle w:val="31"/>
                    <w:bidi w:val="0"/>
                    <w:rPr>
                      <w:rFonts w:hint="default" w:ascii="Times New Roman" w:hAnsi="Times New Roman" w:cs="Times New Roman"/>
                      <w:color w:val="000000"/>
                      <w:highlight w:val="none"/>
                      <w:lang w:val="en-US" w:eastAsia="zh-CN"/>
                    </w:rPr>
                  </w:pPr>
                </w:p>
              </w:tc>
              <w:tc>
                <w:tcPr>
                  <w:tcW w:w="524" w:type="pct"/>
                  <w:noWrap w:val="0"/>
                  <w:vAlign w:val="center"/>
                </w:tcPr>
                <w:p w14:paraId="45D029D7">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20%</w:t>
                  </w:r>
                </w:p>
              </w:tc>
              <w:tc>
                <w:tcPr>
                  <w:tcW w:w="612" w:type="pct"/>
                  <w:vMerge w:val="continue"/>
                  <w:noWrap w:val="0"/>
                  <w:vAlign w:val="center"/>
                </w:tcPr>
                <w:p w14:paraId="504F68F1">
                  <w:pPr>
                    <w:pStyle w:val="31"/>
                    <w:bidi w:val="0"/>
                    <w:rPr>
                      <w:rFonts w:hint="default" w:ascii="Times New Roman" w:hAnsi="Times New Roman" w:cs="Times New Roman"/>
                      <w:color w:val="000000"/>
                      <w:highlight w:val="none"/>
                      <w:lang w:val="en-US" w:eastAsia="zh-CN"/>
                    </w:rPr>
                  </w:pPr>
                </w:p>
              </w:tc>
              <w:tc>
                <w:tcPr>
                  <w:tcW w:w="472" w:type="pct"/>
                  <w:vMerge w:val="continue"/>
                  <w:noWrap w:val="0"/>
                  <w:vAlign w:val="center"/>
                </w:tcPr>
                <w:p w14:paraId="3F24D023">
                  <w:pPr>
                    <w:pStyle w:val="31"/>
                    <w:bidi w:val="0"/>
                    <w:rPr>
                      <w:rFonts w:hint="default" w:ascii="Times New Roman" w:hAnsi="Times New Roman" w:cs="Times New Roman"/>
                      <w:color w:val="000000"/>
                      <w:highlight w:val="none"/>
                      <w:lang w:val="en-US" w:eastAsia="zh-CN"/>
                    </w:rPr>
                  </w:pPr>
                </w:p>
              </w:tc>
              <w:tc>
                <w:tcPr>
                  <w:tcW w:w="721" w:type="pct"/>
                  <w:vMerge w:val="continue"/>
                  <w:noWrap w:val="0"/>
                  <w:vAlign w:val="center"/>
                </w:tcPr>
                <w:p w14:paraId="26D962C5">
                  <w:pPr>
                    <w:pStyle w:val="31"/>
                    <w:bidi w:val="0"/>
                    <w:rPr>
                      <w:rFonts w:hint="default" w:ascii="Times New Roman" w:hAnsi="Times New Roman" w:cs="Times New Roman"/>
                      <w:color w:val="000000"/>
                      <w:sz w:val="21"/>
                      <w:szCs w:val="21"/>
                      <w:highlight w:val="none"/>
                      <w:u w:val="none"/>
                      <w:lang w:val="en-US" w:eastAsia="zh-CN"/>
                    </w:rPr>
                  </w:pPr>
                </w:p>
              </w:tc>
            </w:tr>
            <w:tr w14:paraId="10CD07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75" w:type="pct"/>
                  <w:vMerge w:val="continue"/>
                  <w:noWrap w:val="0"/>
                  <w:vAlign w:val="center"/>
                </w:tcPr>
                <w:p w14:paraId="6CE679EC">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2"/>
                      <w:sz w:val="21"/>
                      <w:szCs w:val="21"/>
                      <w:highlight w:val="none"/>
                      <w:u w:val="none"/>
                      <w:lang w:val="en-US" w:eastAsia="zh-CN" w:bidi="ar-SA"/>
                    </w:rPr>
                  </w:pPr>
                </w:p>
              </w:tc>
              <w:tc>
                <w:tcPr>
                  <w:tcW w:w="587" w:type="pct"/>
                  <w:vMerge w:val="continue"/>
                  <w:noWrap w:val="0"/>
                  <w:vAlign w:val="center"/>
                </w:tcPr>
                <w:p w14:paraId="540F5CDF">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2"/>
                      <w:sz w:val="21"/>
                      <w:szCs w:val="21"/>
                      <w:highlight w:val="none"/>
                      <w:u w:val="none"/>
                      <w:lang w:val="en-US" w:eastAsia="zh-CN" w:bidi="ar-SA"/>
                    </w:rPr>
                  </w:pPr>
                </w:p>
              </w:tc>
              <w:tc>
                <w:tcPr>
                  <w:tcW w:w="568" w:type="pct"/>
                  <w:noWrap w:val="0"/>
                  <w:vAlign w:val="center"/>
                </w:tcPr>
                <w:p w14:paraId="00C4F1B1">
                  <w:pPr>
                    <w:pStyle w:val="31"/>
                    <w:bidi w:val="0"/>
                    <w:rPr>
                      <w:rFonts w:hint="default" w:ascii="Times New Roman" w:hAnsi="Times New Roman" w:cs="Times New Roman"/>
                      <w:color w:val="000000"/>
                      <w:sz w:val="21"/>
                      <w:szCs w:val="21"/>
                      <w:highlight w:val="none"/>
                      <w:u w:val="none"/>
                      <w:lang w:val="en-US" w:eastAsia="zh-CN"/>
                    </w:rPr>
                  </w:pPr>
                  <w:r>
                    <w:rPr>
                      <w:rFonts w:hint="default" w:ascii="Times New Roman" w:hAnsi="Times New Roman" w:cs="Times New Roman"/>
                      <w:color w:val="000000"/>
                      <w:sz w:val="21"/>
                      <w:szCs w:val="21"/>
                      <w:highlight w:val="none"/>
                      <w:u w:val="none"/>
                      <w:lang w:val="en-US" w:eastAsia="zh-CN"/>
                    </w:rPr>
                    <w:t>50~100</w:t>
                  </w:r>
                </w:p>
              </w:tc>
              <w:tc>
                <w:tcPr>
                  <w:tcW w:w="553" w:type="pct"/>
                  <w:noWrap w:val="0"/>
                  <w:vAlign w:val="center"/>
                </w:tcPr>
                <w:p w14:paraId="755FD7EC">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0.54</w:t>
                  </w:r>
                </w:p>
              </w:tc>
              <w:tc>
                <w:tcPr>
                  <w:tcW w:w="383" w:type="pct"/>
                  <w:vMerge w:val="continue"/>
                  <w:noWrap w:val="0"/>
                  <w:vAlign w:val="center"/>
                </w:tcPr>
                <w:p w14:paraId="76149EFD">
                  <w:pPr>
                    <w:pStyle w:val="31"/>
                    <w:bidi w:val="0"/>
                    <w:rPr>
                      <w:rFonts w:hint="default" w:ascii="Times New Roman" w:hAnsi="Times New Roman" w:cs="Times New Roman"/>
                      <w:color w:val="000000"/>
                      <w:highlight w:val="none"/>
                      <w:lang w:val="en-US" w:eastAsia="zh-CN"/>
                    </w:rPr>
                  </w:pPr>
                </w:p>
              </w:tc>
              <w:tc>
                <w:tcPr>
                  <w:tcW w:w="524" w:type="pct"/>
                  <w:noWrap w:val="0"/>
                  <w:vAlign w:val="center"/>
                </w:tcPr>
                <w:p w14:paraId="651038CB">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40%</w:t>
                  </w:r>
                </w:p>
              </w:tc>
              <w:tc>
                <w:tcPr>
                  <w:tcW w:w="612" w:type="pct"/>
                  <w:vMerge w:val="continue"/>
                  <w:noWrap w:val="0"/>
                  <w:vAlign w:val="center"/>
                </w:tcPr>
                <w:p w14:paraId="50CB828D">
                  <w:pPr>
                    <w:pStyle w:val="31"/>
                    <w:bidi w:val="0"/>
                    <w:rPr>
                      <w:rFonts w:hint="default" w:ascii="Times New Roman" w:hAnsi="Times New Roman" w:cs="Times New Roman"/>
                      <w:color w:val="000000"/>
                      <w:highlight w:val="none"/>
                      <w:lang w:val="en-US" w:eastAsia="zh-CN"/>
                    </w:rPr>
                  </w:pPr>
                </w:p>
              </w:tc>
              <w:tc>
                <w:tcPr>
                  <w:tcW w:w="472" w:type="pct"/>
                  <w:vMerge w:val="continue"/>
                  <w:noWrap w:val="0"/>
                  <w:vAlign w:val="center"/>
                </w:tcPr>
                <w:p w14:paraId="55DC2B15">
                  <w:pPr>
                    <w:pStyle w:val="31"/>
                    <w:bidi w:val="0"/>
                    <w:rPr>
                      <w:rFonts w:hint="default" w:ascii="Times New Roman" w:hAnsi="Times New Roman" w:cs="Times New Roman"/>
                      <w:color w:val="000000"/>
                      <w:highlight w:val="none"/>
                      <w:lang w:val="en-US" w:eastAsia="zh-CN"/>
                    </w:rPr>
                  </w:pPr>
                </w:p>
              </w:tc>
              <w:tc>
                <w:tcPr>
                  <w:tcW w:w="721" w:type="pct"/>
                  <w:vMerge w:val="continue"/>
                  <w:noWrap w:val="0"/>
                  <w:vAlign w:val="center"/>
                </w:tcPr>
                <w:p w14:paraId="40750C5D">
                  <w:pPr>
                    <w:pStyle w:val="31"/>
                    <w:bidi w:val="0"/>
                    <w:rPr>
                      <w:rFonts w:hint="default" w:ascii="Times New Roman" w:hAnsi="Times New Roman" w:cs="Times New Roman"/>
                      <w:color w:val="000000"/>
                      <w:sz w:val="21"/>
                      <w:szCs w:val="21"/>
                      <w:highlight w:val="none"/>
                      <w:u w:val="none"/>
                      <w:lang w:val="en-US" w:eastAsia="zh-CN"/>
                    </w:rPr>
                  </w:pPr>
                </w:p>
              </w:tc>
            </w:tr>
            <w:tr w14:paraId="070155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75" w:type="pct"/>
                  <w:vMerge w:val="continue"/>
                  <w:noWrap w:val="0"/>
                  <w:vAlign w:val="center"/>
                </w:tcPr>
                <w:p w14:paraId="2F4FE843">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2"/>
                      <w:sz w:val="21"/>
                      <w:szCs w:val="21"/>
                      <w:highlight w:val="none"/>
                      <w:u w:val="none"/>
                      <w:lang w:val="en-US" w:eastAsia="zh-CN" w:bidi="ar-SA"/>
                    </w:rPr>
                  </w:pPr>
                </w:p>
              </w:tc>
              <w:tc>
                <w:tcPr>
                  <w:tcW w:w="587" w:type="pct"/>
                  <w:vMerge w:val="continue"/>
                  <w:noWrap w:val="0"/>
                  <w:vAlign w:val="center"/>
                </w:tcPr>
                <w:p w14:paraId="15F5593E">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2"/>
                      <w:sz w:val="21"/>
                      <w:szCs w:val="21"/>
                      <w:highlight w:val="none"/>
                      <w:u w:val="none"/>
                      <w:lang w:val="en-US" w:eastAsia="zh-CN" w:bidi="ar-SA"/>
                    </w:rPr>
                  </w:pPr>
                </w:p>
              </w:tc>
              <w:tc>
                <w:tcPr>
                  <w:tcW w:w="568" w:type="pct"/>
                  <w:noWrap w:val="0"/>
                  <w:vAlign w:val="center"/>
                </w:tcPr>
                <w:p w14:paraId="5B1F8E3F">
                  <w:pPr>
                    <w:pStyle w:val="31"/>
                    <w:bidi w:val="0"/>
                    <w:rPr>
                      <w:rFonts w:hint="default" w:ascii="Times New Roman" w:hAnsi="Times New Roman" w:cs="Times New Roman"/>
                      <w:color w:val="000000"/>
                      <w:sz w:val="21"/>
                      <w:szCs w:val="21"/>
                      <w:highlight w:val="none"/>
                      <w:u w:val="none"/>
                      <w:lang w:val="en-US" w:eastAsia="zh-CN"/>
                    </w:rPr>
                  </w:pPr>
                  <w:r>
                    <w:rPr>
                      <w:rFonts w:hint="default" w:ascii="Times New Roman" w:hAnsi="Times New Roman" w:cs="Times New Roman"/>
                      <w:color w:val="000000"/>
                      <w:sz w:val="21"/>
                      <w:szCs w:val="21"/>
                      <w:highlight w:val="none"/>
                      <w:u w:val="none"/>
                      <w:lang w:val="en-US" w:eastAsia="zh-CN"/>
                    </w:rPr>
                    <w:t>&gt;100</w:t>
                  </w:r>
                </w:p>
              </w:tc>
              <w:tc>
                <w:tcPr>
                  <w:tcW w:w="553" w:type="pct"/>
                  <w:noWrap w:val="0"/>
                  <w:vAlign w:val="center"/>
                </w:tcPr>
                <w:p w14:paraId="3C380642">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 xml:space="preserve">0.84 </w:t>
                  </w:r>
                </w:p>
              </w:tc>
              <w:tc>
                <w:tcPr>
                  <w:tcW w:w="383" w:type="pct"/>
                  <w:vMerge w:val="continue"/>
                  <w:noWrap w:val="0"/>
                  <w:vAlign w:val="center"/>
                </w:tcPr>
                <w:p w14:paraId="055828BD">
                  <w:pPr>
                    <w:pStyle w:val="31"/>
                    <w:bidi w:val="0"/>
                    <w:rPr>
                      <w:rFonts w:hint="default" w:ascii="Times New Roman" w:hAnsi="Times New Roman" w:cs="Times New Roman"/>
                      <w:color w:val="000000"/>
                      <w:highlight w:val="none"/>
                      <w:lang w:val="en-US" w:eastAsia="zh-CN"/>
                    </w:rPr>
                  </w:pPr>
                </w:p>
              </w:tc>
              <w:tc>
                <w:tcPr>
                  <w:tcW w:w="524" w:type="pct"/>
                  <w:noWrap w:val="0"/>
                  <w:vAlign w:val="center"/>
                </w:tcPr>
                <w:p w14:paraId="5EEAD44E">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50%</w:t>
                  </w:r>
                </w:p>
              </w:tc>
              <w:tc>
                <w:tcPr>
                  <w:tcW w:w="612" w:type="pct"/>
                  <w:vMerge w:val="continue"/>
                  <w:noWrap w:val="0"/>
                  <w:vAlign w:val="center"/>
                </w:tcPr>
                <w:p w14:paraId="1A70A1B2">
                  <w:pPr>
                    <w:pStyle w:val="31"/>
                    <w:bidi w:val="0"/>
                    <w:rPr>
                      <w:rFonts w:hint="default" w:ascii="Times New Roman" w:hAnsi="Times New Roman" w:cs="Times New Roman"/>
                      <w:color w:val="000000"/>
                      <w:highlight w:val="none"/>
                      <w:lang w:val="en-US" w:eastAsia="zh-CN"/>
                    </w:rPr>
                  </w:pPr>
                </w:p>
              </w:tc>
              <w:tc>
                <w:tcPr>
                  <w:tcW w:w="472" w:type="pct"/>
                  <w:vMerge w:val="continue"/>
                  <w:noWrap w:val="0"/>
                  <w:vAlign w:val="center"/>
                </w:tcPr>
                <w:p w14:paraId="7F702BD2">
                  <w:pPr>
                    <w:pStyle w:val="31"/>
                    <w:bidi w:val="0"/>
                    <w:rPr>
                      <w:rFonts w:hint="default" w:ascii="Times New Roman" w:hAnsi="Times New Roman" w:cs="Times New Roman"/>
                      <w:color w:val="000000"/>
                      <w:highlight w:val="none"/>
                      <w:lang w:val="en-US" w:eastAsia="zh-CN"/>
                    </w:rPr>
                  </w:pPr>
                </w:p>
              </w:tc>
              <w:tc>
                <w:tcPr>
                  <w:tcW w:w="721" w:type="pct"/>
                  <w:vMerge w:val="continue"/>
                  <w:noWrap w:val="0"/>
                  <w:vAlign w:val="center"/>
                </w:tcPr>
                <w:p w14:paraId="394E74DE">
                  <w:pPr>
                    <w:pStyle w:val="31"/>
                    <w:bidi w:val="0"/>
                    <w:rPr>
                      <w:rFonts w:hint="default" w:ascii="Times New Roman" w:hAnsi="Times New Roman" w:cs="Times New Roman"/>
                      <w:color w:val="000000"/>
                      <w:sz w:val="21"/>
                      <w:szCs w:val="21"/>
                      <w:highlight w:val="none"/>
                      <w:u w:val="none"/>
                      <w:lang w:val="en-US" w:eastAsia="zh-CN"/>
                    </w:rPr>
                  </w:pPr>
                </w:p>
              </w:tc>
            </w:tr>
            <w:tr w14:paraId="6FF4C8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75" w:type="pct"/>
                  <w:vMerge w:val="restart"/>
                  <w:noWrap w:val="0"/>
                  <w:vAlign w:val="center"/>
                </w:tcPr>
                <w:p w14:paraId="540A406D">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2"/>
                      <w:sz w:val="21"/>
                      <w:szCs w:val="21"/>
                      <w:highlight w:val="none"/>
                      <w:u w:val="none"/>
                      <w:lang w:val="en-US" w:eastAsia="zh-CN" w:bidi="ar-SA"/>
                    </w:rPr>
                  </w:pPr>
                  <w:r>
                    <w:rPr>
                      <w:rFonts w:hint="default" w:ascii="Times New Roman" w:hAnsi="Times New Roman" w:eastAsia="宋体" w:cs="Times New Roman"/>
                      <w:color w:val="000000"/>
                      <w:kern w:val="2"/>
                      <w:sz w:val="21"/>
                      <w:szCs w:val="21"/>
                      <w:highlight w:val="none"/>
                      <w:u w:val="none"/>
                      <w:lang w:val="en-US" w:eastAsia="zh-CN" w:bidi="ar-SA"/>
                    </w:rPr>
                    <w:t>鱼卵</w:t>
                  </w:r>
                </w:p>
              </w:tc>
              <w:tc>
                <w:tcPr>
                  <w:tcW w:w="587" w:type="pct"/>
                  <w:vMerge w:val="restart"/>
                  <w:noWrap w:val="0"/>
                  <w:vAlign w:val="center"/>
                </w:tcPr>
                <w:p w14:paraId="4C8D77FF">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2"/>
                      <w:sz w:val="21"/>
                      <w:szCs w:val="21"/>
                      <w:highlight w:val="none"/>
                      <w:u w:val="none"/>
                      <w:lang w:val="en-US" w:eastAsia="zh-CN" w:bidi="ar-SA"/>
                    </w:rPr>
                  </w:pPr>
                </w:p>
              </w:tc>
              <w:tc>
                <w:tcPr>
                  <w:tcW w:w="568" w:type="pct"/>
                  <w:noWrap w:val="0"/>
                  <w:vAlign w:val="center"/>
                </w:tcPr>
                <w:p w14:paraId="54C9D41C">
                  <w:pPr>
                    <w:pStyle w:val="31"/>
                    <w:bidi w:val="0"/>
                    <w:rPr>
                      <w:rFonts w:hint="default" w:ascii="Times New Roman" w:hAnsi="Times New Roman" w:cs="Times New Roman"/>
                      <w:color w:val="000000"/>
                      <w:sz w:val="21"/>
                      <w:szCs w:val="21"/>
                      <w:highlight w:val="none"/>
                      <w:u w:val="none"/>
                      <w:lang w:val="en-US" w:eastAsia="zh-CN"/>
                    </w:rPr>
                  </w:pPr>
                  <w:r>
                    <w:rPr>
                      <w:rFonts w:hint="default" w:ascii="Times New Roman" w:hAnsi="Times New Roman" w:cs="Times New Roman"/>
                      <w:color w:val="000000"/>
                      <w:sz w:val="21"/>
                      <w:szCs w:val="21"/>
                      <w:highlight w:val="none"/>
                      <w:u w:val="none"/>
                      <w:lang w:val="en-US" w:eastAsia="zh-CN"/>
                    </w:rPr>
                    <w:t>10~20</w:t>
                  </w:r>
                </w:p>
              </w:tc>
              <w:tc>
                <w:tcPr>
                  <w:tcW w:w="553" w:type="pct"/>
                  <w:noWrap w:val="0"/>
                  <w:vAlign w:val="center"/>
                </w:tcPr>
                <w:p w14:paraId="726B3F6A">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0.64</w:t>
                  </w:r>
                </w:p>
              </w:tc>
              <w:tc>
                <w:tcPr>
                  <w:tcW w:w="383" w:type="pct"/>
                  <w:vMerge w:val="restart"/>
                  <w:noWrap w:val="0"/>
                  <w:vAlign w:val="center"/>
                </w:tcPr>
                <w:p w14:paraId="772733CF">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5.0</w:t>
                  </w:r>
                </w:p>
              </w:tc>
              <w:tc>
                <w:tcPr>
                  <w:tcW w:w="524" w:type="pct"/>
                  <w:noWrap w:val="0"/>
                  <w:vAlign w:val="center"/>
                </w:tcPr>
                <w:p w14:paraId="204BB022">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5%</w:t>
                  </w:r>
                </w:p>
              </w:tc>
              <w:tc>
                <w:tcPr>
                  <w:tcW w:w="612" w:type="pct"/>
                  <w:vMerge w:val="restart"/>
                  <w:noWrap w:val="0"/>
                  <w:vAlign w:val="center"/>
                </w:tcPr>
                <w:p w14:paraId="4A9B0176">
                  <w:pPr>
                    <w:pStyle w:val="31"/>
                    <w:bidi w:val="0"/>
                    <w:rPr>
                      <w:rFonts w:hint="default" w:ascii="Times New Roman" w:hAnsi="Times New Roman" w:eastAsia="宋体" w:cs="Times New Roman"/>
                      <w:color w:val="000000"/>
                      <w:highlight w:val="none"/>
                      <w:lang w:val="en-US" w:eastAsia="zh-CN"/>
                    </w:rPr>
                  </w:pPr>
                  <w:r>
                    <w:rPr>
                      <w:rFonts w:hint="default" w:ascii="Times New Roman" w:hAnsi="Times New Roman" w:eastAsia="宋体" w:cs="Times New Roman"/>
                      <w:color w:val="000000"/>
                      <w:sz w:val="21"/>
                      <w:szCs w:val="21"/>
                      <w:highlight w:val="none"/>
                      <w:u w:val="none"/>
                      <w:lang w:val="en-US" w:eastAsia="zh-CN"/>
                    </w:rPr>
                    <w:t>86.64</w:t>
                  </w:r>
                  <w:r>
                    <w:rPr>
                      <w:rFonts w:hint="default" w:ascii="Times New Roman" w:hAnsi="Times New Roman" w:eastAsia="宋体" w:cs="Times New Roman"/>
                      <w:color w:val="000000"/>
                      <w:sz w:val="21"/>
                      <w:szCs w:val="21"/>
                      <w:highlight w:val="none"/>
                      <w:u w:val="none"/>
                    </w:rPr>
                    <w:t>×10</w:t>
                  </w:r>
                  <w:r>
                    <w:rPr>
                      <w:rFonts w:hint="default" w:ascii="Times New Roman" w:hAnsi="Times New Roman" w:eastAsia="宋体" w:cs="Times New Roman"/>
                      <w:color w:val="000000"/>
                      <w:sz w:val="21"/>
                      <w:szCs w:val="21"/>
                      <w:highlight w:val="none"/>
                      <w:u w:val="none"/>
                      <w:vertAlign w:val="superscript"/>
                      <w:lang w:val="en-US" w:eastAsia="zh-CN"/>
                    </w:rPr>
                    <w:t>4</w:t>
                  </w:r>
                  <w:r>
                    <w:rPr>
                      <w:rFonts w:hint="default" w:ascii="Times New Roman" w:hAnsi="Times New Roman" w:eastAsia="宋体" w:cs="Times New Roman"/>
                      <w:color w:val="000000"/>
                      <w:sz w:val="21"/>
                      <w:szCs w:val="21"/>
                      <w:highlight w:val="none"/>
                      <w:u w:val="none"/>
                      <w:lang w:val="en-US" w:eastAsia="zh-CN"/>
                    </w:rPr>
                    <w:t>粒</w:t>
                  </w:r>
                </w:p>
              </w:tc>
              <w:tc>
                <w:tcPr>
                  <w:tcW w:w="472" w:type="pct"/>
                  <w:vMerge w:val="restart"/>
                  <w:noWrap w:val="0"/>
                  <w:vAlign w:val="center"/>
                </w:tcPr>
                <w:p w14:paraId="02353985">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24</w:t>
                  </w:r>
                </w:p>
              </w:tc>
              <w:tc>
                <w:tcPr>
                  <w:tcW w:w="721" w:type="pct"/>
                  <w:vMerge w:val="restart"/>
                  <w:noWrap w:val="0"/>
                  <w:vAlign w:val="center"/>
                </w:tcPr>
                <w:p w14:paraId="6833DB63">
                  <w:pPr>
                    <w:pStyle w:val="31"/>
                    <w:bidi w:val="0"/>
                    <w:rPr>
                      <w:rFonts w:hint="default" w:ascii="Times New Roman" w:hAnsi="Times New Roman" w:cs="Times New Roman"/>
                      <w:color w:val="000000"/>
                      <w:sz w:val="21"/>
                      <w:szCs w:val="21"/>
                      <w:highlight w:val="none"/>
                      <w:u w:val="none"/>
                      <w:lang w:val="en-US" w:eastAsia="zh-CN"/>
                    </w:rPr>
                  </w:pPr>
                  <w:r>
                    <w:rPr>
                      <w:rFonts w:hint="default" w:ascii="Times New Roman" w:hAnsi="Times New Roman" w:cs="Times New Roman"/>
                      <w:color w:val="000000"/>
                      <w:sz w:val="21"/>
                      <w:szCs w:val="21"/>
                      <w:highlight w:val="none"/>
                      <w:u w:val="none"/>
                      <w:lang w:val="en-US" w:eastAsia="zh-CN"/>
                    </w:rPr>
                    <w:t>20.79×10</w:t>
                  </w:r>
                  <w:r>
                    <w:rPr>
                      <w:rFonts w:hint="default" w:ascii="Times New Roman" w:hAnsi="Times New Roman" w:cs="Times New Roman"/>
                      <w:color w:val="000000"/>
                      <w:sz w:val="21"/>
                      <w:szCs w:val="21"/>
                      <w:highlight w:val="none"/>
                      <w:u w:val="none"/>
                      <w:vertAlign w:val="superscript"/>
                      <w:lang w:val="en-US" w:eastAsia="zh-CN"/>
                    </w:rPr>
                    <w:t>6</w:t>
                  </w:r>
                  <w:r>
                    <w:rPr>
                      <w:rFonts w:hint="default" w:ascii="Times New Roman" w:hAnsi="Times New Roman" w:cs="Times New Roman"/>
                      <w:color w:val="000000"/>
                      <w:sz w:val="21"/>
                      <w:szCs w:val="21"/>
                      <w:highlight w:val="none"/>
                      <w:u w:val="none"/>
                      <w:lang w:val="en-US" w:eastAsia="zh-CN"/>
                    </w:rPr>
                    <w:t>粒</w:t>
                  </w:r>
                </w:p>
              </w:tc>
            </w:tr>
            <w:tr w14:paraId="35DAB8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75" w:type="pct"/>
                  <w:vMerge w:val="continue"/>
                  <w:noWrap w:val="0"/>
                  <w:vAlign w:val="center"/>
                </w:tcPr>
                <w:p w14:paraId="05E7543E">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2"/>
                      <w:sz w:val="21"/>
                      <w:szCs w:val="21"/>
                      <w:highlight w:val="none"/>
                      <w:u w:val="none"/>
                      <w:lang w:val="en-US" w:eastAsia="zh-CN" w:bidi="ar-SA"/>
                    </w:rPr>
                  </w:pPr>
                </w:p>
              </w:tc>
              <w:tc>
                <w:tcPr>
                  <w:tcW w:w="587" w:type="pct"/>
                  <w:vMerge w:val="continue"/>
                  <w:noWrap w:val="0"/>
                  <w:vAlign w:val="center"/>
                </w:tcPr>
                <w:p w14:paraId="731CFFE4">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2"/>
                      <w:sz w:val="21"/>
                      <w:szCs w:val="21"/>
                      <w:highlight w:val="none"/>
                      <w:u w:val="none"/>
                      <w:lang w:val="en-US" w:eastAsia="zh-CN" w:bidi="ar-SA"/>
                    </w:rPr>
                  </w:pPr>
                </w:p>
              </w:tc>
              <w:tc>
                <w:tcPr>
                  <w:tcW w:w="568" w:type="pct"/>
                  <w:noWrap w:val="0"/>
                  <w:vAlign w:val="center"/>
                </w:tcPr>
                <w:p w14:paraId="36C5B2A3">
                  <w:pPr>
                    <w:pStyle w:val="31"/>
                    <w:bidi w:val="0"/>
                    <w:rPr>
                      <w:rFonts w:hint="default" w:ascii="Times New Roman" w:hAnsi="Times New Roman" w:cs="Times New Roman"/>
                      <w:color w:val="000000"/>
                      <w:sz w:val="21"/>
                      <w:szCs w:val="21"/>
                      <w:highlight w:val="none"/>
                      <w:u w:val="none"/>
                      <w:lang w:val="en-US" w:eastAsia="zh-CN"/>
                    </w:rPr>
                  </w:pPr>
                  <w:r>
                    <w:rPr>
                      <w:rFonts w:hint="default" w:ascii="Times New Roman" w:hAnsi="Times New Roman" w:cs="Times New Roman"/>
                      <w:color w:val="000000"/>
                      <w:sz w:val="21"/>
                      <w:szCs w:val="21"/>
                      <w:highlight w:val="none"/>
                      <w:u w:val="none"/>
                      <w:lang w:val="en-US" w:eastAsia="zh-CN"/>
                    </w:rPr>
                    <w:t>20~50</w:t>
                  </w:r>
                </w:p>
              </w:tc>
              <w:tc>
                <w:tcPr>
                  <w:tcW w:w="553" w:type="pct"/>
                  <w:noWrap w:val="0"/>
                  <w:vAlign w:val="center"/>
                </w:tcPr>
                <w:p w14:paraId="6E95AC2D">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 xml:space="preserve">0.81 </w:t>
                  </w:r>
                </w:p>
              </w:tc>
              <w:tc>
                <w:tcPr>
                  <w:tcW w:w="383" w:type="pct"/>
                  <w:vMerge w:val="continue"/>
                  <w:noWrap w:val="0"/>
                  <w:vAlign w:val="center"/>
                </w:tcPr>
                <w:p w14:paraId="7329FE01">
                  <w:pPr>
                    <w:pStyle w:val="31"/>
                    <w:bidi w:val="0"/>
                    <w:rPr>
                      <w:rFonts w:hint="default" w:ascii="Times New Roman" w:hAnsi="Times New Roman" w:cs="Times New Roman"/>
                      <w:color w:val="000000"/>
                      <w:highlight w:val="none"/>
                      <w:lang w:val="en-US" w:eastAsia="zh-CN"/>
                    </w:rPr>
                  </w:pPr>
                </w:p>
              </w:tc>
              <w:tc>
                <w:tcPr>
                  <w:tcW w:w="524" w:type="pct"/>
                  <w:noWrap w:val="0"/>
                  <w:vAlign w:val="center"/>
                </w:tcPr>
                <w:p w14:paraId="550B8731">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17.50%</w:t>
                  </w:r>
                </w:p>
              </w:tc>
              <w:tc>
                <w:tcPr>
                  <w:tcW w:w="612" w:type="pct"/>
                  <w:vMerge w:val="continue"/>
                  <w:noWrap w:val="0"/>
                  <w:vAlign w:val="center"/>
                </w:tcPr>
                <w:p w14:paraId="4905A099">
                  <w:pPr>
                    <w:pStyle w:val="31"/>
                    <w:bidi w:val="0"/>
                    <w:rPr>
                      <w:rFonts w:hint="default" w:ascii="Times New Roman" w:hAnsi="Times New Roman" w:cs="Times New Roman"/>
                      <w:color w:val="000000"/>
                      <w:highlight w:val="none"/>
                      <w:lang w:val="en-US" w:eastAsia="zh-CN"/>
                    </w:rPr>
                  </w:pPr>
                </w:p>
              </w:tc>
              <w:tc>
                <w:tcPr>
                  <w:tcW w:w="472" w:type="pct"/>
                  <w:vMerge w:val="continue"/>
                  <w:noWrap w:val="0"/>
                  <w:vAlign w:val="center"/>
                </w:tcPr>
                <w:p w14:paraId="35C24AE4">
                  <w:pPr>
                    <w:pStyle w:val="31"/>
                    <w:bidi w:val="0"/>
                    <w:rPr>
                      <w:rFonts w:hint="default" w:ascii="Times New Roman" w:hAnsi="Times New Roman" w:cs="Times New Roman"/>
                      <w:color w:val="000000"/>
                      <w:highlight w:val="none"/>
                      <w:lang w:val="en-US" w:eastAsia="zh-CN"/>
                    </w:rPr>
                  </w:pPr>
                </w:p>
              </w:tc>
              <w:tc>
                <w:tcPr>
                  <w:tcW w:w="721" w:type="pct"/>
                  <w:vMerge w:val="continue"/>
                  <w:noWrap w:val="0"/>
                  <w:vAlign w:val="center"/>
                </w:tcPr>
                <w:p w14:paraId="177E9431">
                  <w:pPr>
                    <w:pStyle w:val="31"/>
                    <w:bidi w:val="0"/>
                    <w:rPr>
                      <w:rFonts w:hint="default" w:ascii="Times New Roman" w:hAnsi="Times New Roman" w:cs="Times New Roman"/>
                      <w:color w:val="000000"/>
                      <w:sz w:val="21"/>
                      <w:szCs w:val="21"/>
                      <w:highlight w:val="none"/>
                      <w:u w:val="none"/>
                      <w:lang w:val="en-US" w:eastAsia="zh-CN"/>
                    </w:rPr>
                  </w:pPr>
                </w:p>
              </w:tc>
            </w:tr>
            <w:tr w14:paraId="099AC1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75" w:type="pct"/>
                  <w:vMerge w:val="continue"/>
                  <w:noWrap w:val="0"/>
                  <w:vAlign w:val="center"/>
                </w:tcPr>
                <w:p w14:paraId="31E5BB49">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2"/>
                      <w:sz w:val="21"/>
                      <w:szCs w:val="21"/>
                      <w:highlight w:val="none"/>
                      <w:u w:val="none"/>
                      <w:lang w:val="en-US" w:eastAsia="zh-CN" w:bidi="ar-SA"/>
                    </w:rPr>
                  </w:pPr>
                </w:p>
              </w:tc>
              <w:tc>
                <w:tcPr>
                  <w:tcW w:w="587" w:type="pct"/>
                  <w:vMerge w:val="continue"/>
                  <w:noWrap w:val="0"/>
                  <w:vAlign w:val="center"/>
                </w:tcPr>
                <w:p w14:paraId="5B2C1B90">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2"/>
                      <w:sz w:val="21"/>
                      <w:szCs w:val="21"/>
                      <w:highlight w:val="none"/>
                      <w:u w:val="none"/>
                      <w:lang w:val="en-US" w:eastAsia="zh-CN" w:bidi="ar-SA"/>
                    </w:rPr>
                  </w:pPr>
                </w:p>
              </w:tc>
              <w:tc>
                <w:tcPr>
                  <w:tcW w:w="568" w:type="pct"/>
                  <w:noWrap w:val="0"/>
                  <w:vAlign w:val="center"/>
                </w:tcPr>
                <w:p w14:paraId="32AED86E">
                  <w:pPr>
                    <w:pStyle w:val="31"/>
                    <w:bidi w:val="0"/>
                    <w:rPr>
                      <w:rFonts w:hint="default" w:ascii="Times New Roman" w:hAnsi="Times New Roman" w:cs="Times New Roman"/>
                      <w:color w:val="000000"/>
                      <w:sz w:val="21"/>
                      <w:szCs w:val="21"/>
                      <w:highlight w:val="none"/>
                      <w:u w:val="none"/>
                      <w:lang w:val="en-US" w:eastAsia="zh-CN"/>
                    </w:rPr>
                  </w:pPr>
                  <w:r>
                    <w:rPr>
                      <w:rFonts w:hint="default" w:ascii="Times New Roman" w:hAnsi="Times New Roman" w:cs="Times New Roman"/>
                      <w:color w:val="000000"/>
                      <w:sz w:val="21"/>
                      <w:szCs w:val="21"/>
                      <w:highlight w:val="none"/>
                      <w:u w:val="none"/>
                      <w:lang w:val="en-US" w:eastAsia="zh-CN"/>
                    </w:rPr>
                    <w:t>50~100</w:t>
                  </w:r>
                </w:p>
              </w:tc>
              <w:tc>
                <w:tcPr>
                  <w:tcW w:w="553" w:type="pct"/>
                  <w:noWrap w:val="0"/>
                  <w:vAlign w:val="center"/>
                </w:tcPr>
                <w:p w14:paraId="46E9F5F1">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0.54</w:t>
                  </w:r>
                </w:p>
              </w:tc>
              <w:tc>
                <w:tcPr>
                  <w:tcW w:w="383" w:type="pct"/>
                  <w:vMerge w:val="continue"/>
                  <w:noWrap w:val="0"/>
                  <w:vAlign w:val="center"/>
                </w:tcPr>
                <w:p w14:paraId="638E0F45">
                  <w:pPr>
                    <w:pStyle w:val="31"/>
                    <w:bidi w:val="0"/>
                    <w:rPr>
                      <w:rFonts w:hint="default" w:ascii="Times New Roman" w:hAnsi="Times New Roman" w:cs="Times New Roman"/>
                      <w:color w:val="000000"/>
                      <w:highlight w:val="none"/>
                      <w:lang w:val="en-US" w:eastAsia="zh-CN"/>
                    </w:rPr>
                  </w:pPr>
                </w:p>
              </w:tc>
              <w:tc>
                <w:tcPr>
                  <w:tcW w:w="524" w:type="pct"/>
                  <w:noWrap w:val="0"/>
                  <w:vAlign w:val="center"/>
                </w:tcPr>
                <w:p w14:paraId="30D0ACBF">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40%</w:t>
                  </w:r>
                </w:p>
              </w:tc>
              <w:tc>
                <w:tcPr>
                  <w:tcW w:w="612" w:type="pct"/>
                  <w:vMerge w:val="continue"/>
                  <w:noWrap w:val="0"/>
                  <w:vAlign w:val="center"/>
                </w:tcPr>
                <w:p w14:paraId="5B00E922">
                  <w:pPr>
                    <w:pStyle w:val="31"/>
                    <w:bidi w:val="0"/>
                    <w:rPr>
                      <w:rFonts w:hint="default" w:ascii="Times New Roman" w:hAnsi="Times New Roman" w:cs="Times New Roman"/>
                      <w:color w:val="000000"/>
                      <w:highlight w:val="none"/>
                      <w:lang w:val="en-US" w:eastAsia="zh-CN"/>
                    </w:rPr>
                  </w:pPr>
                </w:p>
              </w:tc>
              <w:tc>
                <w:tcPr>
                  <w:tcW w:w="472" w:type="pct"/>
                  <w:vMerge w:val="continue"/>
                  <w:noWrap w:val="0"/>
                  <w:vAlign w:val="center"/>
                </w:tcPr>
                <w:p w14:paraId="724612DF">
                  <w:pPr>
                    <w:pStyle w:val="31"/>
                    <w:bidi w:val="0"/>
                    <w:rPr>
                      <w:rFonts w:hint="default" w:ascii="Times New Roman" w:hAnsi="Times New Roman" w:cs="Times New Roman"/>
                      <w:color w:val="000000"/>
                      <w:highlight w:val="none"/>
                      <w:lang w:val="en-US" w:eastAsia="zh-CN"/>
                    </w:rPr>
                  </w:pPr>
                </w:p>
              </w:tc>
              <w:tc>
                <w:tcPr>
                  <w:tcW w:w="721" w:type="pct"/>
                  <w:vMerge w:val="continue"/>
                  <w:noWrap w:val="0"/>
                  <w:vAlign w:val="center"/>
                </w:tcPr>
                <w:p w14:paraId="51FF053D">
                  <w:pPr>
                    <w:pStyle w:val="31"/>
                    <w:bidi w:val="0"/>
                    <w:rPr>
                      <w:rFonts w:hint="default" w:ascii="Times New Roman" w:hAnsi="Times New Roman" w:cs="Times New Roman"/>
                      <w:color w:val="000000"/>
                      <w:sz w:val="21"/>
                      <w:szCs w:val="21"/>
                      <w:highlight w:val="none"/>
                      <w:u w:val="none"/>
                      <w:lang w:val="en-US" w:eastAsia="zh-CN"/>
                    </w:rPr>
                  </w:pPr>
                </w:p>
              </w:tc>
            </w:tr>
            <w:tr w14:paraId="566EFF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3" w:hRule="atLeast"/>
              </w:trPr>
              <w:tc>
                <w:tcPr>
                  <w:tcW w:w="575" w:type="pct"/>
                  <w:vMerge w:val="continue"/>
                  <w:noWrap w:val="0"/>
                  <w:vAlign w:val="center"/>
                </w:tcPr>
                <w:p w14:paraId="67D8D72C">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2"/>
                      <w:sz w:val="21"/>
                      <w:szCs w:val="21"/>
                      <w:highlight w:val="none"/>
                      <w:u w:val="none"/>
                      <w:lang w:val="en-US" w:eastAsia="zh-CN" w:bidi="ar-SA"/>
                    </w:rPr>
                  </w:pPr>
                </w:p>
              </w:tc>
              <w:tc>
                <w:tcPr>
                  <w:tcW w:w="587" w:type="pct"/>
                  <w:vMerge w:val="continue"/>
                  <w:noWrap w:val="0"/>
                  <w:vAlign w:val="center"/>
                </w:tcPr>
                <w:p w14:paraId="2958D4A0">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2"/>
                      <w:sz w:val="21"/>
                      <w:szCs w:val="21"/>
                      <w:highlight w:val="none"/>
                      <w:u w:val="none"/>
                      <w:lang w:val="en-US" w:eastAsia="zh-CN" w:bidi="ar-SA"/>
                    </w:rPr>
                  </w:pPr>
                </w:p>
              </w:tc>
              <w:tc>
                <w:tcPr>
                  <w:tcW w:w="568" w:type="pct"/>
                  <w:noWrap w:val="0"/>
                  <w:vAlign w:val="center"/>
                </w:tcPr>
                <w:p w14:paraId="2F22752E">
                  <w:pPr>
                    <w:pStyle w:val="31"/>
                    <w:bidi w:val="0"/>
                    <w:rPr>
                      <w:rFonts w:hint="default" w:ascii="Times New Roman" w:hAnsi="Times New Roman" w:cs="Times New Roman"/>
                      <w:color w:val="000000"/>
                      <w:sz w:val="21"/>
                      <w:szCs w:val="21"/>
                      <w:highlight w:val="none"/>
                      <w:u w:val="none"/>
                      <w:lang w:val="en-US" w:eastAsia="zh-CN"/>
                    </w:rPr>
                  </w:pPr>
                  <w:r>
                    <w:rPr>
                      <w:rFonts w:hint="default" w:ascii="Times New Roman" w:hAnsi="Times New Roman" w:cs="Times New Roman"/>
                      <w:color w:val="000000"/>
                      <w:sz w:val="21"/>
                      <w:szCs w:val="21"/>
                      <w:highlight w:val="none"/>
                      <w:u w:val="none"/>
                      <w:lang w:val="en-US" w:eastAsia="zh-CN"/>
                    </w:rPr>
                    <w:t>&gt;100</w:t>
                  </w:r>
                </w:p>
              </w:tc>
              <w:tc>
                <w:tcPr>
                  <w:tcW w:w="553" w:type="pct"/>
                  <w:noWrap w:val="0"/>
                  <w:vAlign w:val="center"/>
                </w:tcPr>
                <w:p w14:paraId="2C78D45B">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 xml:space="preserve">0.84 </w:t>
                  </w:r>
                </w:p>
              </w:tc>
              <w:tc>
                <w:tcPr>
                  <w:tcW w:w="383" w:type="pct"/>
                  <w:vMerge w:val="continue"/>
                  <w:noWrap w:val="0"/>
                  <w:vAlign w:val="center"/>
                </w:tcPr>
                <w:p w14:paraId="699A3841">
                  <w:pPr>
                    <w:pStyle w:val="31"/>
                    <w:bidi w:val="0"/>
                    <w:rPr>
                      <w:rFonts w:hint="default" w:ascii="Times New Roman" w:hAnsi="Times New Roman" w:cs="Times New Roman"/>
                      <w:color w:val="000000"/>
                      <w:highlight w:val="none"/>
                      <w:lang w:val="en-US" w:eastAsia="zh-CN"/>
                    </w:rPr>
                  </w:pPr>
                </w:p>
              </w:tc>
              <w:tc>
                <w:tcPr>
                  <w:tcW w:w="524" w:type="pct"/>
                  <w:noWrap w:val="0"/>
                  <w:vAlign w:val="center"/>
                </w:tcPr>
                <w:p w14:paraId="7881A1A0">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50%</w:t>
                  </w:r>
                </w:p>
              </w:tc>
              <w:tc>
                <w:tcPr>
                  <w:tcW w:w="612" w:type="pct"/>
                  <w:vMerge w:val="continue"/>
                  <w:noWrap w:val="0"/>
                  <w:vAlign w:val="center"/>
                </w:tcPr>
                <w:p w14:paraId="10AF492F">
                  <w:pPr>
                    <w:pStyle w:val="31"/>
                    <w:bidi w:val="0"/>
                    <w:rPr>
                      <w:rFonts w:hint="default" w:ascii="Times New Roman" w:hAnsi="Times New Roman" w:cs="Times New Roman"/>
                      <w:color w:val="000000"/>
                      <w:highlight w:val="none"/>
                      <w:lang w:val="en-US" w:eastAsia="zh-CN"/>
                    </w:rPr>
                  </w:pPr>
                </w:p>
              </w:tc>
              <w:tc>
                <w:tcPr>
                  <w:tcW w:w="472" w:type="pct"/>
                  <w:vMerge w:val="continue"/>
                  <w:noWrap w:val="0"/>
                  <w:vAlign w:val="center"/>
                </w:tcPr>
                <w:p w14:paraId="601AD79E">
                  <w:pPr>
                    <w:pStyle w:val="31"/>
                    <w:bidi w:val="0"/>
                    <w:rPr>
                      <w:rFonts w:hint="default" w:ascii="Times New Roman" w:hAnsi="Times New Roman" w:cs="Times New Roman"/>
                      <w:color w:val="000000"/>
                      <w:highlight w:val="none"/>
                      <w:lang w:val="en-US" w:eastAsia="zh-CN"/>
                    </w:rPr>
                  </w:pPr>
                </w:p>
              </w:tc>
              <w:tc>
                <w:tcPr>
                  <w:tcW w:w="721" w:type="pct"/>
                  <w:vMerge w:val="continue"/>
                  <w:noWrap w:val="0"/>
                  <w:vAlign w:val="center"/>
                </w:tcPr>
                <w:p w14:paraId="238F8566">
                  <w:pPr>
                    <w:pStyle w:val="31"/>
                    <w:bidi w:val="0"/>
                    <w:rPr>
                      <w:rFonts w:hint="default" w:ascii="Times New Roman" w:hAnsi="Times New Roman" w:cs="Times New Roman"/>
                      <w:color w:val="000000"/>
                      <w:sz w:val="21"/>
                      <w:szCs w:val="21"/>
                      <w:highlight w:val="none"/>
                      <w:u w:val="none"/>
                      <w:lang w:val="en-US" w:eastAsia="zh-CN"/>
                    </w:rPr>
                  </w:pPr>
                </w:p>
              </w:tc>
            </w:tr>
            <w:tr w14:paraId="56D7E5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75" w:type="pct"/>
                  <w:vMerge w:val="restart"/>
                  <w:noWrap w:val="0"/>
                  <w:vAlign w:val="center"/>
                </w:tcPr>
                <w:p w14:paraId="76A3B3BA">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2"/>
                      <w:sz w:val="21"/>
                      <w:szCs w:val="21"/>
                      <w:highlight w:val="none"/>
                      <w:u w:val="none"/>
                      <w:lang w:val="en-US" w:eastAsia="zh-CN" w:bidi="ar-SA"/>
                    </w:rPr>
                  </w:pPr>
                  <w:r>
                    <w:rPr>
                      <w:rFonts w:hint="default" w:ascii="Times New Roman" w:hAnsi="Times New Roman" w:eastAsia="宋体" w:cs="Times New Roman"/>
                      <w:color w:val="000000"/>
                      <w:kern w:val="2"/>
                      <w:sz w:val="21"/>
                      <w:szCs w:val="21"/>
                      <w:highlight w:val="none"/>
                      <w:u w:val="none"/>
                      <w:lang w:val="en-US" w:eastAsia="zh-CN" w:bidi="ar-SA"/>
                    </w:rPr>
                    <w:t>仔稚鱼</w:t>
                  </w:r>
                </w:p>
              </w:tc>
              <w:tc>
                <w:tcPr>
                  <w:tcW w:w="587" w:type="pct"/>
                  <w:vMerge w:val="restart"/>
                  <w:noWrap w:val="0"/>
                  <w:vAlign w:val="center"/>
                </w:tcPr>
                <w:p w14:paraId="5D8C5E3E">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2"/>
                      <w:sz w:val="21"/>
                      <w:szCs w:val="21"/>
                      <w:highlight w:val="none"/>
                      <w:u w:val="none"/>
                      <w:lang w:val="en-US" w:eastAsia="zh-CN" w:bidi="ar-SA"/>
                    </w:rPr>
                  </w:pPr>
                </w:p>
              </w:tc>
              <w:tc>
                <w:tcPr>
                  <w:tcW w:w="568" w:type="pct"/>
                  <w:noWrap w:val="0"/>
                  <w:vAlign w:val="center"/>
                </w:tcPr>
                <w:p w14:paraId="45DB9AC8">
                  <w:pPr>
                    <w:pStyle w:val="31"/>
                    <w:bidi w:val="0"/>
                    <w:rPr>
                      <w:rFonts w:hint="default" w:ascii="Times New Roman" w:hAnsi="Times New Roman" w:cs="Times New Roman"/>
                      <w:color w:val="000000"/>
                      <w:sz w:val="21"/>
                      <w:szCs w:val="21"/>
                      <w:highlight w:val="none"/>
                      <w:u w:val="none"/>
                      <w:lang w:val="en-US" w:eastAsia="zh-CN"/>
                    </w:rPr>
                  </w:pPr>
                  <w:r>
                    <w:rPr>
                      <w:rFonts w:hint="default" w:ascii="Times New Roman" w:hAnsi="Times New Roman" w:cs="Times New Roman"/>
                      <w:color w:val="000000"/>
                      <w:sz w:val="21"/>
                      <w:szCs w:val="21"/>
                      <w:highlight w:val="none"/>
                      <w:u w:val="none"/>
                      <w:lang w:val="en-US" w:eastAsia="zh-CN"/>
                    </w:rPr>
                    <w:t>10~20</w:t>
                  </w:r>
                </w:p>
              </w:tc>
              <w:tc>
                <w:tcPr>
                  <w:tcW w:w="553" w:type="pct"/>
                  <w:noWrap w:val="0"/>
                  <w:vAlign w:val="center"/>
                </w:tcPr>
                <w:p w14:paraId="401F7EF0">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0.64</w:t>
                  </w:r>
                </w:p>
              </w:tc>
              <w:tc>
                <w:tcPr>
                  <w:tcW w:w="383" w:type="pct"/>
                  <w:vMerge w:val="restart"/>
                  <w:noWrap w:val="0"/>
                  <w:vAlign w:val="center"/>
                </w:tcPr>
                <w:p w14:paraId="263420CC">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5.0</w:t>
                  </w:r>
                </w:p>
              </w:tc>
              <w:tc>
                <w:tcPr>
                  <w:tcW w:w="524" w:type="pct"/>
                  <w:noWrap w:val="0"/>
                  <w:vAlign w:val="center"/>
                </w:tcPr>
                <w:p w14:paraId="4E8C65CA">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5%</w:t>
                  </w:r>
                </w:p>
              </w:tc>
              <w:tc>
                <w:tcPr>
                  <w:tcW w:w="612" w:type="pct"/>
                  <w:vMerge w:val="restart"/>
                  <w:noWrap w:val="0"/>
                  <w:vAlign w:val="center"/>
                </w:tcPr>
                <w:p w14:paraId="272828D3">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55.87</w:t>
                  </w:r>
                  <w:r>
                    <w:rPr>
                      <w:rFonts w:hint="default" w:ascii="Times New Roman" w:hAnsi="Times New Roman" w:eastAsia="宋体" w:cs="Times New Roman"/>
                      <w:color w:val="000000"/>
                      <w:sz w:val="21"/>
                      <w:szCs w:val="21"/>
                      <w:highlight w:val="none"/>
                      <w:u w:val="none"/>
                    </w:rPr>
                    <w:t>×10</w:t>
                  </w:r>
                  <w:r>
                    <w:rPr>
                      <w:rFonts w:hint="default" w:ascii="Times New Roman" w:hAnsi="Times New Roman" w:eastAsia="宋体" w:cs="Times New Roman"/>
                      <w:color w:val="000000"/>
                      <w:sz w:val="21"/>
                      <w:szCs w:val="21"/>
                      <w:highlight w:val="none"/>
                      <w:u w:val="none"/>
                      <w:vertAlign w:val="superscript"/>
                      <w:lang w:val="en-US" w:eastAsia="zh-CN"/>
                    </w:rPr>
                    <w:t>4</w:t>
                  </w:r>
                  <w:r>
                    <w:rPr>
                      <w:rFonts w:hint="default" w:ascii="Times New Roman" w:hAnsi="Times New Roman" w:eastAsia="宋体" w:cs="Times New Roman"/>
                      <w:color w:val="000000"/>
                      <w:sz w:val="21"/>
                      <w:szCs w:val="21"/>
                      <w:highlight w:val="none"/>
                      <w:u w:val="none"/>
                      <w:lang w:val="en-US" w:eastAsia="zh-CN"/>
                    </w:rPr>
                    <w:t>尾</w:t>
                  </w:r>
                </w:p>
              </w:tc>
              <w:tc>
                <w:tcPr>
                  <w:tcW w:w="472" w:type="pct"/>
                  <w:vMerge w:val="restart"/>
                  <w:noWrap w:val="0"/>
                  <w:vAlign w:val="center"/>
                </w:tcPr>
                <w:p w14:paraId="09666BE9">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24</w:t>
                  </w:r>
                </w:p>
              </w:tc>
              <w:tc>
                <w:tcPr>
                  <w:tcW w:w="721" w:type="pct"/>
                  <w:vMerge w:val="restart"/>
                  <w:noWrap w:val="0"/>
                  <w:vAlign w:val="center"/>
                </w:tcPr>
                <w:p w14:paraId="4E472B07">
                  <w:pPr>
                    <w:pStyle w:val="31"/>
                    <w:bidi w:val="0"/>
                    <w:rPr>
                      <w:rFonts w:hint="default" w:ascii="Times New Roman" w:hAnsi="Times New Roman" w:cs="Times New Roman"/>
                      <w:color w:val="000000"/>
                      <w:sz w:val="21"/>
                      <w:szCs w:val="21"/>
                      <w:highlight w:val="none"/>
                      <w:u w:val="none"/>
                      <w:lang w:val="en-US" w:eastAsia="zh-CN"/>
                    </w:rPr>
                  </w:pPr>
                  <w:r>
                    <w:rPr>
                      <w:rFonts w:hint="default" w:ascii="Times New Roman" w:hAnsi="Times New Roman" w:cs="Times New Roman"/>
                      <w:color w:val="000000"/>
                      <w:highlight w:val="none"/>
                      <w:lang w:val="en-US" w:eastAsia="zh-CN"/>
                    </w:rPr>
                    <w:t>13.41</w:t>
                  </w:r>
                  <w:r>
                    <w:rPr>
                      <w:rFonts w:hint="default" w:ascii="Times New Roman" w:hAnsi="Times New Roman" w:eastAsia="宋体" w:cs="Times New Roman"/>
                      <w:color w:val="000000"/>
                      <w:sz w:val="21"/>
                      <w:szCs w:val="21"/>
                      <w:highlight w:val="none"/>
                      <w:u w:val="none"/>
                    </w:rPr>
                    <w:t>×10</w:t>
                  </w:r>
                  <w:r>
                    <w:rPr>
                      <w:rFonts w:hint="default" w:ascii="Times New Roman" w:hAnsi="Times New Roman" w:eastAsia="宋体" w:cs="Times New Roman"/>
                      <w:color w:val="000000"/>
                      <w:sz w:val="21"/>
                      <w:szCs w:val="21"/>
                      <w:highlight w:val="none"/>
                      <w:u w:val="none"/>
                      <w:vertAlign w:val="superscript"/>
                      <w:lang w:val="en-US" w:eastAsia="zh-CN"/>
                    </w:rPr>
                    <w:t>6</w:t>
                  </w:r>
                  <w:r>
                    <w:rPr>
                      <w:rFonts w:hint="default" w:ascii="Times New Roman" w:hAnsi="Times New Roman" w:eastAsia="宋体" w:cs="Times New Roman"/>
                      <w:color w:val="000000"/>
                      <w:sz w:val="21"/>
                      <w:szCs w:val="21"/>
                      <w:highlight w:val="none"/>
                      <w:u w:val="none"/>
                      <w:lang w:val="en-US" w:eastAsia="zh-CN"/>
                    </w:rPr>
                    <w:t>尾</w:t>
                  </w:r>
                </w:p>
              </w:tc>
            </w:tr>
            <w:tr w14:paraId="1FA70B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75" w:type="pct"/>
                  <w:vMerge w:val="continue"/>
                  <w:noWrap w:val="0"/>
                  <w:vAlign w:val="center"/>
                </w:tcPr>
                <w:p w14:paraId="4BBE7DB3">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2"/>
                      <w:sz w:val="21"/>
                      <w:szCs w:val="21"/>
                      <w:highlight w:val="none"/>
                      <w:u w:val="none"/>
                      <w:lang w:val="en-US" w:eastAsia="zh-CN" w:bidi="ar-SA"/>
                    </w:rPr>
                  </w:pPr>
                </w:p>
              </w:tc>
              <w:tc>
                <w:tcPr>
                  <w:tcW w:w="587" w:type="pct"/>
                  <w:vMerge w:val="continue"/>
                  <w:noWrap w:val="0"/>
                  <w:vAlign w:val="center"/>
                </w:tcPr>
                <w:p w14:paraId="3B595E7D">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2"/>
                      <w:sz w:val="21"/>
                      <w:szCs w:val="21"/>
                      <w:highlight w:val="none"/>
                      <w:u w:val="none"/>
                      <w:lang w:val="en-US" w:eastAsia="zh-CN" w:bidi="ar-SA"/>
                    </w:rPr>
                  </w:pPr>
                </w:p>
              </w:tc>
              <w:tc>
                <w:tcPr>
                  <w:tcW w:w="568" w:type="pct"/>
                  <w:noWrap w:val="0"/>
                  <w:vAlign w:val="center"/>
                </w:tcPr>
                <w:p w14:paraId="02B5C6A3">
                  <w:pPr>
                    <w:pStyle w:val="31"/>
                    <w:bidi w:val="0"/>
                    <w:rPr>
                      <w:rFonts w:hint="default" w:ascii="Times New Roman" w:hAnsi="Times New Roman" w:cs="Times New Roman"/>
                      <w:color w:val="000000"/>
                      <w:sz w:val="21"/>
                      <w:szCs w:val="21"/>
                      <w:highlight w:val="none"/>
                      <w:u w:val="none"/>
                      <w:lang w:val="en-US" w:eastAsia="zh-CN"/>
                    </w:rPr>
                  </w:pPr>
                  <w:r>
                    <w:rPr>
                      <w:rFonts w:hint="default" w:ascii="Times New Roman" w:hAnsi="Times New Roman" w:cs="Times New Roman"/>
                      <w:color w:val="000000"/>
                      <w:sz w:val="21"/>
                      <w:szCs w:val="21"/>
                      <w:highlight w:val="none"/>
                      <w:u w:val="none"/>
                      <w:lang w:val="en-US" w:eastAsia="zh-CN"/>
                    </w:rPr>
                    <w:t>20~50</w:t>
                  </w:r>
                </w:p>
              </w:tc>
              <w:tc>
                <w:tcPr>
                  <w:tcW w:w="553" w:type="pct"/>
                  <w:noWrap w:val="0"/>
                  <w:vAlign w:val="center"/>
                </w:tcPr>
                <w:p w14:paraId="1DE26C0A">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 xml:space="preserve">0.81 </w:t>
                  </w:r>
                </w:p>
              </w:tc>
              <w:tc>
                <w:tcPr>
                  <w:tcW w:w="383" w:type="pct"/>
                  <w:vMerge w:val="continue"/>
                  <w:noWrap w:val="0"/>
                  <w:vAlign w:val="center"/>
                </w:tcPr>
                <w:p w14:paraId="75D98450">
                  <w:pPr>
                    <w:pStyle w:val="31"/>
                    <w:bidi w:val="0"/>
                    <w:rPr>
                      <w:rFonts w:hint="default" w:ascii="Times New Roman" w:hAnsi="Times New Roman" w:cs="Times New Roman"/>
                      <w:color w:val="000000"/>
                      <w:highlight w:val="none"/>
                      <w:lang w:val="en-US" w:eastAsia="zh-CN"/>
                    </w:rPr>
                  </w:pPr>
                </w:p>
              </w:tc>
              <w:tc>
                <w:tcPr>
                  <w:tcW w:w="524" w:type="pct"/>
                  <w:noWrap w:val="0"/>
                  <w:vAlign w:val="center"/>
                </w:tcPr>
                <w:p w14:paraId="6CF9AC4D">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17.50%</w:t>
                  </w:r>
                </w:p>
              </w:tc>
              <w:tc>
                <w:tcPr>
                  <w:tcW w:w="612" w:type="pct"/>
                  <w:vMerge w:val="continue"/>
                  <w:noWrap w:val="0"/>
                  <w:vAlign w:val="center"/>
                </w:tcPr>
                <w:p w14:paraId="44B8A09D">
                  <w:pPr>
                    <w:pStyle w:val="31"/>
                    <w:bidi w:val="0"/>
                    <w:rPr>
                      <w:rFonts w:hint="default" w:ascii="Times New Roman" w:hAnsi="Times New Roman" w:cs="Times New Roman"/>
                      <w:color w:val="000000"/>
                      <w:highlight w:val="none"/>
                      <w:lang w:val="en-US" w:eastAsia="zh-CN"/>
                    </w:rPr>
                  </w:pPr>
                </w:p>
              </w:tc>
              <w:tc>
                <w:tcPr>
                  <w:tcW w:w="472" w:type="pct"/>
                  <w:vMerge w:val="continue"/>
                  <w:noWrap w:val="0"/>
                  <w:vAlign w:val="center"/>
                </w:tcPr>
                <w:p w14:paraId="1A7111CE">
                  <w:pPr>
                    <w:pStyle w:val="31"/>
                    <w:bidi w:val="0"/>
                    <w:rPr>
                      <w:rFonts w:hint="default" w:ascii="Times New Roman" w:hAnsi="Times New Roman" w:cs="Times New Roman"/>
                      <w:color w:val="000000"/>
                      <w:highlight w:val="none"/>
                      <w:lang w:val="en-US" w:eastAsia="zh-CN"/>
                    </w:rPr>
                  </w:pPr>
                </w:p>
              </w:tc>
              <w:tc>
                <w:tcPr>
                  <w:tcW w:w="721" w:type="pct"/>
                  <w:vMerge w:val="continue"/>
                  <w:noWrap w:val="0"/>
                  <w:vAlign w:val="center"/>
                </w:tcPr>
                <w:p w14:paraId="66A0366A">
                  <w:pPr>
                    <w:pStyle w:val="31"/>
                    <w:bidi w:val="0"/>
                    <w:rPr>
                      <w:rFonts w:hint="default" w:ascii="Times New Roman" w:hAnsi="Times New Roman" w:cs="Times New Roman"/>
                      <w:color w:val="000000"/>
                      <w:sz w:val="21"/>
                      <w:szCs w:val="21"/>
                      <w:highlight w:val="none"/>
                      <w:u w:val="none"/>
                      <w:lang w:val="en-US" w:eastAsia="zh-CN"/>
                    </w:rPr>
                  </w:pPr>
                </w:p>
              </w:tc>
            </w:tr>
            <w:tr w14:paraId="612E5B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75" w:type="pct"/>
                  <w:vMerge w:val="continue"/>
                  <w:noWrap w:val="0"/>
                  <w:vAlign w:val="center"/>
                </w:tcPr>
                <w:p w14:paraId="5E96CA24">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2"/>
                      <w:sz w:val="21"/>
                      <w:szCs w:val="21"/>
                      <w:highlight w:val="none"/>
                      <w:u w:val="none"/>
                      <w:lang w:val="en-US" w:eastAsia="zh-CN" w:bidi="ar-SA"/>
                    </w:rPr>
                  </w:pPr>
                </w:p>
              </w:tc>
              <w:tc>
                <w:tcPr>
                  <w:tcW w:w="587" w:type="pct"/>
                  <w:vMerge w:val="continue"/>
                  <w:noWrap w:val="0"/>
                  <w:vAlign w:val="center"/>
                </w:tcPr>
                <w:p w14:paraId="753CC83A">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2"/>
                      <w:sz w:val="21"/>
                      <w:szCs w:val="21"/>
                      <w:highlight w:val="none"/>
                      <w:u w:val="none"/>
                      <w:lang w:val="en-US" w:eastAsia="zh-CN" w:bidi="ar-SA"/>
                    </w:rPr>
                  </w:pPr>
                </w:p>
              </w:tc>
              <w:tc>
                <w:tcPr>
                  <w:tcW w:w="568" w:type="pct"/>
                  <w:noWrap w:val="0"/>
                  <w:vAlign w:val="center"/>
                </w:tcPr>
                <w:p w14:paraId="5C725784">
                  <w:pPr>
                    <w:pStyle w:val="31"/>
                    <w:bidi w:val="0"/>
                    <w:rPr>
                      <w:rFonts w:hint="default" w:ascii="Times New Roman" w:hAnsi="Times New Roman" w:cs="Times New Roman"/>
                      <w:color w:val="000000"/>
                      <w:sz w:val="21"/>
                      <w:szCs w:val="21"/>
                      <w:highlight w:val="none"/>
                      <w:u w:val="none"/>
                      <w:lang w:val="en-US" w:eastAsia="zh-CN"/>
                    </w:rPr>
                  </w:pPr>
                  <w:r>
                    <w:rPr>
                      <w:rFonts w:hint="default" w:ascii="Times New Roman" w:hAnsi="Times New Roman" w:cs="Times New Roman"/>
                      <w:color w:val="000000"/>
                      <w:sz w:val="21"/>
                      <w:szCs w:val="21"/>
                      <w:highlight w:val="none"/>
                      <w:u w:val="none"/>
                      <w:lang w:val="en-US" w:eastAsia="zh-CN"/>
                    </w:rPr>
                    <w:t>50~100</w:t>
                  </w:r>
                </w:p>
              </w:tc>
              <w:tc>
                <w:tcPr>
                  <w:tcW w:w="553" w:type="pct"/>
                  <w:noWrap w:val="0"/>
                  <w:vAlign w:val="center"/>
                </w:tcPr>
                <w:p w14:paraId="79489585">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0.54</w:t>
                  </w:r>
                </w:p>
              </w:tc>
              <w:tc>
                <w:tcPr>
                  <w:tcW w:w="383" w:type="pct"/>
                  <w:vMerge w:val="continue"/>
                  <w:noWrap w:val="0"/>
                  <w:vAlign w:val="center"/>
                </w:tcPr>
                <w:p w14:paraId="28C11EC4">
                  <w:pPr>
                    <w:pStyle w:val="31"/>
                    <w:bidi w:val="0"/>
                    <w:rPr>
                      <w:rFonts w:hint="default" w:ascii="Times New Roman" w:hAnsi="Times New Roman" w:cs="Times New Roman"/>
                      <w:color w:val="000000"/>
                      <w:highlight w:val="none"/>
                      <w:lang w:val="en-US" w:eastAsia="zh-CN"/>
                    </w:rPr>
                  </w:pPr>
                </w:p>
              </w:tc>
              <w:tc>
                <w:tcPr>
                  <w:tcW w:w="524" w:type="pct"/>
                  <w:noWrap w:val="0"/>
                  <w:vAlign w:val="center"/>
                </w:tcPr>
                <w:p w14:paraId="6D99F202">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40%</w:t>
                  </w:r>
                </w:p>
              </w:tc>
              <w:tc>
                <w:tcPr>
                  <w:tcW w:w="612" w:type="pct"/>
                  <w:vMerge w:val="continue"/>
                  <w:noWrap w:val="0"/>
                  <w:vAlign w:val="center"/>
                </w:tcPr>
                <w:p w14:paraId="22B405DA">
                  <w:pPr>
                    <w:pStyle w:val="31"/>
                    <w:bidi w:val="0"/>
                    <w:rPr>
                      <w:rFonts w:hint="default" w:ascii="Times New Roman" w:hAnsi="Times New Roman" w:cs="Times New Roman"/>
                      <w:color w:val="000000"/>
                      <w:highlight w:val="none"/>
                      <w:lang w:val="en-US" w:eastAsia="zh-CN"/>
                    </w:rPr>
                  </w:pPr>
                </w:p>
              </w:tc>
              <w:tc>
                <w:tcPr>
                  <w:tcW w:w="472" w:type="pct"/>
                  <w:vMerge w:val="continue"/>
                  <w:noWrap w:val="0"/>
                  <w:vAlign w:val="center"/>
                </w:tcPr>
                <w:p w14:paraId="4EF6F2AE">
                  <w:pPr>
                    <w:pStyle w:val="31"/>
                    <w:bidi w:val="0"/>
                    <w:rPr>
                      <w:rFonts w:hint="default" w:ascii="Times New Roman" w:hAnsi="Times New Roman" w:cs="Times New Roman"/>
                      <w:color w:val="000000"/>
                      <w:highlight w:val="none"/>
                      <w:lang w:val="en-US" w:eastAsia="zh-CN"/>
                    </w:rPr>
                  </w:pPr>
                </w:p>
              </w:tc>
              <w:tc>
                <w:tcPr>
                  <w:tcW w:w="721" w:type="pct"/>
                  <w:vMerge w:val="continue"/>
                  <w:noWrap w:val="0"/>
                  <w:vAlign w:val="center"/>
                </w:tcPr>
                <w:p w14:paraId="6E2D6159">
                  <w:pPr>
                    <w:pStyle w:val="31"/>
                    <w:bidi w:val="0"/>
                    <w:rPr>
                      <w:rFonts w:hint="default" w:ascii="Times New Roman" w:hAnsi="Times New Roman" w:cs="Times New Roman"/>
                      <w:color w:val="000000"/>
                      <w:sz w:val="21"/>
                      <w:szCs w:val="21"/>
                      <w:highlight w:val="none"/>
                      <w:u w:val="none"/>
                      <w:lang w:val="en-US" w:eastAsia="zh-CN"/>
                    </w:rPr>
                  </w:pPr>
                </w:p>
              </w:tc>
            </w:tr>
            <w:tr w14:paraId="10E25A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75" w:type="pct"/>
                  <w:vMerge w:val="continue"/>
                  <w:noWrap w:val="0"/>
                  <w:vAlign w:val="center"/>
                </w:tcPr>
                <w:p w14:paraId="2B710CE8">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2"/>
                      <w:sz w:val="21"/>
                      <w:szCs w:val="21"/>
                      <w:highlight w:val="none"/>
                      <w:u w:val="none"/>
                      <w:lang w:val="en-US" w:eastAsia="zh-CN" w:bidi="ar-SA"/>
                    </w:rPr>
                  </w:pPr>
                </w:p>
              </w:tc>
              <w:tc>
                <w:tcPr>
                  <w:tcW w:w="587" w:type="pct"/>
                  <w:vMerge w:val="continue"/>
                  <w:noWrap w:val="0"/>
                  <w:vAlign w:val="center"/>
                </w:tcPr>
                <w:p w14:paraId="3B03F6E5">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2"/>
                      <w:sz w:val="21"/>
                      <w:szCs w:val="21"/>
                      <w:highlight w:val="none"/>
                      <w:u w:val="none"/>
                      <w:lang w:val="en-US" w:eastAsia="zh-CN" w:bidi="ar-SA"/>
                    </w:rPr>
                  </w:pPr>
                </w:p>
              </w:tc>
              <w:tc>
                <w:tcPr>
                  <w:tcW w:w="568" w:type="pct"/>
                  <w:noWrap w:val="0"/>
                  <w:vAlign w:val="center"/>
                </w:tcPr>
                <w:p w14:paraId="7C6F02AA">
                  <w:pPr>
                    <w:pStyle w:val="31"/>
                    <w:bidi w:val="0"/>
                    <w:rPr>
                      <w:rFonts w:hint="default" w:ascii="Times New Roman" w:hAnsi="Times New Roman" w:cs="Times New Roman"/>
                      <w:color w:val="000000"/>
                      <w:sz w:val="21"/>
                      <w:szCs w:val="21"/>
                      <w:highlight w:val="none"/>
                      <w:u w:val="none"/>
                      <w:lang w:val="en-US" w:eastAsia="zh-CN"/>
                    </w:rPr>
                  </w:pPr>
                  <w:r>
                    <w:rPr>
                      <w:rFonts w:hint="default" w:ascii="Times New Roman" w:hAnsi="Times New Roman" w:cs="Times New Roman"/>
                      <w:color w:val="000000"/>
                      <w:sz w:val="21"/>
                      <w:szCs w:val="21"/>
                      <w:highlight w:val="none"/>
                      <w:u w:val="none"/>
                      <w:lang w:val="en-US" w:eastAsia="zh-CN"/>
                    </w:rPr>
                    <w:t>&gt;100</w:t>
                  </w:r>
                </w:p>
              </w:tc>
              <w:tc>
                <w:tcPr>
                  <w:tcW w:w="553" w:type="pct"/>
                  <w:noWrap w:val="0"/>
                  <w:vAlign w:val="center"/>
                </w:tcPr>
                <w:p w14:paraId="2CCC3881">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 xml:space="preserve">0.84 </w:t>
                  </w:r>
                </w:p>
              </w:tc>
              <w:tc>
                <w:tcPr>
                  <w:tcW w:w="383" w:type="pct"/>
                  <w:vMerge w:val="continue"/>
                  <w:noWrap w:val="0"/>
                  <w:vAlign w:val="center"/>
                </w:tcPr>
                <w:p w14:paraId="03310325">
                  <w:pPr>
                    <w:pStyle w:val="31"/>
                    <w:bidi w:val="0"/>
                    <w:rPr>
                      <w:rFonts w:hint="default" w:ascii="Times New Roman" w:hAnsi="Times New Roman" w:cs="Times New Roman"/>
                      <w:color w:val="000000"/>
                      <w:highlight w:val="none"/>
                      <w:lang w:val="en-US" w:eastAsia="zh-CN"/>
                    </w:rPr>
                  </w:pPr>
                </w:p>
              </w:tc>
              <w:tc>
                <w:tcPr>
                  <w:tcW w:w="524" w:type="pct"/>
                  <w:noWrap w:val="0"/>
                  <w:vAlign w:val="center"/>
                </w:tcPr>
                <w:p w14:paraId="1A79A9CD">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50%</w:t>
                  </w:r>
                </w:p>
              </w:tc>
              <w:tc>
                <w:tcPr>
                  <w:tcW w:w="612" w:type="pct"/>
                  <w:vMerge w:val="continue"/>
                  <w:noWrap w:val="0"/>
                  <w:vAlign w:val="center"/>
                </w:tcPr>
                <w:p w14:paraId="475CD09A">
                  <w:pPr>
                    <w:pStyle w:val="31"/>
                    <w:bidi w:val="0"/>
                    <w:rPr>
                      <w:rFonts w:hint="default" w:ascii="Times New Roman" w:hAnsi="Times New Roman" w:cs="Times New Roman"/>
                      <w:color w:val="000000"/>
                      <w:highlight w:val="none"/>
                      <w:lang w:val="en-US" w:eastAsia="zh-CN"/>
                    </w:rPr>
                  </w:pPr>
                </w:p>
              </w:tc>
              <w:tc>
                <w:tcPr>
                  <w:tcW w:w="472" w:type="pct"/>
                  <w:vMerge w:val="continue"/>
                  <w:noWrap w:val="0"/>
                  <w:vAlign w:val="center"/>
                </w:tcPr>
                <w:p w14:paraId="2EC8659F">
                  <w:pPr>
                    <w:pStyle w:val="31"/>
                    <w:bidi w:val="0"/>
                    <w:rPr>
                      <w:rFonts w:hint="default" w:ascii="Times New Roman" w:hAnsi="Times New Roman" w:cs="Times New Roman"/>
                      <w:color w:val="000000"/>
                      <w:highlight w:val="none"/>
                      <w:lang w:val="en-US" w:eastAsia="zh-CN"/>
                    </w:rPr>
                  </w:pPr>
                </w:p>
              </w:tc>
              <w:tc>
                <w:tcPr>
                  <w:tcW w:w="721" w:type="pct"/>
                  <w:vMerge w:val="continue"/>
                  <w:noWrap w:val="0"/>
                  <w:vAlign w:val="center"/>
                </w:tcPr>
                <w:p w14:paraId="6F242B46">
                  <w:pPr>
                    <w:pStyle w:val="31"/>
                    <w:bidi w:val="0"/>
                    <w:rPr>
                      <w:rFonts w:hint="default" w:ascii="Times New Roman" w:hAnsi="Times New Roman" w:cs="Times New Roman"/>
                      <w:color w:val="000000"/>
                      <w:sz w:val="21"/>
                      <w:szCs w:val="21"/>
                      <w:highlight w:val="none"/>
                      <w:u w:val="none"/>
                      <w:lang w:val="en-US" w:eastAsia="zh-CN"/>
                    </w:rPr>
                  </w:pPr>
                </w:p>
              </w:tc>
            </w:tr>
            <w:tr w14:paraId="61A9D0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75" w:type="pct"/>
                  <w:vMerge w:val="restart"/>
                  <w:noWrap w:val="0"/>
                  <w:vAlign w:val="center"/>
                </w:tcPr>
                <w:p w14:paraId="21E860E5">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2"/>
                      <w:sz w:val="21"/>
                      <w:szCs w:val="21"/>
                      <w:highlight w:val="none"/>
                      <w:u w:val="none"/>
                      <w:lang w:val="en-US" w:eastAsia="zh-CN" w:bidi="ar-SA"/>
                    </w:rPr>
                  </w:pPr>
                  <w:r>
                    <w:rPr>
                      <w:rFonts w:hint="default" w:ascii="Times New Roman" w:hAnsi="Times New Roman" w:eastAsia="宋体" w:cs="Times New Roman"/>
                      <w:color w:val="000000"/>
                      <w:kern w:val="2"/>
                      <w:sz w:val="21"/>
                      <w:szCs w:val="21"/>
                      <w:highlight w:val="none"/>
                      <w:u w:val="none"/>
                      <w:lang w:val="en-US" w:eastAsia="zh-CN" w:bidi="ar-SA"/>
                    </w:rPr>
                    <w:t>游泳动物</w:t>
                  </w:r>
                </w:p>
              </w:tc>
              <w:tc>
                <w:tcPr>
                  <w:tcW w:w="587" w:type="pct"/>
                  <w:vMerge w:val="restart"/>
                  <w:noWrap w:val="0"/>
                  <w:vAlign w:val="center"/>
                </w:tcPr>
                <w:p w14:paraId="23B43CA8">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2"/>
                      <w:sz w:val="21"/>
                      <w:szCs w:val="21"/>
                      <w:highlight w:val="none"/>
                      <w:u w:val="none"/>
                      <w:lang w:val="en-US" w:eastAsia="zh-CN" w:bidi="ar-SA"/>
                    </w:rPr>
                  </w:pPr>
                </w:p>
              </w:tc>
              <w:tc>
                <w:tcPr>
                  <w:tcW w:w="568" w:type="pct"/>
                  <w:noWrap w:val="0"/>
                  <w:vAlign w:val="center"/>
                </w:tcPr>
                <w:p w14:paraId="0EA4EB27">
                  <w:pPr>
                    <w:pStyle w:val="31"/>
                    <w:bidi w:val="0"/>
                    <w:rPr>
                      <w:rFonts w:hint="default" w:ascii="Times New Roman" w:hAnsi="Times New Roman" w:cs="Times New Roman"/>
                      <w:color w:val="000000"/>
                      <w:sz w:val="21"/>
                      <w:szCs w:val="21"/>
                      <w:highlight w:val="none"/>
                      <w:u w:val="none"/>
                      <w:lang w:val="en-US" w:eastAsia="zh-CN"/>
                    </w:rPr>
                  </w:pPr>
                  <w:r>
                    <w:rPr>
                      <w:rFonts w:hint="default" w:ascii="Times New Roman" w:hAnsi="Times New Roman" w:cs="Times New Roman"/>
                      <w:color w:val="000000"/>
                      <w:sz w:val="21"/>
                      <w:szCs w:val="21"/>
                      <w:highlight w:val="none"/>
                      <w:u w:val="none"/>
                      <w:lang w:val="en-US" w:eastAsia="zh-CN"/>
                    </w:rPr>
                    <w:t>10~20</w:t>
                  </w:r>
                </w:p>
              </w:tc>
              <w:tc>
                <w:tcPr>
                  <w:tcW w:w="553" w:type="pct"/>
                  <w:noWrap w:val="0"/>
                  <w:vAlign w:val="center"/>
                </w:tcPr>
                <w:p w14:paraId="3638F844">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0.64</w:t>
                  </w:r>
                </w:p>
              </w:tc>
              <w:tc>
                <w:tcPr>
                  <w:tcW w:w="383" w:type="pct"/>
                  <w:vMerge w:val="restart"/>
                  <w:noWrap w:val="0"/>
                  <w:vAlign w:val="center"/>
                </w:tcPr>
                <w:p w14:paraId="01372B15">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5.0</w:t>
                  </w:r>
                </w:p>
              </w:tc>
              <w:tc>
                <w:tcPr>
                  <w:tcW w:w="524" w:type="pct"/>
                  <w:noWrap w:val="0"/>
                  <w:vAlign w:val="center"/>
                </w:tcPr>
                <w:p w14:paraId="14CBFE3F">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0.50%</w:t>
                  </w:r>
                </w:p>
              </w:tc>
              <w:tc>
                <w:tcPr>
                  <w:tcW w:w="612" w:type="pct"/>
                  <w:vMerge w:val="restart"/>
                  <w:noWrap w:val="0"/>
                  <w:vAlign w:val="center"/>
                </w:tcPr>
                <w:p w14:paraId="3A90F23D">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63.51kg</w:t>
                  </w:r>
                </w:p>
              </w:tc>
              <w:tc>
                <w:tcPr>
                  <w:tcW w:w="472" w:type="pct"/>
                  <w:vMerge w:val="restart"/>
                  <w:noWrap w:val="0"/>
                  <w:vAlign w:val="center"/>
                </w:tcPr>
                <w:p w14:paraId="3A781D87">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24</w:t>
                  </w:r>
                </w:p>
              </w:tc>
              <w:tc>
                <w:tcPr>
                  <w:tcW w:w="721" w:type="pct"/>
                  <w:vMerge w:val="restart"/>
                  <w:noWrap w:val="0"/>
                  <w:vAlign w:val="center"/>
                </w:tcPr>
                <w:p w14:paraId="002A0B8B">
                  <w:pPr>
                    <w:pStyle w:val="31"/>
                    <w:bidi w:val="0"/>
                    <w:rPr>
                      <w:rFonts w:hint="default" w:ascii="Times New Roman" w:hAnsi="Times New Roman" w:cs="Times New Roman"/>
                      <w:color w:val="000000"/>
                      <w:sz w:val="21"/>
                      <w:szCs w:val="21"/>
                      <w:highlight w:val="none"/>
                      <w:u w:val="none"/>
                      <w:lang w:val="en-US" w:eastAsia="zh-CN"/>
                    </w:rPr>
                  </w:pPr>
                  <w:r>
                    <w:rPr>
                      <w:rFonts w:hint="default" w:ascii="Times New Roman" w:hAnsi="Times New Roman" w:cs="Times New Roman"/>
                      <w:color w:val="000000"/>
                      <w:highlight w:val="none"/>
                      <w:lang w:val="en-US" w:eastAsia="zh-CN"/>
                    </w:rPr>
                    <w:t>1524.24kg</w:t>
                  </w:r>
                </w:p>
              </w:tc>
            </w:tr>
            <w:tr w14:paraId="136F31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75" w:type="pct"/>
                  <w:vMerge w:val="continue"/>
                  <w:noWrap w:val="0"/>
                  <w:vAlign w:val="center"/>
                </w:tcPr>
                <w:p w14:paraId="7BE80642">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2"/>
                      <w:sz w:val="21"/>
                      <w:szCs w:val="21"/>
                      <w:highlight w:val="none"/>
                      <w:u w:val="single"/>
                      <w:lang w:val="en-US" w:eastAsia="zh-CN" w:bidi="ar-SA"/>
                    </w:rPr>
                  </w:pPr>
                </w:p>
              </w:tc>
              <w:tc>
                <w:tcPr>
                  <w:tcW w:w="587" w:type="pct"/>
                  <w:vMerge w:val="continue"/>
                  <w:noWrap w:val="0"/>
                  <w:vAlign w:val="center"/>
                </w:tcPr>
                <w:p w14:paraId="23278AAE">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2"/>
                      <w:sz w:val="21"/>
                      <w:szCs w:val="21"/>
                      <w:highlight w:val="none"/>
                      <w:u w:val="single"/>
                      <w:lang w:val="en-US" w:eastAsia="zh-CN" w:bidi="ar-SA"/>
                    </w:rPr>
                  </w:pPr>
                </w:p>
              </w:tc>
              <w:tc>
                <w:tcPr>
                  <w:tcW w:w="568" w:type="pct"/>
                  <w:noWrap w:val="0"/>
                  <w:vAlign w:val="center"/>
                </w:tcPr>
                <w:p w14:paraId="2C278B40">
                  <w:pPr>
                    <w:pStyle w:val="31"/>
                    <w:bidi w:val="0"/>
                    <w:rPr>
                      <w:rFonts w:hint="default" w:ascii="Times New Roman" w:hAnsi="Times New Roman" w:cs="Times New Roman"/>
                      <w:color w:val="000000"/>
                      <w:sz w:val="21"/>
                      <w:szCs w:val="21"/>
                      <w:highlight w:val="none"/>
                      <w:u w:val="none"/>
                      <w:lang w:val="en-US" w:eastAsia="zh-CN"/>
                    </w:rPr>
                  </w:pPr>
                  <w:r>
                    <w:rPr>
                      <w:rFonts w:hint="default" w:ascii="Times New Roman" w:hAnsi="Times New Roman" w:cs="Times New Roman"/>
                      <w:color w:val="000000"/>
                      <w:sz w:val="21"/>
                      <w:szCs w:val="21"/>
                      <w:highlight w:val="none"/>
                      <w:u w:val="none"/>
                      <w:lang w:val="en-US" w:eastAsia="zh-CN"/>
                    </w:rPr>
                    <w:t>20~50</w:t>
                  </w:r>
                </w:p>
              </w:tc>
              <w:tc>
                <w:tcPr>
                  <w:tcW w:w="553" w:type="pct"/>
                  <w:noWrap w:val="0"/>
                  <w:vAlign w:val="center"/>
                </w:tcPr>
                <w:p w14:paraId="5101E235">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 xml:space="preserve">0.81 </w:t>
                  </w:r>
                </w:p>
              </w:tc>
              <w:tc>
                <w:tcPr>
                  <w:tcW w:w="383" w:type="pct"/>
                  <w:vMerge w:val="continue"/>
                  <w:noWrap w:val="0"/>
                  <w:vAlign w:val="center"/>
                </w:tcPr>
                <w:p w14:paraId="02633646">
                  <w:pPr>
                    <w:pStyle w:val="31"/>
                    <w:bidi w:val="0"/>
                    <w:rPr>
                      <w:rFonts w:hint="default" w:ascii="Times New Roman" w:hAnsi="Times New Roman" w:cs="Times New Roman"/>
                      <w:color w:val="000000"/>
                      <w:highlight w:val="none"/>
                      <w:lang w:val="en-US" w:eastAsia="zh-CN"/>
                    </w:rPr>
                  </w:pPr>
                </w:p>
              </w:tc>
              <w:tc>
                <w:tcPr>
                  <w:tcW w:w="524" w:type="pct"/>
                  <w:noWrap w:val="0"/>
                  <w:vAlign w:val="center"/>
                </w:tcPr>
                <w:p w14:paraId="2511613F">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5.50%</w:t>
                  </w:r>
                </w:p>
              </w:tc>
              <w:tc>
                <w:tcPr>
                  <w:tcW w:w="612" w:type="pct"/>
                  <w:vMerge w:val="continue"/>
                  <w:noWrap w:val="0"/>
                  <w:vAlign w:val="center"/>
                </w:tcPr>
                <w:p w14:paraId="48DC629C">
                  <w:pPr>
                    <w:pStyle w:val="31"/>
                    <w:bidi w:val="0"/>
                    <w:rPr>
                      <w:rFonts w:hint="default" w:ascii="Times New Roman" w:hAnsi="Times New Roman" w:cs="Times New Roman"/>
                      <w:color w:val="000000"/>
                      <w:highlight w:val="none"/>
                      <w:lang w:val="en-US" w:eastAsia="zh-CN"/>
                    </w:rPr>
                  </w:pPr>
                </w:p>
              </w:tc>
              <w:tc>
                <w:tcPr>
                  <w:tcW w:w="472" w:type="pct"/>
                  <w:vMerge w:val="continue"/>
                  <w:noWrap w:val="0"/>
                  <w:vAlign w:val="center"/>
                </w:tcPr>
                <w:p w14:paraId="48B8DC2D">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2"/>
                      <w:sz w:val="21"/>
                      <w:szCs w:val="21"/>
                      <w:highlight w:val="none"/>
                      <w:u w:val="single"/>
                      <w:lang w:val="en-US" w:eastAsia="zh-CN" w:bidi="ar-SA"/>
                    </w:rPr>
                  </w:pPr>
                </w:p>
              </w:tc>
              <w:tc>
                <w:tcPr>
                  <w:tcW w:w="721" w:type="pct"/>
                  <w:vMerge w:val="continue"/>
                  <w:noWrap w:val="0"/>
                  <w:vAlign w:val="center"/>
                </w:tcPr>
                <w:p w14:paraId="780595C0">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2"/>
                      <w:sz w:val="21"/>
                      <w:szCs w:val="21"/>
                      <w:highlight w:val="none"/>
                      <w:u w:val="single"/>
                      <w:lang w:val="en-US" w:eastAsia="zh-CN" w:bidi="ar-SA"/>
                    </w:rPr>
                  </w:pPr>
                </w:p>
              </w:tc>
            </w:tr>
            <w:tr w14:paraId="096403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75" w:type="pct"/>
                  <w:vMerge w:val="continue"/>
                  <w:noWrap w:val="0"/>
                  <w:vAlign w:val="center"/>
                </w:tcPr>
                <w:p w14:paraId="40D0BA1E">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2"/>
                      <w:sz w:val="21"/>
                      <w:szCs w:val="21"/>
                      <w:highlight w:val="none"/>
                      <w:u w:val="single"/>
                      <w:lang w:val="en-US" w:eastAsia="zh-CN" w:bidi="ar-SA"/>
                    </w:rPr>
                  </w:pPr>
                </w:p>
              </w:tc>
              <w:tc>
                <w:tcPr>
                  <w:tcW w:w="587" w:type="pct"/>
                  <w:vMerge w:val="continue"/>
                  <w:noWrap w:val="0"/>
                  <w:vAlign w:val="center"/>
                </w:tcPr>
                <w:p w14:paraId="5F28279F">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2"/>
                      <w:sz w:val="21"/>
                      <w:szCs w:val="21"/>
                      <w:highlight w:val="none"/>
                      <w:u w:val="single"/>
                      <w:lang w:val="en-US" w:eastAsia="zh-CN" w:bidi="ar-SA"/>
                    </w:rPr>
                  </w:pPr>
                </w:p>
              </w:tc>
              <w:tc>
                <w:tcPr>
                  <w:tcW w:w="568" w:type="pct"/>
                  <w:noWrap w:val="0"/>
                  <w:vAlign w:val="center"/>
                </w:tcPr>
                <w:p w14:paraId="488F1940">
                  <w:pPr>
                    <w:pStyle w:val="31"/>
                    <w:bidi w:val="0"/>
                    <w:rPr>
                      <w:rFonts w:hint="default" w:ascii="Times New Roman" w:hAnsi="Times New Roman" w:cs="Times New Roman"/>
                      <w:color w:val="000000"/>
                      <w:sz w:val="21"/>
                      <w:szCs w:val="21"/>
                      <w:highlight w:val="none"/>
                      <w:u w:val="none"/>
                      <w:lang w:val="en-US" w:eastAsia="zh-CN"/>
                    </w:rPr>
                  </w:pPr>
                  <w:r>
                    <w:rPr>
                      <w:rFonts w:hint="default" w:ascii="Times New Roman" w:hAnsi="Times New Roman" w:cs="Times New Roman"/>
                      <w:color w:val="000000"/>
                      <w:sz w:val="21"/>
                      <w:szCs w:val="21"/>
                      <w:highlight w:val="none"/>
                      <w:u w:val="none"/>
                      <w:lang w:val="en-US" w:eastAsia="zh-CN"/>
                    </w:rPr>
                    <w:t>50~100</w:t>
                  </w:r>
                </w:p>
              </w:tc>
              <w:tc>
                <w:tcPr>
                  <w:tcW w:w="553" w:type="pct"/>
                  <w:noWrap w:val="0"/>
                  <w:vAlign w:val="center"/>
                </w:tcPr>
                <w:p w14:paraId="33FB60A5">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0.54</w:t>
                  </w:r>
                </w:p>
              </w:tc>
              <w:tc>
                <w:tcPr>
                  <w:tcW w:w="383" w:type="pct"/>
                  <w:vMerge w:val="continue"/>
                  <w:noWrap w:val="0"/>
                  <w:vAlign w:val="center"/>
                </w:tcPr>
                <w:p w14:paraId="6B6DB62E">
                  <w:pPr>
                    <w:pStyle w:val="31"/>
                    <w:bidi w:val="0"/>
                    <w:rPr>
                      <w:rFonts w:hint="default" w:ascii="Times New Roman" w:hAnsi="Times New Roman" w:cs="Times New Roman"/>
                      <w:color w:val="000000"/>
                      <w:highlight w:val="none"/>
                      <w:lang w:val="en-US" w:eastAsia="zh-CN"/>
                    </w:rPr>
                  </w:pPr>
                </w:p>
              </w:tc>
              <w:tc>
                <w:tcPr>
                  <w:tcW w:w="524" w:type="pct"/>
                  <w:noWrap w:val="0"/>
                  <w:vAlign w:val="center"/>
                </w:tcPr>
                <w:p w14:paraId="02866745">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15%</w:t>
                  </w:r>
                </w:p>
              </w:tc>
              <w:tc>
                <w:tcPr>
                  <w:tcW w:w="612" w:type="pct"/>
                  <w:vMerge w:val="continue"/>
                  <w:noWrap w:val="0"/>
                  <w:vAlign w:val="center"/>
                </w:tcPr>
                <w:p w14:paraId="565F2315">
                  <w:pPr>
                    <w:pStyle w:val="31"/>
                    <w:bidi w:val="0"/>
                    <w:rPr>
                      <w:rFonts w:hint="default" w:ascii="Times New Roman" w:hAnsi="Times New Roman" w:cs="Times New Roman"/>
                      <w:color w:val="000000"/>
                      <w:highlight w:val="none"/>
                      <w:lang w:val="en-US" w:eastAsia="zh-CN"/>
                    </w:rPr>
                  </w:pPr>
                </w:p>
              </w:tc>
              <w:tc>
                <w:tcPr>
                  <w:tcW w:w="472" w:type="pct"/>
                  <w:vMerge w:val="continue"/>
                  <w:noWrap w:val="0"/>
                  <w:vAlign w:val="center"/>
                </w:tcPr>
                <w:p w14:paraId="2B53BFBB">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2"/>
                      <w:sz w:val="21"/>
                      <w:szCs w:val="21"/>
                      <w:highlight w:val="none"/>
                      <w:u w:val="single"/>
                      <w:lang w:val="en-US" w:eastAsia="zh-CN" w:bidi="ar-SA"/>
                    </w:rPr>
                  </w:pPr>
                </w:p>
              </w:tc>
              <w:tc>
                <w:tcPr>
                  <w:tcW w:w="721" w:type="pct"/>
                  <w:vMerge w:val="continue"/>
                  <w:noWrap w:val="0"/>
                  <w:vAlign w:val="center"/>
                </w:tcPr>
                <w:p w14:paraId="34CC6E35">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2"/>
                      <w:sz w:val="21"/>
                      <w:szCs w:val="21"/>
                      <w:highlight w:val="none"/>
                      <w:u w:val="single"/>
                      <w:lang w:val="en-US" w:eastAsia="zh-CN" w:bidi="ar-SA"/>
                    </w:rPr>
                  </w:pPr>
                </w:p>
              </w:tc>
            </w:tr>
            <w:tr w14:paraId="4DDBC4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3" w:hRule="atLeast"/>
              </w:trPr>
              <w:tc>
                <w:tcPr>
                  <w:tcW w:w="575" w:type="pct"/>
                  <w:vMerge w:val="continue"/>
                  <w:noWrap w:val="0"/>
                  <w:vAlign w:val="center"/>
                </w:tcPr>
                <w:p w14:paraId="5C23C835">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2"/>
                      <w:sz w:val="21"/>
                      <w:szCs w:val="21"/>
                      <w:highlight w:val="none"/>
                      <w:u w:val="single"/>
                      <w:lang w:val="en-US" w:eastAsia="zh-CN" w:bidi="ar-SA"/>
                    </w:rPr>
                  </w:pPr>
                </w:p>
              </w:tc>
              <w:tc>
                <w:tcPr>
                  <w:tcW w:w="587" w:type="pct"/>
                  <w:vMerge w:val="continue"/>
                  <w:noWrap w:val="0"/>
                  <w:vAlign w:val="center"/>
                </w:tcPr>
                <w:p w14:paraId="62991842">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2"/>
                      <w:sz w:val="21"/>
                      <w:szCs w:val="21"/>
                      <w:highlight w:val="none"/>
                      <w:u w:val="single"/>
                      <w:lang w:val="en-US" w:eastAsia="zh-CN" w:bidi="ar-SA"/>
                    </w:rPr>
                  </w:pPr>
                </w:p>
              </w:tc>
              <w:tc>
                <w:tcPr>
                  <w:tcW w:w="568" w:type="pct"/>
                  <w:noWrap w:val="0"/>
                  <w:vAlign w:val="center"/>
                </w:tcPr>
                <w:p w14:paraId="78CDB8F7">
                  <w:pPr>
                    <w:pStyle w:val="31"/>
                    <w:bidi w:val="0"/>
                    <w:rPr>
                      <w:rFonts w:hint="default" w:ascii="Times New Roman" w:hAnsi="Times New Roman" w:cs="Times New Roman"/>
                      <w:color w:val="000000"/>
                      <w:sz w:val="21"/>
                      <w:szCs w:val="21"/>
                      <w:highlight w:val="none"/>
                      <w:u w:val="none"/>
                      <w:lang w:val="en-US" w:eastAsia="zh-CN"/>
                    </w:rPr>
                  </w:pPr>
                  <w:r>
                    <w:rPr>
                      <w:rFonts w:hint="default" w:ascii="Times New Roman" w:hAnsi="Times New Roman" w:cs="Times New Roman"/>
                      <w:color w:val="000000"/>
                      <w:sz w:val="21"/>
                      <w:szCs w:val="21"/>
                      <w:highlight w:val="none"/>
                      <w:u w:val="none"/>
                      <w:lang w:val="en-US" w:eastAsia="zh-CN"/>
                    </w:rPr>
                    <w:t>&gt;100</w:t>
                  </w:r>
                </w:p>
              </w:tc>
              <w:tc>
                <w:tcPr>
                  <w:tcW w:w="553" w:type="pct"/>
                  <w:noWrap w:val="0"/>
                  <w:vAlign w:val="center"/>
                </w:tcPr>
                <w:p w14:paraId="1596E488">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 xml:space="preserve">0.84 </w:t>
                  </w:r>
                </w:p>
              </w:tc>
              <w:tc>
                <w:tcPr>
                  <w:tcW w:w="383" w:type="pct"/>
                  <w:vMerge w:val="continue"/>
                  <w:noWrap w:val="0"/>
                  <w:vAlign w:val="center"/>
                </w:tcPr>
                <w:p w14:paraId="2F70F987">
                  <w:pPr>
                    <w:pStyle w:val="31"/>
                    <w:bidi w:val="0"/>
                    <w:rPr>
                      <w:rFonts w:hint="default" w:ascii="Times New Roman" w:hAnsi="Times New Roman" w:cs="Times New Roman"/>
                      <w:color w:val="000000"/>
                      <w:highlight w:val="none"/>
                      <w:lang w:val="en-US" w:eastAsia="zh-CN"/>
                    </w:rPr>
                  </w:pPr>
                </w:p>
              </w:tc>
              <w:tc>
                <w:tcPr>
                  <w:tcW w:w="524" w:type="pct"/>
                  <w:noWrap w:val="0"/>
                  <w:vAlign w:val="center"/>
                </w:tcPr>
                <w:p w14:paraId="4F1E9A72">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20%</w:t>
                  </w:r>
                </w:p>
              </w:tc>
              <w:tc>
                <w:tcPr>
                  <w:tcW w:w="612" w:type="pct"/>
                  <w:vMerge w:val="continue"/>
                  <w:noWrap w:val="0"/>
                  <w:vAlign w:val="center"/>
                </w:tcPr>
                <w:p w14:paraId="53D38533">
                  <w:pPr>
                    <w:pStyle w:val="31"/>
                    <w:bidi w:val="0"/>
                    <w:rPr>
                      <w:rFonts w:hint="default" w:ascii="Times New Roman" w:hAnsi="Times New Roman" w:cs="Times New Roman"/>
                      <w:color w:val="000000"/>
                      <w:highlight w:val="none"/>
                      <w:lang w:val="en-US" w:eastAsia="zh-CN"/>
                    </w:rPr>
                  </w:pPr>
                </w:p>
              </w:tc>
              <w:tc>
                <w:tcPr>
                  <w:tcW w:w="472" w:type="pct"/>
                  <w:vMerge w:val="continue"/>
                  <w:noWrap w:val="0"/>
                  <w:vAlign w:val="center"/>
                </w:tcPr>
                <w:p w14:paraId="789A16C4">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2"/>
                      <w:sz w:val="21"/>
                      <w:szCs w:val="21"/>
                      <w:highlight w:val="none"/>
                      <w:u w:val="single"/>
                      <w:lang w:val="en-US" w:eastAsia="zh-CN" w:bidi="ar-SA"/>
                    </w:rPr>
                  </w:pPr>
                </w:p>
              </w:tc>
              <w:tc>
                <w:tcPr>
                  <w:tcW w:w="721" w:type="pct"/>
                  <w:vMerge w:val="continue"/>
                  <w:noWrap w:val="0"/>
                  <w:vAlign w:val="center"/>
                </w:tcPr>
                <w:p w14:paraId="23537FF1">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2"/>
                      <w:sz w:val="21"/>
                      <w:szCs w:val="21"/>
                      <w:highlight w:val="none"/>
                      <w:u w:val="single"/>
                      <w:lang w:val="en-US" w:eastAsia="zh-CN" w:bidi="ar-SA"/>
                    </w:rPr>
                  </w:pPr>
                </w:p>
              </w:tc>
            </w:tr>
          </w:tbl>
          <w:p w14:paraId="1F8D875C">
            <w:pPr>
              <w:ind w:firstLine="480"/>
              <w:rPr>
                <w:rFonts w:hint="default" w:ascii="Times New Roman" w:hAnsi="Times New Roman" w:cs="Times New Roman"/>
                <w:b/>
                <w:bCs/>
                <w:color w:val="000000"/>
                <w:highlight w:val="none"/>
                <w:u w:val="none"/>
                <w:lang w:val="en-US" w:eastAsia="zh-CN"/>
              </w:rPr>
            </w:pPr>
            <w:r>
              <w:rPr>
                <w:rFonts w:hint="default" w:ascii="Times New Roman" w:hAnsi="Times New Roman" w:cs="Times New Roman"/>
                <w:b/>
                <w:bCs/>
                <w:color w:val="000000"/>
                <w:highlight w:val="none"/>
                <w:u w:val="none"/>
                <w:lang w:val="en-US" w:eastAsia="zh-CN"/>
              </w:rPr>
              <w:t>C、本工程施工悬浮泥沙影响损失估算合计</w:t>
            </w:r>
          </w:p>
          <w:p w14:paraId="77343E40">
            <w:pPr>
              <w:ind w:firstLine="480"/>
              <w:rPr>
                <w:rFonts w:hint="default" w:ascii="Times New Roman" w:hAnsi="Times New Roman" w:cs="Times New Roman"/>
                <w:color w:val="000000"/>
                <w:highlight w:val="none"/>
                <w:u w:val="none"/>
                <w:lang w:val="en-US" w:eastAsia="zh-CN"/>
              </w:rPr>
            </w:pPr>
            <w:r>
              <w:rPr>
                <w:rFonts w:hint="default" w:ascii="Times New Roman" w:hAnsi="Times New Roman" w:cs="Times New Roman"/>
                <w:color w:val="000000"/>
                <w:highlight w:val="none"/>
                <w:u w:val="none"/>
                <w:lang w:val="en-US" w:eastAsia="zh-CN"/>
              </w:rPr>
              <w:t>根据对项目区附近海洋生物的调查结果，该海区没有发现珍稀海洋生物种类；工程建设引起丧失的各种底栖、浮游生物在当地的广阔海域均有大量分布，不存在物种濒危问题，因此项目建设不会造成物种多样性降低的生态问题，所造成的野生海产资源损失也是有限的。综上所述，本工程施工悬浮泥沙影响损失估算合计见</w:t>
            </w:r>
            <w:r>
              <w:rPr>
                <w:rFonts w:hint="default" w:ascii="Times New Roman" w:hAnsi="Times New Roman" w:cs="Times New Roman"/>
                <w:b w:val="0"/>
                <w:bCs w:val="0"/>
                <w:color w:val="000000"/>
                <w:highlight w:val="none"/>
                <w:u w:val="none"/>
                <w:lang w:val="en-US" w:eastAsia="zh-CN"/>
              </w:rPr>
              <w:fldChar w:fldCharType="begin"/>
            </w:r>
            <w:r>
              <w:rPr>
                <w:rFonts w:hint="default" w:ascii="Times New Roman" w:hAnsi="Times New Roman" w:cs="Times New Roman"/>
                <w:b w:val="0"/>
                <w:bCs w:val="0"/>
                <w:color w:val="000000"/>
                <w:highlight w:val="none"/>
                <w:u w:val="none"/>
                <w:lang w:val="en-US" w:eastAsia="zh-CN"/>
              </w:rPr>
              <w:instrText xml:space="preserve"> REF _Ref25102 \h </w:instrText>
            </w:r>
            <w:r>
              <w:rPr>
                <w:rFonts w:hint="default" w:ascii="Times New Roman" w:hAnsi="Times New Roman" w:cs="Times New Roman"/>
                <w:b w:val="0"/>
                <w:bCs w:val="0"/>
                <w:color w:val="000000"/>
                <w:highlight w:val="none"/>
                <w:u w:val="none"/>
                <w:lang w:val="en-US" w:eastAsia="zh-CN"/>
              </w:rPr>
              <w:fldChar w:fldCharType="separate"/>
            </w:r>
            <w:r>
              <w:rPr>
                <w:rFonts w:hint="default" w:ascii="Times New Roman" w:hAnsi="Times New Roman" w:eastAsia="宋体" w:cs="Times New Roman"/>
                <w:b w:val="0"/>
                <w:bCs w:val="0"/>
                <w:color w:val="000000"/>
                <w:kern w:val="2"/>
                <w:sz w:val="24"/>
                <w:szCs w:val="28"/>
                <w:highlight w:val="none"/>
                <w:u w:val="none"/>
                <w:lang w:val="en-US" w:eastAsia="zh-CN" w:bidi="ar-SA"/>
              </w:rPr>
              <w:t>表</w:t>
            </w:r>
            <w:r>
              <w:rPr>
                <w:rFonts w:hint="default" w:ascii="Times New Roman" w:hAnsi="Times New Roman" w:eastAsia="宋体" w:cs="Times New Roman"/>
                <w:b w:val="0"/>
                <w:bCs w:val="0"/>
                <w:color w:val="000000"/>
                <w:kern w:val="2"/>
                <w:sz w:val="24"/>
                <w:szCs w:val="28"/>
                <w:highlight w:val="none"/>
                <w:u w:val="none"/>
                <w:lang w:val="en-US" w:eastAsia="zh-CN" w:bidi="ar-SA"/>
              </w:rPr>
              <w:fldChar w:fldCharType="begin"/>
            </w:r>
            <w:r>
              <w:rPr>
                <w:rFonts w:hint="default" w:ascii="Times New Roman" w:hAnsi="Times New Roman" w:eastAsia="宋体" w:cs="Times New Roman"/>
                <w:b w:val="0"/>
                <w:bCs w:val="0"/>
                <w:color w:val="000000"/>
                <w:kern w:val="2"/>
                <w:sz w:val="24"/>
                <w:szCs w:val="28"/>
                <w:highlight w:val="none"/>
                <w:u w:val="none"/>
                <w:lang w:val="en-US" w:eastAsia="zh-CN" w:bidi="ar-SA"/>
              </w:rPr>
              <w:instrText xml:space="preserve"> STYLEREF 2 \s </w:instrText>
            </w:r>
            <w:r>
              <w:rPr>
                <w:rFonts w:hint="default" w:ascii="Times New Roman" w:hAnsi="Times New Roman" w:eastAsia="宋体" w:cs="Times New Roman"/>
                <w:b w:val="0"/>
                <w:bCs w:val="0"/>
                <w:color w:val="000000"/>
                <w:kern w:val="2"/>
                <w:sz w:val="24"/>
                <w:szCs w:val="28"/>
                <w:highlight w:val="none"/>
                <w:u w:val="none"/>
                <w:lang w:val="en-US" w:eastAsia="zh-CN" w:bidi="ar-SA"/>
              </w:rPr>
              <w:fldChar w:fldCharType="separate"/>
            </w:r>
            <w:r>
              <w:rPr>
                <w:rFonts w:hint="default" w:ascii="Times New Roman" w:hAnsi="Times New Roman" w:eastAsia="宋体" w:cs="Times New Roman"/>
                <w:b w:val="0"/>
                <w:bCs w:val="0"/>
                <w:color w:val="000000"/>
                <w:kern w:val="2"/>
                <w:sz w:val="24"/>
                <w:szCs w:val="28"/>
                <w:highlight w:val="none"/>
                <w:u w:val="none"/>
                <w:lang w:val="en-US" w:eastAsia="zh-CN" w:bidi="ar-SA"/>
              </w:rPr>
              <w:t>4.3</w:t>
            </w:r>
            <w:r>
              <w:rPr>
                <w:rFonts w:hint="default" w:ascii="Times New Roman" w:hAnsi="Times New Roman" w:eastAsia="宋体" w:cs="Times New Roman"/>
                <w:b w:val="0"/>
                <w:bCs w:val="0"/>
                <w:color w:val="000000"/>
                <w:kern w:val="2"/>
                <w:sz w:val="24"/>
                <w:szCs w:val="28"/>
                <w:highlight w:val="none"/>
                <w:u w:val="none"/>
                <w:lang w:val="en-US" w:eastAsia="zh-CN" w:bidi="ar-SA"/>
              </w:rPr>
              <w:fldChar w:fldCharType="end"/>
            </w:r>
            <w:r>
              <w:rPr>
                <w:rFonts w:hint="default" w:ascii="Times New Roman" w:hAnsi="Times New Roman" w:eastAsia="宋体" w:cs="Times New Roman"/>
                <w:b w:val="0"/>
                <w:bCs w:val="0"/>
                <w:color w:val="000000"/>
                <w:kern w:val="2"/>
                <w:sz w:val="24"/>
                <w:szCs w:val="28"/>
                <w:highlight w:val="none"/>
                <w:u w:val="none"/>
                <w:lang w:val="en-US" w:eastAsia="zh-CN" w:bidi="ar-SA"/>
              </w:rPr>
              <w:t>-8</w:t>
            </w:r>
            <w:r>
              <w:rPr>
                <w:rFonts w:hint="default" w:ascii="Times New Roman" w:hAnsi="Times New Roman" w:cs="Times New Roman"/>
                <w:b w:val="0"/>
                <w:bCs w:val="0"/>
                <w:color w:val="000000"/>
                <w:highlight w:val="none"/>
                <w:u w:val="none"/>
                <w:lang w:val="en-US" w:eastAsia="zh-CN"/>
              </w:rPr>
              <w:fldChar w:fldCharType="end"/>
            </w:r>
            <w:r>
              <w:rPr>
                <w:rFonts w:hint="default" w:ascii="Times New Roman" w:hAnsi="Times New Roman" w:cs="Times New Roman"/>
                <w:b w:val="0"/>
                <w:bCs w:val="0"/>
                <w:color w:val="000000"/>
                <w:highlight w:val="none"/>
                <w:u w:val="none"/>
                <w:lang w:val="en-US" w:eastAsia="zh-CN"/>
              </w:rPr>
              <w:t>。</w:t>
            </w:r>
          </w:p>
          <w:p w14:paraId="7D4B80B2">
            <w:pPr>
              <w:widowControl w:val="0"/>
              <w:bidi w:val="0"/>
              <w:adjustRightInd/>
              <w:snapToGrid/>
              <w:spacing w:line="240" w:lineRule="auto"/>
              <w:ind w:firstLine="0" w:firstLineChars="0"/>
              <w:jc w:val="center"/>
              <w:rPr>
                <w:rFonts w:hint="default" w:ascii="Times New Roman" w:hAnsi="Times New Roman" w:eastAsia="宋体" w:cs="Times New Roman"/>
                <w:b/>
                <w:color w:val="000000"/>
                <w:kern w:val="2"/>
                <w:sz w:val="24"/>
                <w:szCs w:val="28"/>
                <w:highlight w:val="none"/>
                <w:u w:val="none"/>
                <w:lang w:val="en-US" w:eastAsia="zh-CN" w:bidi="ar-SA"/>
              </w:rPr>
            </w:pPr>
            <w:bookmarkStart w:id="337" w:name="_Ref25102"/>
            <w:r>
              <w:rPr>
                <w:rFonts w:hint="default" w:ascii="Times New Roman" w:hAnsi="Times New Roman" w:eastAsia="宋体" w:cs="Times New Roman"/>
                <w:b/>
                <w:color w:val="000000"/>
                <w:kern w:val="2"/>
                <w:sz w:val="24"/>
                <w:szCs w:val="28"/>
                <w:highlight w:val="none"/>
                <w:u w:val="none"/>
                <w:lang w:val="en-US" w:eastAsia="zh-CN" w:bidi="ar-SA"/>
              </w:rPr>
              <w:t>表</w:t>
            </w:r>
            <w:r>
              <w:rPr>
                <w:rFonts w:hint="default" w:ascii="Times New Roman" w:hAnsi="Times New Roman" w:eastAsia="宋体" w:cs="Times New Roman"/>
                <w:b/>
                <w:color w:val="000000"/>
                <w:kern w:val="2"/>
                <w:sz w:val="24"/>
                <w:szCs w:val="28"/>
                <w:highlight w:val="none"/>
                <w:u w:val="none"/>
                <w:lang w:val="en-US" w:eastAsia="zh-CN" w:bidi="ar-SA"/>
              </w:rPr>
              <w:fldChar w:fldCharType="begin"/>
            </w:r>
            <w:r>
              <w:rPr>
                <w:rFonts w:hint="default" w:ascii="Times New Roman" w:hAnsi="Times New Roman" w:eastAsia="宋体" w:cs="Times New Roman"/>
                <w:b/>
                <w:color w:val="000000"/>
                <w:kern w:val="2"/>
                <w:sz w:val="24"/>
                <w:szCs w:val="28"/>
                <w:highlight w:val="none"/>
                <w:u w:val="none"/>
                <w:lang w:val="en-US" w:eastAsia="zh-CN" w:bidi="ar-SA"/>
              </w:rPr>
              <w:instrText xml:space="preserve"> STYLEREF 2 \s </w:instrText>
            </w:r>
            <w:r>
              <w:rPr>
                <w:rFonts w:hint="default" w:ascii="Times New Roman" w:hAnsi="Times New Roman" w:eastAsia="宋体" w:cs="Times New Roman"/>
                <w:b/>
                <w:color w:val="000000"/>
                <w:kern w:val="2"/>
                <w:sz w:val="24"/>
                <w:szCs w:val="28"/>
                <w:highlight w:val="none"/>
                <w:u w:val="none"/>
                <w:lang w:val="en-US" w:eastAsia="zh-CN" w:bidi="ar-SA"/>
              </w:rPr>
              <w:fldChar w:fldCharType="separate"/>
            </w:r>
            <w:r>
              <w:rPr>
                <w:rFonts w:hint="default" w:ascii="Times New Roman" w:hAnsi="Times New Roman" w:eastAsia="宋体" w:cs="Times New Roman"/>
                <w:b/>
                <w:color w:val="000000"/>
                <w:kern w:val="2"/>
                <w:sz w:val="24"/>
                <w:szCs w:val="28"/>
                <w:highlight w:val="none"/>
                <w:u w:val="none"/>
                <w:lang w:val="en-US" w:eastAsia="zh-CN" w:bidi="ar-SA"/>
              </w:rPr>
              <w:t>4.3</w:t>
            </w:r>
            <w:r>
              <w:rPr>
                <w:rFonts w:hint="default" w:ascii="Times New Roman" w:hAnsi="Times New Roman" w:eastAsia="宋体" w:cs="Times New Roman"/>
                <w:b/>
                <w:color w:val="000000"/>
                <w:kern w:val="2"/>
                <w:sz w:val="24"/>
                <w:szCs w:val="28"/>
                <w:highlight w:val="none"/>
                <w:u w:val="none"/>
                <w:lang w:val="en-US" w:eastAsia="zh-CN" w:bidi="ar-SA"/>
              </w:rPr>
              <w:fldChar w:fldCharType="end"/>
            </w:r>
            <w:r>
              <w:rPr>
                <w:rFonts w:hint="default" w:ascii="Times New Roman" w:hAnsi="Times New Roman" w:eastAsia="宋体" w:cs="Times New Roman"/>
                <w:b/>
                <w:color w:val="000000"/>
                <w:kern w:val="2"/>
                <w:sz w:val="24"/>
                <w:szCs w:val="28"/>
                <w:highlight w:val="none"/>
                <w:u w:val="none"/>
                <w:lang w:val="en-US" w:eastAsia="zh-CN" w:bidi="ar-SA"/>
              </w:rPr>
              <w:t>-</w:t>
            </w:r>
            <w:r>
              <w:rPr>
                <w:rFonts w:hint="default" w:ascii="Times New Roman" w:hAnsi="Times New Roman" w:eastAsia="宋体" w:cs="Times New Roman"/>
                <w:b/>
                <w:color w:val="000000"/>
                <w:kern w:val="2"/>
                <w:sz w:val="24"/>
                <w:szCs w:val="28"/>
                <w:highlight w:val="none"/>
                <w:u w:val="none"/>
                <w:lang w:val="en-US" w:eastAsia="zh-CN" w:bidi="ar-SA"/>
              </w:rPr>
              <w:fldChar w:fldCharType="begin"/>
            </w:r>
            <w:r>
              <w:rPr>
                <w:rFonts w:hint="default" w:ascii="Times New Roman" w:hAnsi="Times New Roman" w:eastAsia="宋体" w:cs="Times New Roman"/>
                <w:b/>
                <w:color w:val="000000"/>
                <w:kern w:val="2"/>
                <w:sz w:val="24"/>
                <w:szCs w:val="28"/>
                <w:highlight w:val="none"/>
                <w:u w:val="none"/>
                <w:lang w:val="en-US" w:eastAsia="zh-CN" w:bidi="ar-SA"/>
              </w:rPr>
              <w:instrText xml:space="preserve"> SEQ 表 \* ARABIC \s 2 </w:instrText>
            </w:r>
            <w:r>
              <w:rPr>
                <w:rFonts w:hint="default" w:ascii="Times New Roman" w:hAnsi="Times New Roman" w:eastAsia="宋体" w:cs="Times New Roman"/>
                <w:b/>
                <w:color w:val="000000"/>
                <w:kern w:val="2"/>
                <w:sz w:val="24"/>
                <w:szCs w:val="28"/>
                <w:highlight w:val="none"/>
                <w:u w:val="none"/>
                <w:lang w:val="en-US" w:eastAsia="zh-CN" w:bidi="ar-SA"/>
              </w:rPr>
              <w:fldChar w:fldCharType="separate"/>
            </w:r>
            <w:r>
              <w:rPr>
                <w:rFonts w:hint="default" w:ascii="Times New Roman" w:hAnsi="Times New Roman" w:eastAsia="宋体" w:cs="Times New Roman"/>
                <w:b/>
                <w:color w:val="000000"/>
                <w:kern w:val="2"/>
                <w:sz w:val="24"/>
                <w:szCs w:val="28"/>
                <w:highlight w:val="none"/>
                <w:u w:val="none"/>
                <w:lang w:val="en-US" w:eastAsia="zh-CN" w:bidi="ar-SA"/>
              </w:rPr>
              <w:t>8</w:t>
            </w:r>
            <w:r>
              <w:rPr>
                <w:rFonts w:hint="default" w:ascii="Times New Roman" w:hAnsi="Times New Roman" w:eastAsia="宋体" w:cs="Times New Roman"/>
                <w:b/>
                <w:color w:val="000000"/>
                <w:kern w:val="2"/>
                <w:sz w:val="24"/>
                <w:szCs w:val="28"/>
                <w:highlight w:val="none"/>
                <w:u w:val="none"/>
                <w:lang w:val="en-US" w:eastAsia="zh-CN" w:bidi="ar-SA"/>
              </w:rPr>
              <w:fldChar w:fldCharType="end"/>
            </w:r>
            <w:bookmarkEnd w:id="337"/>
            <w:r>
              <w:rPr>
                <w:rFonts w:hint="default" w:ascii="Times New Roman" w:hAnsi="Times New Roman" w:eastAsia="宋体" w:cs="Times New Roman"/>
                <w:b/>
                <w:color w:val="000000"/>
                <w:kern w:val="2"/>
                <w:sz w:val="24"/>
                <w:szCs w:val="28"/>
                <w:highlight w:val="none"/>
                <w:u w:val="none"/>
                <w:lang w:val="en-US" w:eastAsia="zh-CN" w:bidi="ar-SA"/>
              </w:rPr>
              <w:t xml:space="preserve"> 本工程施工悬浮泥沙影响损失估算表</w:t>
            </w:r>
          </w:p>
          <w:tbl>
            <w:tblPr>
              <w:tblStyle w:val="22"/>
              <w:tblW w:w="827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7"/>
              <w:gridCol w:w="1605"/>
              <w:gridCol w:w="1335"/>
              <w:gridCol w:w="1470"/>
              <w:gridCol w:w="1365"/>
              <w:gridCol w:w="1146"/>
            </w:tblGrid>
            <w:tr w14:paraId="7C516E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57" w:type="dxa"/>
                  <w:noWrap w:val="0"/>
                  <w:vAlign w:val="center"/>
                </w:tcPr>
                <w:p w14:paraId="3A574ED6">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项目</w:t>
                  </w:r>
                </w:p>
              </w:tc>
              <w:tc>
                <w:tcPr>
                  <w:tcW w:w="1605" w:type="dxa"/>
                  <w:noWrap w:val="0"/>
                  <w:vAlign w:val="center"/>
                </w:tcPr>
                <w:p w14:paraId="0537602F">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eastAsia="宋体" w:cs="Times New Roman"/>
                      <w:b/>
                      <w:bCs/>
                      <w:color w:val="000000"/>
                      <w:kern w:val="2"/>
                      <w:sz w:val="21"/>
                      <w:szCs w:val="21"/>
                      <w:highlight w:val="none"/>
                      <w:u w:val="none"/>
                      <w:lang w:val="en-US" w:eastAsia="zh-CN" w:bidi="ar-SA"/>
                    </w:rPr>
                    <w:t>浮游植物</w:t>
                  </w:r>
                </w:p>
              </w:tc>
              <w:tc>
                <w:tcPr>
                  <w:tcW w:w="1335" w:type="dxa"/>
                  <w:noWrap w:val="0"/>
                  <w:vAlign w:val="center"/>
                </w:tcPr>
                <w:p w14:paraId="09FF78C7">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eastAsia="宋体" w:cs="Times New Roman"/>
                      <w:b/>
                      <w:bCs/>
                      <w:color w:val="000000"/>
                      <w:kern w:val="2"/>
                      <w:sz w:val="21"/>
                      <w:szCs w:val="21"/>
                      <w:highlight w:val="none"/>
                      <w:u w:val="none"/>
                      <w:lang w:val="en-US" w:eastAsia="zh-CN" w:bidi="ar-SA"/>
                    </w:rPr>
                    <w:t>浮游动物</w:t>
                  </w:r>
                </w:p>
              </w:tc>
              <w:tc>
                <w:tcPr>
                  <w:tcW w:w="1470" w:type="dxa"/>
                  <w:noWrap w:val="0"/>
                  <w:vAlign w:val="center"/>
                </w:tcPr>
                <w:p w14:paraId="5731EFE6">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eastAsia="宋体" w:cs="Times New Roman"/>
                      <w:b/>
                      <w:bCs/>
                      <w:color w:val="000000"/>
                      <w:kern w:val="2"/>
                      <w:sz w:val="21"/>
                      <w:szCs w:val="21"/>
                      <w:highlight w:val="none"/>
                      <w:u w:val="none"/>
                      <w:lang w:val="en-US" w:eastAsia="zh-CN" w:bidi="ar-SA"/>
                    </w:rPr>
                    <w:t>鱼卵</w:t>
                  </w:r>
                </w:p>
              </w:tc>
              <w:tc>
                <w:tcPr>
                  <w:tcW w:w="1365" w:type="dxa"/>
                  <w:noWrap w:val="0"/>
                  <w:vAlign w:val="center"/>
                </w:tcPr>
                <w:p w14:paraId="5DB83E38">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eastAsia="宋体" w:cs="Times New Roman"/>
                      <w:b/>
                      <w:bCs/>
                      <w:color w:val="000000"/>
                      <w:kern w:val="2"/>
                      <w:sz w:val="21"/>
                      <w:szCs w:val="21"/>
                      <w:highlight w:val="none"/>
                      <w:u w:val="none"/>
                      <w:lang w:val="en-US" w:eastAsia="zh-CN" w:bidi="ar-SA"/>
                    </w:rPr>
                    <w:t>仔稚鱼</w:t>
                  </w:r>
                </w:p>
              </w:tc>
              <w:tc>
                <w:tcPr>
                  <w:tcW w:w="1146" w:type="dxa"/>
                  <w:noWrap w:val="0"/>
                  <w:vAlign w:val="center"/>
                </w:tcPr>
                <w:p w14:paraId="12337CEC">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eastAsia="宋体" w:cs="Times New Roman"/>
                      <w:b/>
                      <w:bCs/>
                      <w:color w:val="000000"/>
                      <w:kern w:val="2"/>
                      <w:sz w:val="21"/>
                      <w:szCs w:val="21"/>
                      <w:highlight w:val="none"/>
                      <w:u w:val="none"/>
                      <w:lang w:val="en-US" w:eastAsia="zh-CN" w:bidi="ar-SA"/>
                    </w:rPr>
                    <w:t>游泳动物</w:t>
                  </w:r>
                </w:p>
              </w:tc>
            </w:tr>
            <w:tr w14:paraId="52CD66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57" w:type="dxa"/>
                  <w:noWrap w:val="0"/>
                  <w:vAlign w:val="center"/>
                </w:tcPr>
                <w:p w14:paraId="6890024D">
                  <w:pPr>
                    <w:pStyle w:val="31"/>
                    <w:bidi w:val="0"/>
                    <w:jc w:val="center"/>
                    <w:rPr>
                      <w:rFonts w:hint="default" w:ascii="Times New Roman" w:hAnsi="Times New Roman" w:eastAsia="宋体" w:cs="Times New Roman"/>
                      <w:b w:val="0"/>
                      <w:bCs w:val="0"/>
                      <w:color w:val="000000"/>
                      <w:kern w:val="2"/>
                      <w:sz w:val="21"/>
                      <w:szCs w:val="21"/>
                      <w:highlight w:val="none"/>
                      <w:u w:val="none"/>
                      <w:lang w:val="en-US" w:eastAsia="zh-CN" w:bidi="ar-SA"/>
                    </w:rPr>
                  </w:pPr>
                  <w:r>
                    <w:rPr>
                      <w:rFonts w:hint="default" w:ascii="Times New Roman" w:hAnsi="Times New Roman" w:eastAsia="宋体" w:cs="Times New Roman"/>
                      <w:b w:val="0"/>
                      <w:bCs w:val="0"/>
                      <w:color w:val="000000"/>
                      <w:kern w:val="2"/>
                      <w:sz w:val="21"/>
                      <w:szCs w:val="21"/>
                      <w:highlight w:val="none"/>
                      <w:u w:val="none"/>
                      <w:lang w:val="en-US" w:eastAsia="zh-CN" w:bidi="ar-SA"/>
                    </w:rPr>
                    <w:t>一次性平均受损量</w:t>
                  </w:r>
                </w:p>
              </w:tc>
              <w:tc>
                <w:tcPr>
                  <w:tcW w:w="1605" w:type="dxa"/>
                  <w:noWrap w:val="0"/>
                  <w:vAlign w:val="center"/>
                </w:tcPr>
                <w:p w14:paraId="330B09CA">
                  <w:pPr>
                    <w:pStyle w:val="31"/>
                    <w:bidi w:val="0"/>
                    <w:jc w:val="center"/>
                    <w:rPr>
                      <w:rFonts w:hint="default" w:ascii="Times New Roman" w:hAnsi="Times New Roman" w:eastAsia="宋体" w:cs="Times New Roman"/>
                      <w:color w:val="000000"/>
                      <w:sz w:val="21"/>
                      <w:szCs w:val="21"/>
                      <w:highlight w:val="none"/>
                      <w:u w:val="none"/>
                      <w:lang w:val="en-US" w:eastAsia="zh-CN"/>
                    </w:rPr>
                  </w:pPr>
                  <w:r>
                    <w:rPr>
                      <w:rFonts w:hint="default" w:ascii="Times New Roman" w:hAnsi="Times New Roman" w:eastAsia="宋体" w:cs="Times New Roman"/>
                      <w:color w:val="000000"/>
                      <w:sz w:val="21"/>
                      <w:szCs w:val="21"/>
                      <w:highlight w:val="none"/>
                      <w:u w:val="none"/>
                      <w:lang w:val="en-US" w:eastAsia="zh-CN"/>
                    </w:rPr>
                    <w:t>9.93</w:t>
                  </w:r>
                  <w:r>
                    <w:rPr>
                      <w:rFonts w:hint="default" w:ascii="Times New Roman" w:hAnsi="Times New Roman" w:eastAsia="宋体" w:cs="Times New Roman"/>
                      <w:color w:val="000000"/>
                      <w:sz w:val="21"/>
                      <w:szCs w:val="21"/>
                      <w:highlight w:val="none"/>
                      <w:u w:val="none"/>
                    </w:rPr>
                    <w:t>×10</w:t>
                  </w:r>
                  <w:r>
                    <w:rPr>
                      <w:rFonts w:hint="default" w:ascii="Times New Roman" w:hAnsi="Times New Roman" w:eastAsia="宋体" w:cs="Times New Roman"/>
                      <w:color w:val="000000"/>
                      <w:sz w:val="21"/>
                      <w:szCs w:val="21"/>
                      <w:highlight w:val="none"/>
                      <w:u w:val="none"/>
                      <w:vertAlign w:val="superscript"/>
                      <w:lang w:val="en-US" w:eastAsia="zh-CN"/>
                    </w:rPr>
                    <w:t>13</w:t>
                  </w:r>
                  <w:r>
                    <w:rPr>
                      <w:rFonts w:hint="default" w:ascii="Times New Roman" w:hAnsi="Times New Roman" w:eastAsia="宋体" w:cs="Times New Roman"/>
                      <w:color w:val="000000"/>
                      <w:sz w:val="21"/>
                      <w:szCs w:val="21"/>
                      <w:highlight w:val="none"/>
                      <w:u w:val="none"/>
                    </w:rPr>
                    <w:t>个</w:t>
                  </w:r>
                </w:p>
              </w:tc>
              <w:tc>
                <w:tcPr>
                  <w:tcW w:w="1335" w:type="dxa"/>
                  <w:noWrap w:val="0"/>
                  <w:vAlign w:val="center"/>
                </w:tcPr>
                <w:p w14:paraId="256900A7">
                  <w:pPr>
                    <w:pStyle w:val="31"/>
                    <w:bidi w:val="0"/>
                    <w:jc w:val="center"/>
                    <w:rPr>
                      <w:rFonts w:hint="default" w:ascii="Times New Roman" w:hAnsi="Times New Roman" w:cs="Times New Roman"/>
                      <w:color w:val="000000"/>
                      <w:sz w:val="21"/>
                      <w:szCs w:val="21"/>
                      <w:highlight w:val="none"/>
                      <w:u w:val="none"/>
                      <w:lang w:val="en-US" w:eastAsia="zh-CN"/>
                    </w:rPr>
                  </w:pPr>
                  <w:r>
                    <w:rPr>
                      <w:rFonts w:hint="default" w:ascii="Times New Roman" w:hAnsi="Times New Roman" w:cs="Times New Roman"/>
                      <w:color w:val="000000"/>
                      <w:sz w:val="21"/>
                      <w:szCs w:val="21"/>
                      <w:highlight w:val="none"/>
                      <w:u w:val="none"/>
                      <w:lang w:val="en-US" w:eastAsia="zh-CN"/>
                    </w:rPr>
                    <w:t>531.44kg</w:t>
                  </w:r>
                </w:p>
              </w:tc>
              <w:tc>
                <w:tcPr>
                  <w:tcW w:w="1470" w:type="dxa"/>
                  <w:noWrap w:val="0"/>
                  <w:vAlign w:val="center"/>
                </w:tcPr>
                <w:p w14:paraId="2442A6A5">
                  <w:pPr>
                    <w:pStyle w:val="31"/>
                    <w:bidi w:val="0"/>
                    <w:jc w:val="center"/>
                    <w:rPr>
                      <w:rFonts w:hint="default" w:ascii="Times New Roman" w:hAnsi="Times New Roman" w:cs="Times New Roman"/>
                      <w:color w:val="000000"/>
                      <w:sz w:val="21"/>
                      <w:szCs w:val="21"/>
                      <w:highlight w:val="none"/>
                      <w:u w:val="none"/>
                      <w:lang w:val="en-US" w:eastAsia="zh-CN"/>
                    </w:rPr>
                  </w:pPr>
                  <w:r>
                    <w:rPr>
                      <w:rFonts w:hint="default" w:ascii="Times New Roman" w:hAnsi="Times New Roman" w:eastAsia="宋体" w:cs="Times New Roman"/>
                      <w:color w:val="000000"/>
                      <w:sz w:val="21"/>
                      <w:szCs w:val="21"/>
                      <w:highlight w:val="none"/>
                      <w:u w:val="none"/>
                      <w:lang w:val="en-US" w:eastAsia="zh-CN"/>
                    </w:rPr>
                    <w:t>114.49</w:t>
                  </w:r>
                  <w:r>
                    <w:rPr>
                      <w:rFonts w:hint="default" w:ascii="Times New Roman" w:hAnsi="Times New Roman" w:eastAsia="宋体" w:cs="Times New Roman"/>
                      <w:color w:val="000000"/>
                      <w:sz w:val="21"/>
                      <w:szCs w:val="21"/>
                      <w:highlight w:val="none"/>
                      <w:u w:val="none"/>
                    </w:rPr>
                    <w:t>×10</w:t>
                  </w:r>
                  <w:r>
                    <w:rPr>
                      <w:rFonts w:hint="default" w:ascii="Times New Roman" w:hAnsi="Times New Roman" w:eastAsia="宋体" w:cs="Times New Roman"/>
                      <w:color w:val="000000"/>
                      <w:sz w:val="21"/>
                      <w:szCs w:val="21"/>
                      <w:highlight w:val="none"/>
                      <w:u w:val="none"/>
                      <w:vertAlign w:val="superscript"/>
                      <w:lang w:val="en-US" w:eastAsia="zh-CN"/>
                    </w:rPr>
                    <w:t>4</w:t>
                  </w:r>
                  <w:r>
                    <w:rPr>
                      <w:rFonts w:hint="default" w:ascii="Times New Roman" w:hAnsi="Times New Roman" w:eastAsia="宋体" w:cs="Times New Roman"/>
                      <w:color w:val="000000"/>
                      <w:sz w:val="21"/>
                      <w:szCs w:val="21"/>
                      <w:highlight w:val="none"/>
                      <w:u w:val="none"/>
                      <w:lang w:val="en-US" w:eastAsia="zh-CN"/>
                    </w:rPr>
                    <w:t>粒</w:t>
                  </w:r>
                </w:p>
              </w:tc>
              <w:tc>
                <w:tcPr>
                  <w:tcW w:w="1365" w:type="dxa"/>
                  <w:noWrap w:val="0"/>
                  <w:vAlign w:val="center"/>
                </w:tcPr>
                <w:p w14:paraId="7A3A17BC">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eastAsia="宋体" w:cs="Times New Roman"/>
                      <w:color w:val="000000"/>
                      <w:sz w:val="21"/>
                      <w:szCs w:val="21"/>
                      <w:highlight w:val="none"/>
                      <w:u w:val="none"/>
                      <w:lang w:val="en-US" w:eastAsia="zh-CN"/>
                    </w:rPr>
                    <w:t>73.83</w:t>
                  </w:r>
                  <w:r>
                    <w:rPr>
                      <w:rFonts w:hint="default" w:ascii="Times New Roman" w:hAnsi="Times New Roman" w:eastAsia="宋体" w:cs="Times New Roman"/>
                      <w:color w:val="000000"/>
                      <w:sz w:val="21"/>
                      <w:szCs w:val="21"/>
                      <w:highlight w:val="none"/>
                      <w:u w:val="none"/>
                    </w:rPr>
                    <w:t>×10</w:t>
                  </w:r>
                  <w:r>
                    <w:rPr>
                      <w:rFonts w:hint="default" w:ascii="Times New Roman" w:hAnsi="Times New Roman" w:eastAsia="宋体" w:cs="Times New Roman"/>
                      <w:color w:val="000000"/>
                      <w:sz w:val="21"/>
                      <w:szCs w:val="21"/>
                      <w:highlight w:val="none"/>
                      <w:u w:val="none"/>
                      <w:vertAlign w:val="superscript"/>
                      <w:lang w:val="en-US" w:eastAsia="zh-CN"/>
                    </w:rPr>
                    <w:t>4</w:t>
                  </w:r>
                  <w:r>
                    <w:rPr>
                      <w:rFonts w:hint="default" w:ascii="Times New Roman" w:hAnsi="Times New Roman" w:eastAsia="宋体" w:cs="Times New Roman"/>
                      <w:color w:val="000000"/>
                      <w:sz w:val="21"/>
                      <w:szCs w:val="21"/>
                      <w:highlight w:val="none"/>
                      <w:u w:val="none"/>
                      <w:lang w:val="en-US" w:eastAsia="zh-CN"/>
                    </w:rPr>
                    <w:t>尾</w:t>
                  </w:r>
                </w:p>
              </w:tc>
              <w:tc>
                <w:tcPr>
                  <w:tcW w:w="1146" w:type="dxa"/>
                  <w:noWrap w:val="0"/>
                  <w:vAlign w:val="center"/>
                </w:tcPr>
                <w:p w14:paraId="4D5272C8">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83.77kg</w:t>
                  </w:r>
                </w:p>
              </w:tc>
            </w:tr>
            <w:tr w14:paraId="09FC78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57" w:type="dxa"/>
                  <w:noWrap w:val="0"/>
                  <w:vAlign w:val="center"/>
                </w:tcPr>
                <w:p w14:paraId="73B80B08">
                  <w:pPr>
                    <w:pStyle w:val="31"/>
                    <w:bidi w:val="0"/>
                    <w:jc w:val="center"/>
                    <w:rPr>
                      <w:rFonts w:hint="default" w:ascii="Times New Roman" w:hAnsi="Times New Roman" w:eastAsia="宋体" w:cs="Times New Roman"/>
                      <w:b w:val="0"/>
                      <w:bCs w:val="0"/>
                      <w:color w:val="000000"/>
                      <w:kern w:val="2"/>
                      <w:sz w:val="21"/>
                      <w:szCs w:val="21"/>
                      <w:highlight w:val="none"/>
                      <w:u w:val="none"/>
                      <w:lang w:val="en-US" w:eastAsia="zh-CN" w:bidi="ar-SA"/>
                    </w:rPr>
                  </w:pPr>
                  <w:r>
                    <w:rPr>
                      <w:rFonts w:hint="default" w:ascii="Times New Roman" w:hAnsi="Times New Roman" w:eastAsia="宋体" w:cs="Times New Roman"/>
                      <w:b w:val="0"/>
                      <w:bCs w:val="0"/>
                      <w:color w:val="000000"/>
                      <w:kern w:val="2"/>
                      <w:sz w:val="21"/>
                      <w:szCs w:val="21"/>
                      <w:highlight w:val="none"/>
                      <w:u w:val="none"/>
                      <w:lang w:val="en-US" w:eastAsia="zh-CN" w:bidi="ar-SA"/>
                    </w:rPr>
                    <w:t>持续性损害受损量</w:t>
                  </w:r>
                </w:p>
              </w:tc>
              <w:tc>
                <w:tcPr>
                  <w:tcW w:w="1605" w:type="dxa"/>
                  <w:noWrap w:val="0"/>
                  <w:vAlign w:val="center"/>
                </w:tcPr>
                <w:p w14:paraId="2B820A4A">
                  <w:pPr>
                    <w:pStyle w:val="31"/>
                    <w:bidi w:val="0"/>
                    <w:jc w:val="center"/>
                    <w:rPr>
                      <w:rFonts w:hint="default" w:ascii="Times New Roman" w:hAnsi="Times New Roman" w:eastAsia="宋体" w:cs="Times New Roman"/>
                      <w:color w:val="000000"/>
                      <w:sz w:val="21"/>
                      <w:szCs w:val="21"/>
                      <w:highlight w:val="none"/>
                      <w:u w:val="none"/>
                      <w:lang w:val="en-US" w:eastAsia="zh-CN"/>
                    </w:rPr>
                  </w:pPr>
                  <w:r>
                    <w:rPr>
                      <w:rFonts w:hint="default" w:ascii="Times New Roman" w:hAnsi="Times New Roman" w:eastAsia="宋体" w:cs="Times New Roman"/>
                      <w:color w:val="000000"/>
                      <w:sz w:val="21"/>
                      <w:szCs w:val="21"/>
                      <w:highlight w:val="none"/>
                      <w:u w:val="none"/>
                      <w:lang w:val="en-US" w:eastAsia="zh-CN"/>
                    </w:rPr>
                    <w:t>209.28</w:t>
                  </w:r>
                  <w:r>
                    <w:rPr>
                      <w:rFonts w:hint="default" w:ascii="Times New Roman" w:hAnsi="Times New Roman" w:eastAsia="宋体" w:cs="Times New Roman"/>
                      <w:color w:val="000000"/>
                      <w:sz w:val="21"/>
                      <w:szCs w:val="21"/>
                      <w:highlight w:val="none"/>
                      <w:u w:val="none"/>
                    </w:rPr>
                    <w:t>×10</w:t>
                  </w:r>
                  <w:r>
                    <w:rPr>
                      <w:rFonts w:hint="default" w:ascii="Times New Roman" w:hAnsi="Times New Roman" w:eastAsia="宋体" w:cs="Times New Roman"/>
                      <w:color w:val="000000"/>
                      <w:sz w:val="21"/>
                      <w:szCs w:val="21"/>
                      <w:highlight w:val="none"/>
                      <w:u w:val="none"/>
                      <w:vertAlign w:val="superscript"/>
                      <w:lang w:val="en-US" w:eastAsia="zh-CN"/>
                    </w:rPr>
                    <w:t>13</w:t>
                  </w:r>
                  <w:r>
                    <w:rPr>
                      <w:rFonts w:hint="default" w:ascii="Times New Roman" w:hAnsi="Times New Roman" w:eastAsia="宋体" w:cs="Times New Roman"/>
                      <w:color w:val="000000"/>
                      <w:sz w:val="21"/>
                      <w:szCs w:val="21"/>
                      <w:highlight w:val="none"/>
                      <w:u w:val="none"/>
                    </w:rPr>
                    <w:t>个</w:t>
                  </w:r>
                </w:p>
              </w:tc>
              <w:tc>
                <w:tcPr>
                  <w:tcW w:w="1335" w:type="dxa"/>
                  <w:noWrap w:val="0"/>
                  <w:vAlign w:val="center"/>
                </w:tcPr>
                <w:p w14:paraId="1D264006">
                  <w:pPr>
                    <w:pStyle w:val="31"/>
                    <w:bidi w:val="0"/>
                    <w:jc w:val="center"/>
                    <w:rPr>
                      <w:rFonts w:hint="default" w:ascii="Times New Roman" w:hAnsi="Times New Roman" w:cs="Times New Roman"/>
                      <w:color w:val="000000"/>
                      <w:sz w:val="21"/>
                      <w:szCs w:val="21"/>
                      <w:highlight w:val="none"/>
                      <w:u w:val="none"/>
                      <w:lang w:val="en-US" w:eastAsia="zh-CN"/>
                    </w:rPr>
                  </w:pPr>
                  <w:r>
                    <w:rPr>
                      <w:rFonts w:hint="default" w:ascii="Times New Roman" w:hAnsi="Times New Roman" w:cs="Times New Roman"/>
                      <w:color w:val="000000"/>
                      <w:sz w:val="21"/>
                      <w:szCs w:val="21"/>
                      <w:highlight w:val="none"/>
                      <w:u w:val="none"/>
                      <w:lang w:val="en-US" w:eastAsia="zh-CN"/>
                    </w:rPr>
                    <w:t>11202.36kg</w:t>
                  </w:r>
                </w:p>
              </w:tc>
              <w:tc>
                <w:tcPr>
                  <w:tcW w:w="1470" w:type="dxa"/>
                  <w:noWrap w:val="0"/>
                  <w:vAlign w:val="center"/>
                </w:tcPr>
                <w:p w14:paraId="39667C03">
                  <w:pPr>
                    <w:pStyle w:val="31"/>
                    <w:bidi w:val="0"/>
                    <w:jc w:val="center"/>
                    <w:rPr>
                      <w:rFonts w:hint="default" w:ascii="Times New Roman" w:hAnsi="Times New Roman" w:cs="Times New Roman"/>
                      <w:color w:val="000000"/>
                      <w:sz w:val="21"/>
                      <w:szCs w:val="21"/>
                      <w:highlight w:val="none"/>
                      <w:u w:val="none"/>
                      <w:lang w:val="en-US" w:eastAsia="zh-CN"/>
                    </w:rPr>
                  </w:pPr>
                  <w:r>
                    <w:rPr>
                      <w:rFonts w:hint="default" w:ascii="Times New Roman" w:hAnsi="Times New Roman" w:cs="Times New Roman"/>
                      <w:color w:val="000000"/>
                      <w:sz w:val="21"/>
                      <w:szCs w:val="21"/>
                      <w:highlight w:val="none"/>
                      <w:u w:val="none"/>
                      <w:lang w:val="en-US" w:eastAsia="zh-CN"/>
                    </w:rPr>
                    <w:t>24.13×10</w:t>
                  </w:r>
                  <w:r>
                    <w:rPr>
                      <w:rFonts w:hint="default" w:ascii="Times New Roman" w:hAnsi="Times New Roman" w:cs="Times New Roman"/>
                      <w:color w:val="000000"/>
                      <w:sz w:val="21"/>
                      <w:szCs w:val="21"/>
                      <w:highlight w:val="none"/>
                      <w:u w:val="none"/>
                      <w:vertAlign w:val="superscript"/>
                      <w:lang w:val="en-US" w:eastAsia="zh-CN"/>
                    </w:rPr>
                    <w:t>6</w:t>
                  </w:r>
                  <w:r>
                    <w:rPr>
                      <w:rFonts w:hint="default" w:ascii="Times New Roman" w:hAnsi="Times New Roman" w:cs="Times New Roman"/>
                      <w:color w:val="000000"/>
                      <w:sz w:val="21"/>
                      <w:szCs w:val="21"/>
                      <w:highlight w:val="none"/>
                      <w:u w:val="none"/>
                      <w:lang w:val="en-US" w:eastAsia="zh-CN"/>
                    </w:rPr>
                    <w:t>粒</w:t>
                  </w:r>
                </w:p>
              </w:tc>
              <w:tc>
                <w:tcPr>
                  <w:tcW w:w="1365" w:type="dxa"/>
                  <w:noWrap w:val="0"/>
                  <w:vAlign w:val="center"/>
                </w:tcPr>
                <w:p w14:paraId="4CF5C8F9">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eastAsia="宋体" w:cs="Times New Roman"/>
                      <w:color w:val="000000"/>
                      <w:sz w:val="21"/>
                      <w:szCs w:val="21"/>
                      <w:highlight w:val="none"/>
                      <w:u w:val="none"/>
                      <w:lang w:val="en-US" w:eastAsia="zh-CN"/>
                    </w:rPr>
                    <w:t>15.57</w:t>
                  </w:r>
                  <w:r>
                    <w:rPr>
                      <w:rFonts w:hint="default" w:ascii="Times New Roman" w:hAnsi="Times New Roman" w:eastAsia="宋体" w:cs="Times New Roman"/>
                      <w:color w:val="000000"/>
                      <w:sz w:val="21"/>
                      <w:szCs w:val="21"/>
                      <w:highlight w:val="none"/>
                      <w:u w:val="none"/>
                    </w:rPr>
                    <w:t>×10</w:t>
                  </w:r>
                  <w:r>
                    <w:rPr>
                      <w:rFonts w:hint="default" w:ascii="Times New Roman" w:hAnsi="Times New Roman" w:eastAsia="宋体" w:cs="Times New Roman"/>
                      <w:color w:val="000000"/>
                      <w:sz w:val="21"/>
                      <w:szCs w:val="21"/>
                      <w:highlight w:val="none"/>
                      <w:u w:val="none"/>
                      <w:vertAlign w:val="superscript"/>
                      <w:lang w:val="en-US" w:eastAsia="zh-CN"/>
                    </w:rPr>
                    <w:t>6</w:t>
                  </w:r>
                  <w:r>
                    <w:rPr>
                      <w:rFonts w:hint="default" w:ascii="Times New Roman" w:hAnsi="Times New Roman" w:eastAsia="宋体" w:cs="Times New Roman"/>
                      <w:color w:val="000000"/>
                      <w:sz w:val="21"/>
                      <w:szCs w:val="21"/>
                      <w:highlight w:val="none"/>
                      <w:u w:val="none"/>
                      <w:lang w:val="en-US" w:eastAsia="zh-CN"/>
                    </w:rPr>
                    <w:t>尾</w:t>
                  </w:r>
                </w:p>
              </w:tc>
              <w:tc>
                <w:tcPr>
                  <w:tcW w:w="1146" w:type="dxa"/>
                  <w:noWrap w:val="0"/>
                  <w:vAlign w:val="center"/>
                </w:tcPr>
                <w:p w14:paraId="25481745">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1767.36kg</w:t>
                  </w:r>
                </w:p>
              </w:tc>
            </w:tr>
          </w:tbl>
          <w:p w14:paraId="3925DEE3">
            <w:pPr>
              <w:pStyle w:val="4"/>
              <w:bidi w:val="0"/>
              <w:rPr>
                <w:rFonts w:hint="default" w:ascii="Times New Roman" w:hAnsi="Times New Roman" w:cs="Times New Roman"/>
                <w:color w:val="000000"/>
                <w:highlight w:val="none"/>
              </w:rPr>
            </w:pPr>
            <w:bookmarkStart w:id="338" w:name="_Toc30294"/>
            <w:bookmarkStart w:id="339" w:name="_Toc1607"/>
            <w:r>
              <w:rPr>
                <w:rFonts w:hint="default" w:ascii="Times New Roman" w:hAnsi="Times New Roman" w:cs="Times New Roman"/>
                <w:color w:val="000000"/>
                <w:highlight w:val="none"/>
              </w:rPr>
              <w:t>海洋生物资源损失货币化估算</w:t>
            </w:r>
            <w:bookmarkEnd w:id="338"/>
            <w:bookmarkEnd w:id="339"/>
          </w:p>
          <w:p w14:paraId="2A0CD3D5">
            <w:pPr>
              <w:ind w:firstLine="482" w:firstLineChars="200"/>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rPr>
              <w:t>（1）海洋生物资源损害赔偿和补偿年限（倍数）的确定</w:t>
            </w:r>
          </w:p>
          <w:p w14:paraId="3B4ED2E9">
            <w:pPr>
              <w:ind w:firstLine="480" w:firstLineChars="200"/>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根据《建设项目对海洋生物资源影响评价技术规程》（SC/T9110-2007），生物资源损害补偿年限（倍数）的确定按如下原则：</w:t>
            </w:r>
          </w:p>
          <w:p w14:paraId="5F12C50A">
            <w:pPr>
              <w:ind w:firstLine="480" w:firstLineChars="200"/>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——各类工程施工对水域生态系统造成不可逆影响的，其生物资源损害的补偿年限均按不低于20年计算；</w:t>
            </w:r>
          </w:p>
          <w:p w14:paraId="61AD12D3">
            <w:pPr>
              <w:ind w:firstLine="480" w:firstLineChars="200"/>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——占用渔业水域的生物资源损害补偿，占用年限低于3年的，按3补偿；占用年限3年～20年的，按实际占用年限补偿；占用年限20年以上的，按不低于20年补偿；</w:t>
            </w:r>
          </w:p>
          <w:p w14:paraId="5CC2FA32">
            <w:pPr>
              <w:ind w:firstLine="480" w:firstLineChars="200"/>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——一次性生物资源的损害补偿为一次性损害额的3倍；</w:t>
            </w:r>
          </w:p>
          <w:p w14:paraId="774223E4">
            <w:pPr>
              <w:ind w:firstLine="480" w:firstLineChars="200"/>
              <w:rPr>
                <w:rFonts w:hint="default" w:ascii="Times New Roman" w:hAnsi="Times New Roman" w:cs="Times New Roman"/>
                <w:color w:val="000000"/>
                <w:highlight w:val="none"/>
              </w:rPr>
            </w:pPr>
            <w:r>
              <w:rPr>
                <w:rFonts w:hint="default" w:ascii="Times New Roman" w:hAnsi="Times New Roman" w:eastAsia="宋体" w:cs="Times New Roman"/>
                <w:color w:val="000000"/>
                <w:highlight w:val="none"/>
              </w:rPr>
              <w:t>——持续性生物资源损害的补偿分3种情况，实际影响年限低于3年的，按3年补偿；实际影响年限为3年～20年的，按实际影响年限补偿；影响持续时间20年以上的，补偿计算时间不应低于20年。</w:t>
            </w:r>
          </w:p>
          <w:p w14:paraId="56F33466">
            <w:pPr>
              <w:ind w:firstLine="482" w:firstLineChars="200"/>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rPr>
              <w:t>（2）工程建设导致底栖</w:t>
            </w:r>
            <w:r>
              <w:rPr>
                <w:rFonts w:hint="eastAsia" w:cs="Times New Roman"/>
                <w:b/>
                <w:bCs/>
                <w:color w:val="000000"/>
                <w:highlight w:val="none"/>
                <w:lang w:eastAsia="zh-CN"/>
              </w:rPr>
              <w:t>生物</w:t>
            </w:r>
            <w:r>
              <w:rPr>
                <w:rFonts w:hint="default" w:ascii="Times New Roman" w:hAnsi="Times New Roman" w:cs="Times New Roman"/>
                <w:b/>
                <w:bCs/>
                <w:color w:val="000000"/>
                <w:highlight w:val="none"/>
              </w:rPr>
              <w:t>量损失的货币化估算</w:t>
            </w:r>
          </w:p>
          <w:p w14:paraId="421DC62B">
            <w:pPr>
              <w:adjustRightInd/>
              <w:snapToGrid/>
              <w:ind w:firstLine="480"/>
              <w:rPr>
                <w:rFonts w:hint="default" w:ascii="Times New Roman" w:hAnsi="Times New Roman" w:eastAsia="宋体" w:cs="Times New Roman"/>
                <w:color w:val="000000"/>
                <w:szCs w:val="28"/>
                <w:highlight w:val="none"/>
                <w:u w:val="none"/>
                <w:lang w:val="en-US" w:eastAsia="zh-CN"/>
              </w:rPr>
            </w:pPr>
            <w:r>
              <w:rPr>
                <w:rFonts w:hint="default" w:ascii="Times New Roman" w:hAnsi="Times New Roman" w:eastAsia="宋体" w:cs="Times New Roman"/>
                <w:color w:val="000000"/>
                <w:szCs w:val="28"/>
                <w:highlight w:val="none"/>
                <w:u w:val="none"/>
                <w:lang w:val="en-US" w:eastAsia="zh-CN"/>
              </w:rPr>
              <w:t>根据《建设项目对海洋生物资源影响评价技术规程》（SC/T9110-2007），底栖生物经济损失计算：</w:t>
            </w:r>
          </w:p>
          <w:p w14:paraId="1AE1376F">
            <w:pPr>
              <w:ind w:firstLine="480"/>
              <w:jc w:val="center"/>
              <w:rPr>
                <w:rFonts w:hint="default" w:ascii="Times New Roman" w:hAnsi="Times New Roman" w:cs="Times New Roman"/>
                <w:color w:val="000000"/>
                <w:highlight w:val="none"/>
                <w:u w:val="none"/>
                <w:lang w:val="en-US" w:eastAsia="zh-CN"/>
              </w:rPr>
            </w:pPr>
            <w:r>
              <w:rPr>
                <w:rFonts w:hint="default" w:ascii="Times New Roman" w:hAnsi="Times New Roman" w:cs="Times New Roman"/>
                <w:color w:val="000000"/>
                <w:position w:val="-6"/>
                <w:highlight w:val="none"/>
                <w:u w:val="none"/>
              </w:rPr>
              <w:object>
                <v:shape id="_x0000_i1072" o:spt="75" type="#_x0000_t75" style="height:14.05pt;width:56pt;" o:ole="t" filled="f" o:preferrelative="t" stroked="f" coordsize="21600,21600">
                  <v:path/>
                  <v:fill on="f" focussize="0,0"/>
                  <v:stroke on="f"/>
                  <v:imagedata r:id="rId125" o:title=""/>
                  <o:lock v:ext="edit" aspectratio="t"/>
                  <w10:wrap type="none"/>
                  <w10:anchorlock/>
                </v:shape>
                <o:OLEObject Type="Embed" ProgID="Equation.KSEE3" ShapeID="_x0000_i1072" DrawAspect="Content" ObjectID="_1468075773" r:id="rId124">
                  <o:LockedField>false</o:LockedField>
                </o:OLEObject>
              </w:object>
            </w:r>
          </w:p>
          <w:p w14:paraId="71842D68">
            <w:pPr>
              <w:ind w:firstLine="480"/>
              <w:rPr>
                <w:rFonts w:hint="default" w:ascii="Times New Roman" w:hAnsi="Times New Roman" w:cs="Times New Roman"/>
                <w:color w:val="000000"/>
                <w:highlight w:val="none"/>
                <w:u w:val="none"/>
              </w:rPr>
            </w:pPr>
            <w:r>
              <w:rPr>
                <w:rFonts w:hint="default" w:ascii="Times New Roman" w:hAnsi="Times New Roman" w:cs="Times New Roman"/>
                <w:color w:val="000000"/>
                <w:highlight w:val="none"/>
                <w:u w:val="none"/>
              </w:rPr>
              <w:t>式中：</w:t>
            </w:r>
            <w:r>
              <w:rPr>
                <w:rFonts w:hint="default" w:ascii="Times New Roman" w:hAnsi="Times New Roman" w:cs="Times New Roman"/>
                <w:i/>
                <w:iCs/>
                <w:color w:val="000000"/>
                <w:highlight w:val="none"/>
                <w:u w:val="none"/>
                <w:lang w:val="en-US" w:eastAsia="zh-CN"/>
              </w:rPr>
              <w:t>M</w:t>
            </w:r>
            <w:r>
              <w:rPr>
                <w:rFonts w:hint="default" w:ascii="Times New Roman" w:hAnsi="Times New Roman" w:cs="Times New Roman"/>
                <w:color w:val="000000"/>
                <w:highlight w:val="none"/>
                <w:u w:val="none"/>
              </w:rPr>
              <w:t>——</w:t>
            </w:r>
            <w:r>
              <w:rPr>
                <w:rFonts w:hint="default" w:ascii="Times New Roman" w:hAnsi="Times New Roman" w:cs="Times New Roman"/>
                <w:color w:val="000000"/>
                <w:highlight w:val="none"/>
                <w:u w:val="none"/>
                <w:lang w:val="en-US" w:eastAsia="zh-CN"/>
              </w:rPr>
              <w:t>经济损失额</w:t>
            </w:r>
            <w:r>
              <w:rPr>
                <w:rFonts w:hint="default" w:ascii="Times New Roman" w:hAnsi="Times New Roman" w:cs="Times New Roman"/>
                <w:color w:val="000000"/>
                <w:highlight w:val="none"/>
                <w:u w:val="none"/>
                <w:lang w:eastAsia="zh-CN"/>
              </w:rPr>
              <w:t>，</w:t>
            </w:r>
            <w:r>
              <w:rPr>
                <w:rFonts w:hint="default" w:ascii="Times New Roman" w:hAnsi="Times New Roman" w:cs="Times New Roman"/>
                <w:color w:val="000000"/>
                <w:highlight w:val="none"/>
                <w:u w:val="none"/>
                <w:lang w:val="en-US" w:eastAsia="zh-CN"/>
              </w:rPr>
              <w:t>单位为元</w:t>
            </w:r>
            <w:r>
              <w:rPr>
                <w:rFonts w:hint="default" w:ascii="Times New Roman" w:hAnsi="Times New Roman" w:cs="Times New Roman"/>
                <w:color w:val="000000"/>
                <w:highlight w:val="none"/>
                <w:u w:val="none"/>
              </w:rPr>
              <w:t>；</w:t>
            </w:r>
          </w:p>
          <w:p w14:paraId="765FDAAD">
            <w:pPr>
              <w:ind w:firstLine="1200" w:firstLineChars="500"/>
              <w:rPr>
                <w:rFonts w:hint="default" w:ascii="Times New Roman" w:hAnsi="Times New Roman" w:eastAsia="宋体" w:cs="Times New Roman"/>
                <w:i/>
                <w:iCs/>
                <w:color w:val="000000"/>
                <w:highlight w:val="none"/>
                <w:u w:val="none"/>
                <w:lang w:eastAsia="zh-CN"/>
              </w:rPr>
            </w:pPr>
            <w:r>
              <w:rPr>
                <w:rFonts w:hint="default" w:ascii="Times New Roman" w:hAnsi="Times New Roman" w:cs="Times New Roman"/>
                <w:i/>
                <w:iCs/>
                <w:color w:val="000000"/>
                <w:highlight w:val="none"/>
                <w:u w:val="none"/>
                <w:lang w:val="en-US" w:eastAsia="zh-CN"/>
              </w:rPr>
              <w:t>W</w:t>
            </w:r>
            <w:r>
              <w:rPr>
                <w:rFonts w:hint="default" w:ascii="Times New Roman" w:hAnsi="Times New Roman" w:cs="Times New Roman"/>
                <w:color w:val="000000"/>
                <w:highlight w:val="none"/>
                <w:u w:val="none"/>
              </w:rPr>
              <w:t>——</w:t>
            </w:r>
            <w:r>
              <w:rPr>
                <w:rFonts w:hint="default" w:ascii="Times New Roman" w:hAnsi="Times New Roman" w:cs="Times New Roman"/>
                <w:i w:val="0"/>
                <w:iCs w:val="0"/>
                <w:color w:val="000000"/>
                <w:highlight w:val="none"/>
                <w:u w:val="none"/>
                <w:lang w:val="en-US" w:eastAsia="zh-CN"/>
              </w:rPr>
              <w:t>生物资源损失量，单位为千克（kg）</w:t>
            </w:r>
            <w:r>
              <w:rPr>
                <w:rFonts w:hint="default" w:ascii="Times New Roman" w:hAnsi="Times New Roman" w:cs="Times New Roman"/>
                <w:i w:val="0"/>
                <w:iCs w:val="0"/>
                <w:color w:val="000000"/>
                <w:highlight w:val="none"/>
                <w:u w:val="none"/>
                <w:lang w:eastAsia="zh-CN"/>
              </w:rPr>
              <w:t>；</w:t>
            </w:r>
          </w:p>
          <w:p w14:paraId="437D6C95">
            <w:pPr>
              <w:keepNext w:val="0"/>
              <w:keepLines w:val="0"/>
              <w:pageBreakBefore w:val="0"/>
              <w:widowControl w:val="0"/>
              <w:kinsoku/>
              <w:wordWrap/>
              <w:overflowPunct/>
              <w:topLinePunct w:val="0"/>
              <w:autoSpaceDE/>
              <w:autoSpaceDN/>
              <w:bidi w:val="0"/>
              <w:adjustRightInd/>
              <w:snapToGrid/>
              <w:ind w:firstLine="1200" w:firstLineChars="500"/>
              <w:textAlignment w:val="auto"/>
              <w:rPr>
                <w:rFonts w:hint="default" w:ascii="Times New Roman" w:hAnsi="Times New Roman" w:eastAsia="宋体" w:cs="Times New Roman"/>
                <w:b/>
                <w:bCs/>
                <w:color w:val="000000"/>
                <w:highlight w:val="none"/>
                <w:lang w:eastAsia="zh-CN"/>
              </w:rPr>
            </w:pPr>
            <w:r>
              <w:rPr>
                <w:rFonts w:hint="default" w:ascii="Times New Roman" w:hAnsi="Times New Roman" w:cs="Times New Roman"/>
                <w:i/>
                <w:iCs/>
                <w:color w:val="000000"/>
                <w:highlight w:val="none"/>
                <w:u w:val="none"/>
                <w:lang w:val="en-US" w:eastAsia="zh-CN"/>
              </w:rPr>
              <w:t>E</w:t>
            </w:r>
            <w:r>
              <w:rPr>
                <w:rFonts w:hint="default" w:ascii="Times New Roman" w:hAnsi="Times New Roman" w:cs="Times New Roman"/>
                <w:color w:val="000000"/>
                <w:highlight w:val="none"/>
                <w:u w:val="none"/>
              </w:rPr>
              <w:t>——</w:t>
            </w:r>
            <w:r>
              <w:rPr>
                <w:rFonts w:hint="default" w:ascii="Times New Roman" w:hAnsi="Times New Roman" w:cs="Times New Roman"/>
                <w:color w:val="000000"/>
                <w:highlight w:val="none"/>
                <w:u w:val="none"/>
                <w:lang w:val="en-US" w:eastAsia="zh-CN"/>
              </w:rPr>
              <w:t>生物资源的价格，单位为元每千克（元/kg）</w:t>
            </w:r>
            <w:r>
              <w:rPr>
                <w:rFonts w:hint="default" w:ascii="Times New Roman" w:hAnsi="Times New Roman" w:cs="Times New Roman"/>
                <w:color w:val="000000"/>
                <w:highlight w:val="none"/>
                <w:u w:val="none"/>
                <w:lang w:eastAsia="zh-CN"/>
              </w:rPr>
              <w:t>。</w:t>
            </w:r>
          </w:p>
          <w:p w14:paraId="46B6E56F">
            <w:pPr>
              <w:adjustRightInd/>
              <w:snapToGrid/>
              <w:ind w:firstLine="480"/>
              <w:rPr>
                <w:rFonts w:hint="default" w:ascii="Times New Roman" w:hAnsi="Times New Roman" w:eastAsia="宋体" w:cs="Times New Roman"/>
                <w:color w:val="000000"/>
                <w:szCs w:val="28"/>
                <w:highlight w:val="none"/>
                <w:u w:val="none"/>
                <w:lang w:val="en-US" w:eastAsia="zh-CN"/>
              </w:rPr>
            </w:pPr>
            <w:r>
              <w:rPr>
                <w:rFonts w:hint="default" w:ascii="Times New Roman" w:hAnsi="Times New Roman" w:eastAsia="宋体" w:cs="Times New Roman"/>
                <w:color w:val="000000"/>
                <w:szCs w:val="28"/>
                <w:highlight w:val="none"/>
                <w:u w:val="none"/>
                <w:lang w:val="en-US" w:eastAsia="zh-CN"/>
              </w:rPr>
              <w:t>①本工程防波堤工程占海造成的生物损失量属于长期的、不可逆的，因此损害补偿年限按不低于20年计算：</w:t>
            </w:r>
          </w:p>
          <w:p w14:paraId="1741D53D">
            <w:pPr>
              <w:adjustRightInd/>
              <w:snapToGrid/>
              <w:jc w:val="both"/>
              <w:rPr>
                <w:rFonts w:hint="default" w:ascii="Times New Roman" w:hAnsi="Times New Roman" w:eastAsia="宋体" w:cs="Times New Roman"/>
                <w:color w:val="000000"/>
                <w:szCs w:val="28"/>
                <w:highlight w:val="none"/>
                <w:u w:val="none"/>
                <w:lang w:val="en-US" w:eastAsia="zh-CN"/>
              </w:rPr>
            </w:pPr>
            <w:r>
              <w:rPr>
                <w:rFonts w:hint="default" w:ascii="Times New Roman" w:hAnsi="Times New Roman" w:eastAsia="宋体" w:cs="Times New Roman"/>
                <w:color w:val="000000"/>
                <w:szCs w:val="28"/>
                <w:highlight w:val="none"/>
                <w:u w:val="none"/>
                <w:lang w:val="en-US" w:eastAsia="zh-CN"/>
              </w:rPr>
              <w:t>底栖生物损失货币化估算=底栖生物损失量×20年×价格</w:t>
            </w:r>
          </w:p>
          <w:p w14:paraId="637EDECA">
            <w:pPr>
              <w:adjustRightInd/>
              <w:snapToGrid/>
              <w:ind w:firstLine="480"/>
              <w:rPr>
                <w:rFonts w:hint="default" w:ascii="Times New Roman" w:hAnsi="Times New Roman" w:eastAsia="宋体" w:cs="Times New Roman"/>
                <w:color w:val="000000"/>
                <w:szCs w:val="28"/>
                <w:highlight w:val="none"/>
                <w:u w:val="none"/>
                <w:lang w:val="en-US" w:eastAsia="zh-CN"/>
              </w:rPr>
            </w:pPr>
            <w:r>
              <w:rPr>
                <w:rFonts w:hint="default" w:ascii="Times New Roman" w:hAnsi="Times New Roman" w:eastAsia="宋体" w:cs="Times New Roman"/>
                <w:color w:val="000000"/>
                <w:szCs w:val="28"/>
                <w:highlight w:val="none"/>
                <w:u w:val="none"/>
                <w:lang w:val="en-US" w:eastAsia="zh-CN"/>
              </w:rPr>
              <w:t>底栖生物价格按10元/kg计算，底栖生物损失量为</w:t>
            </w:r>
            <w:r>
              <w:rPr>
                <w:rFonts w:hint="default" w:ascii="Times New Roman" w:hAnsi="Times New Roman" w:cs="Times New Roman"/>
                <w:color w:val="000000"/>
                <w:highlight w:val="none"/>
              </w:rPr>
              <w:t>3574.02kg</w:t>
            </w:r>
            <w:r>
              <w:rPr>
                <w:rFonts w:hint="default" w:ascii="Times New Roman" w:hAnsi="Times New Roman" w:eastAsia="宋体" w:cs="Times New Roman"/>
                <w:color w:val="000000"/>
                <w:szCs w:val="28"/>
                <w:highlight w:val="none"/>
                <w:u w:val="none"/>
                <w:lang w:val="en-US" w:eastAsia="zh-CN"/>
              </w:rPr>
              <w:t>，则项目占海共造成底栖生物损失货币化估算=</w:t>
            </w:r>
            <w:r>
              <w:rPr>
                <w:rFonts w:hint="default" w:ascii="Times New Roman" w:hAnsi="Times New Roman" w:cs="Times New Roman"/>
                <w:color w:val="000000"/>
                <w:highlight w:val="none"/>
              </w:rPr>
              <w:t>3574.02kg</w:t>
            </w:r>
            <w:r>
              <w:rPr>
                <w:rFonts w:hint="default" w:ascii="Times New Roman" w:hAnsi="Times New Roman" w:eastAsia="宋体" w:cs="Times New Roman"/>
                <w:color w:val="000000"/>
                <w:szCs w:val="28"/>
                <w:highlight w:val="none"/>
                <w:u w:val="none"/>
                <w:lang w:val="en-US" w:eastAsia="zh-CN"/>
              </w:rPr>
              <w:t>×20年×10元/kg=71.48万元。</w:t>
            </w:r>
          </w:p>
          <w:p w14:paraId="20825DB8">
            <w:pPr>
              <w:adjustRightInd/>
              <w:snapToGrid/>
              <w:ind w:firstLine="480"/>
              <w:rPr>
                <w:rFonts w:hint="default" w:ascii="Times New Roman" w:hAnsi="Times New Roman" w:eastAsia="宋体" w:cs="Times New Roman"/>
                <w:b w:val="0"/>
                <w:bCs w:val="0"/>
                <w:color w:val="000000"/>
                <w:szCs w:val="28"/>
                <w:highlight w:val="none"/>
                <w:u w:val="none"/>
                <w:lang w:val="en-US" w:eastAsia="zh-CN"/>
              </w:rPr>
            </w:pPr>
            <w:r>
              <w:rPr>
                <w:rFonts w:hint="default" w:ascii="Times New Roman" w:hAnsi="Times New Roman" w:eastAsia="宋体" w:cs="Times New Roman"/>
                <w:b w:val="0"/>
                <w:bCs w:val="0"/>
                <w:color w:val="000000"/>
                <w:szCs w:val="28"/>
                <w:highlight w:val="none"/>
                <w:u w:val="none"/>
                <w:lang w:val="en-US" w:eastAsia="zh-CN"/>
              </w:rPr>
              <w:t>②</w:t>
            </w:r>
            <w:r>
              <w:rPr>
                <w:rFonts w:hint="default" w:ascii="Times New Roman" w:hAnsi="Times New Roman" w:cs="Times New Roman"/>
                <w:color w:val="000000"/>
                <w:highlight w:val="none"/>
                <w:u w:val="none"/>
              </w:rPr>
              <w:t>本项目水上施工30个月</w:t>
            </w:r>
            <w:r>
              <w:rPr>
                <w:rFonts w:hint="default" w:ascii="Times New Roman" w:hAnsi="Times New Roman" w:cs="Times New Roman"/>
                <w:color w:val="000000"/>
                <w:highlight w:val="none"/>
                <w:u w:val="none"/>
                <w:lang w:eastAsia="zh-CN"/>
              </w:rPr>
              <w:t>，</w:t>
            </w:r>
            <w:r>
              <w:rPr>
                <w:rFonts w:hint="default" w:ascii="Times New Roman" w:hAnsi="Times New Roman" w:eastAsia="宋体" w:cs="Times New Roman"/>
                <w:color w:val="000000"/>
                <w:szCs w:val="28"/>
                <w:highlight w:val="none"/>
                <w:u w:val="none"/>
                <w:lang w:val="en-US" w:eastAsia="zh-CN"/>
              </w:rPr>
              <w:t>施工栈桥桩基占海造成的生物损失量属于短期的，因此损害补偿年限按3年计算：</w:t>
            </w:r>
          </w:p>
          <w:p w14:paraId="7A461AD8">
            <w:pPr>
              <w:adjustRightInd/>
              <w:snapToGrid/>
              <w:jc w:val="both"/>
              <w:rPr>
                <w:rFonts w:hint="default" w:ascii="Times New Roman" w:hAnsi="Times New Roman" w:eastAsia="宋体" w:cs="Times New Roman"/>
                <w:color w:val="000000"/>
                <w:szCs w:val="28"/>
                <w:highlight w:val="none"/>
                <w:u w:val="none"/>
                <w:lang w:val="en-US" w:eastAsia="zh-CN"/>
              </w:rPr>
            </w:pPr>
            <w:r>
              <w:rPr>
                <w:rFonts w:hint="default" w:ascii="Times New Roman" w:hAnsi="Times New Roman" w:eastAsia="宋体" w:cs="Times New Roman"/>
                <w:color w:val="000000"/>
                <w:szCs w:val="28"/>
                <w:highlight w:val="none"/>
                <w:u w:val="none"/>
                <w:lang w:val="en-US" w:eastAsia="zh-CN"/>
              </w:rPr>
              <w:t>底栖生物损失货币化估算=底栖生物损失量×3年×价格</w:t>
            </w:r>
          </w:p>
          <w:p w14:paraId="3B1C4257">
            <w:pPr>
              <w:adjustRightInd/>
              <w:snapToGrid/>
              <w:ind w:firstLine="480"/>
              <w:rPr>
                <w:rFonts w:hint="default" w:ascii="Times New Roman" w:hAnsi="Times New Roman" w:eastAsia="宋体" w:cs="Times New Roman"/>
                <w:b w:val="0"/>
                <w:bCs w:val="0"/>
                <w:color w:val="000000"/>
                <w:szCs w:val="28"/>
                <w:highlight w:val="none"/>
                <w:u w:val="none"/>
              </w:rPr>
            </w:pPr>
            <w:r>
              <w:rPr>
                <w:rFonts w:hint="default" w:ascii="Times New Roman" w:hAnsi="Times New Roman" w:eastAsia="宋体" w:cs="Times New Roman"/>
                <w:color w:val="000000"/>
                <w:szCs w:val="28"/>
                <w:highlight w:val="none"/>
                <w:u w:val="none"/>
                <w:lang w:val="en-US" w:eastAsia="zh-CN"/>
              </w:rPr>
              <w:t>底栖生物价格按10元/kg计算，底栖生物损失量为</w:t>
            </w:r>
            <w:r>
              <w:rPr>
                <w:rFonts w:hint="default" w:ascii="Times New Roman" w:hAnsi="Times New Roman" w:cs="Times New Roman"/>
                <w:color w:val="000000"/>
                <w:highlight w:val="none"/>
                <w:lang w:val="en-US" w:eastAsia="zh-CN"/>
              </w:rPr>
              <w:t>0.18</w:t>
            </w:r>
            <w:r>
              <w:rPr>
                <w:rFonts w:hint="default" w:ascii="Times New Roman" w:hAnsi="Times New Roman" w:cs="Times New Roman"/>
                <w:color w:val="000000"/>
                <w:highlight w:val="none"/>
              </w:rPr>
              <w:t>kg</w:t>
            </w:r>
            <w:r>
              <w:rPr>
                <w:rFonts w:hint="default" w:ascii="Times New Roman" w:hAnsi="Times New Roman" w:eastAsia="宋体" w:cs="Times New Roman"/>
                <w:color w:val="000000"/>
                <w:szCs w:val="28"/>
                <w:highlight w:val="none"/>
                <w:u w:val="none"/>
                <w:lang w:val="en-US" w:eastAsia="zh-CN"/>
              </w:rPr>
              <w:t>，则项目施工桩基占海共造成底栖生物损失货币化估算=</w:t>
            </w:r>
            <w:r>
              <w:rPr>
                <w:rFonts w:hint="default" w:ascii="Times New Roman" w:hAnsi="Times New Roman" w:cs="Times New Roman"/>
                <w:color w:val="000000"/>
                <w:highlight w:val="none"/>
                <w:lang w:val="en-US" w:eastAsia="zh-CN"/>
              </w:rPr>
              <w:t>0.18</w:t>
            </w:r>
            <w:r>
              <w:rPr>
                <w:rFonts w:hint="default" w:ascii="Times New Roman" w:hAnsi="Times New Roman" w:cs="Times New Roman"/>
                <w:color w:val="000000"/>
                <w:highlight w:val="none"/>
              </w:rPr>
              <w:t>kg</w:t>
            </w:r>
            <w:r>
              <w:rPr>
                <w:rFonts w:hint="default" w:ascii="Times New Roman" w:hAnsi="Times New Roman" w:eastAsia="宋体" w:cs="Times New Roman"/>
                <w:color w:val="000000"/>
                <w:szCs w:val="28"/>
                <w:highlight w:val="none"/>
                <w:u w:val="none"/>
                <w:lang w:val="en-US" w:eastAsia="zh-CN"/>
              </w:rPr>
              <w:t>×3年×10元/kg=0.0005万元。</w:t>
            </w:r>
          </w:p>
          <w:p w14:paraId="131AACF2">
            <w:pPr>
              <w:adjustRightInd/>
              <w:snapToGrid/>
              <w:ind w:firstLine="480"/>
              <w:rPr>
                <w:rFonts w:hint="default" w:ascii="Times New Roman" w:hAnsi="Times New Roman" w:eastAsia="宋体" w:cs="Times New Roman"/>
                <w:b w:val="0"/>
                <w:bCs w:val="0"/>
                <w:color w:val="000000"/>
                <w:szCs w:val="28"/>
                <w:highlight w:val="none"/>
                <w:u w:val="none"/>
                <w:lang w:val="en-US" w:eastAsia="zh-CN"/>
              </w:rPr>
            </w:pPr>
            <w:r>
              <w:rPr>
                <w:rFonts w:hint="default" w:ascii="Times New Roman" w:hAnsi="Times New Roman" w:eastAsia="宋体" w:cs="Times New Roman"/>
                <w:b w:val="0"/>
                <w:bCs w:val="0"/>
                <w:color w:val="000000"/>
                <w:szCs w:val="28"/>
                <w:highlight w:val="none"/>
                <w:u w:val="none"/>
                <w:lang w:val="en-US" w:eastAsia="zh-CN"/>
              </w:rPr>
              <w:t>③本项目港池疏浚施工期为2个月，造成的生物损失量属于短期的，因此</w:t>
            </w:r>
            <w:r>
              <w:rPr>
                <w:rFonts w:hint="default" w:ascii="Times New Roman" w:hAnsi="Times New Roman" w:eastAsia="宋体" w:cs="Times New Roman"/>
                <w:color w:val="000000"/>
                <w:szCs w:val="28"/>
                <w:highlight w:val="none"/>
                <w:u w:val="none"/>
                <w:lang w:val="en-US" w:eastAsia="zh-CN"/>
              </w:rPr>
              <w:t>损害补偿年限按3年计算：</w:t>
            </w:r>
          </w:p>
          <w:p w14:paraId="55FED642">
            <w:pPr>
              <w:adjustRightInd/>
              <w:snapToGrid/>
              <w:ind w:firstLine="480" w:firstLineChars="200"/>
              <w:jc w:val="both"/>
              <w:rPr>
                <w:rFonts w:hint="default" w:ascii="Times New Roman" w:hAnsi="Times New Roman" w:eastAsia="宋体" w:cs="Times New Roman"/>
                <w:color w:val="000000"/>
                <w:szCs w:val="28"/>
                <w:highlight w:val="none"/>
                <w:u w:val="none"/>
                <w:lang w:val="en-US" w:eastAsia="zh-CN"/>
              </w:rPr>
            </w:pPr>
            <w:r>
              <w:rPr>
                <w:rFonts w:hint="default" w:ascii="Times New Roman" w:hAnsi="Times New Roman" w:eastAsia="宋体" w:cs="Times New Roman"/>
                <w:color w:val="000000"/>
                <w:szCs w:val="28"/>
                <w:highlight w:val="none"/>
                <w:u w:val="none"/>
                <w:lang w:val="en-US" w:eastAsia="zh-CN"/>
              </w:rPr>
              <w:t>底栖生物损失货币化估算=底栖生物损失量×3年×价格</w:t>
            </w:r>
          </w:p>
          <w:p w14:paraId="69DD6601">
            <w:pPr>
              <w:ind w:firstLine="480" w:firstLineChars="200"/>
              <w:rPr>
                <w:rFonts w:hint="default" w:ascii="Times New Roman" w:hAnsi="Times New Roman" w:eastAsia="宋体" w:cs="Times New Roman"/>
                <w:b w:val="0"/>
                <w:bCs w:val="0"/>
                <w:color w:val="000000"/>
                <w:szCs w:val="28"/>
                <w:highlight w:val="none"/>
                <w:u w:val="none"/>
                <w:lang w:val="en-US" w:eastAsia="zh-CN"/>
              </w:rPr>
            </w:pPr>
            <w:r>
              <w:rPr>
                <w:rFonts w:hint="default" w:ascii="Times New Roman" w:hAnsi="Times New Roman" w:eastAsia="宋体" w:cs="Times New Roman"/>
                <w:color w:val="000000"/>
                <w:szCs w:val="28"/>
                <w:highlight w:val="none"/>
                <w:u w:val="none"/>
                <w:lang w:val="en-US" w:eastAsia="zh-CN"/>
              </w:rPr>
              <w:t>底栖生物价格按10元/kg计算，底栖生物损失量为</w:t>
            </w:r>
            <w:r>
              <w:rPr>
                <w:rFonts w:hint="default" w:ascii="Times New Roman" w:hAnsi="Times New Roman" w:cs="Times New Roman"/>
                <w:color w:val="000000"/>
                <w:highlight w:val="none"/>
              </w:rPr>
              <w:t>171.70kg</w:t>
            </w:r>
            <w:r>
              <w:rPr>
                <w:rFonts w:hint="default" w:ascii="Times New Roman" w:hAnsi="Times New Roman" w:eastAsia="宋体" w:cs="Times New Roman"/>
                <w:color w:val="000000"/>
                <w:szCs w:val="28"/>
                <w:highlight w:val="none"/>
                <w:u w:val="none"/>
                <w:lang w:val="en-US" w:eastAsia="zh-CN"/>
              </w:rPr>
              <w:t>，则项目施工桩基占海共造成底栖生物损失货币化估算=</w:t>
            </w:r>
            <w:r>
              <w:rPr>
                <w:rFonts w:hint="default" w:ascii="Times New Roman" w:hAnsi="Times New Roman" w:cs="Times New Roman"/>
                <w:color w:val="000000"/>
                <w:highlight w:val="none"/>
              </w:rPr>
              <w:t>171.70kg</w:t>
            </w:r>
            <w:r>
              <w:rPr>
                <w:rFonts w:hint="default" w:ascii="Times New Roman" w:hAnsi="Times New Roman" w:eastAsia="宋体" w:cs="Times New Roman"/>
                <w:color w:val="000000"/>
                <w:szCs w:val="28"/>
                <w:highlight w:val="none"/>
                <w:u w:val="none"/>
                <w:lang w:val="en-US" w:eastAsia="zh-CN"/>
              </w:rPr>
              <w:t>×3年×10元/kg=0.5151万元。</w:t>
            </w:r>
          </w:p>
          <w:p w14:paraId="32321EE9">
            <w:pPr>
              <w:ind w:firstLine="480" w:firstLineChars="200"/>
              <w:rPr>
                <w:rFonts w:hint="default" w:ascii="Times New Roman" w:hAnsi="Times New Roman" w:cs="Times New Roman"/>
                <w:color w:val="000000"/>
                <w:highlight w:val="none"/>
                <w:u w:val="none"/>
              </w:rPr>
            </w:pPr>
            <w:r>
              <w:rPr>
                <w:rFonts w:hint="default" w:ascii="Times New Roman" w:hAnsi="Times New Roman" w:eastAsia="宋体" w:cs="Times New Roman"/>
                <w:b w:val="0"/>
                <w:bCs w:val="0"/>
                <w:color w:val="000000"/>
                <w:szCs w:val="28"/>
                <w:highlight w:val="none"/>
                <w:u w:val="none"/>
                <w:lang w:val="en-US" w:eastAsia="zh-CN"/>
              </w:rPr>
              <w:t>综上所述，工程占海导致底栖生物损失的货币化估算为71.9956万元。</w:t>
            </w:r>
          </w:p>
          <w:p w14:paraId="5A4C6C32">
            <w:pPr>
              <w:ind w:firstLine="482" w:firstLineChars="200"/>
              <w:rPr>
                <w:rFonts w:hint="default" w:ascii="Times New Roman" w:hAnsi="Times New Roman" w:eastAsia="宋体" w:cs="Times New Roman"/>
                <w:b/>
                <w:bCs/>
                <w:color w:val="000000"/>
                <w:highlight w:val="none"/>
                <w:lang w:eastAsia="zh-CN"/>
              </w:rPr>
            </w:pP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3</w:t>
            </w:r>
            <w:r>
              <w:rPr>
                <w:rFonts w:hint="default" w:ascii="Times New Roman" w:hAnsi="Times New Roman" w:cs="Times New Roman"/>
                <w:b/>
                <w:bCs/>
                <w:color w:val="000000"/>
                <w:highlight w:val="none"/>
                <w:lang w:eastAsia="zh-CN"/>
              </w:rPr>
              <w:t>）施工悬浮泥沙入海造成海洋生物损失的货币化估算</w:t>
            </w:r>
          </w:p>
          <w:p w14:paraId="1F7E9A2A">
            <w:pPr>
              <w:adjustRightInd/>
              <w:snapToGrid/>
              <w:ind w:firstLine="480"/>
              <w:rPr>
                <w:rFonts w:hint="default" w:ascii="Times New Roman" w:hAnsi="Times New Roman" w:eastAsia="宋体" w:cs="Times New Roman"/>
                <w:color w:val="000000"/>
                <w:szCs w:val="28"/>
                <w:highlight w:val="none"/>
                <w:u w:val="none"/>
                <w:lang w:val="en-US" w:eastAsia="zh-CN"/>
              </w:rPr>
            </w:pPr>
            <w:r>
              <w:rPr>
                <w:rFonts w:hint="default" w:ascii="Times New Roman" w:hAnsi="Times New Roman" w:eastAsia="宋体" w:cs="Times New Roman"/>
                <w:color w:val="000000"/>
                <w:szCs w:val="28"/>
                <w:highlight w:val="none"/>
                <w:u w:val="none"/>
                <w:lang w:val="en-US" w:eastAsia="zh-CN"/>
              </w:rPr>
              <w:t>①根据《建设项目对海洋生物资源影响评价技术规程》（SC/T9110-2007），鱼卵、仔稚鱼的经济价值应折算成鱼苗进行计算。鱼卵、仔稚鱼经济价值按下式计算：</w:t>
            </w:r>
          </w:p>
          <w:p w14:paraId="52CCF406">
            <w:pPr>
              <w:ind w:firstLine="480"/>
              <w:jc w:val="center"/>
              <w:rPr>
                <w:rFonts w:hint="default" w:ascii="Times New Roman" w:hAnsi="Times New Roman" w:cs="Times New Roman"/>
                <w:color w:val="000000"/>
                <w:highlight w:val="none"/>
                <w:u w:val="none"/>
                <w:lang w:val="en-US" w:eastAsia="zh-CN"/>
              </w:rPr>
            </w:pPr>
            <w:r>
              <w:rPr>
                <w:rFonts w:hint="default" w:ascii="Times New Roman" w:hAnsi="Times New Roman" w:cs="Times New Roman"/>
                <w:color w:val="000000"/>
                <w:position w:val="-6"/>
                <w:highlight w:val="none"/>
                <w:u w:val="none"/>
              </w:rPr>
              <w:object>
                <v:shape id="_x0000_i1073" o:spt="75" type="#_x0000_t75" style="height:14.05pt;width:74pt;" o:ole="t" filled="f" o:preferrelative="t" stroked="f" coordsize="21600,21600">
                  <v:path/>
                  <v:fill on="f" focussize="0,0"/>
                  <v:stroke on="f"/>
                  <v:imagedata r:id="rId127" o:title=""/>
                  <o:lock v:ext="edit" aspectratio="t"/>
                  <w10:wrap type="none"/>
                  <w10:anchorlock/>
                </v:shape>
                <o:OLEObject Type="Embed" ProgID="Equation.KSEE3" ShapeID="_x0000_i1073" DrawAspect="Content" ObjectID="_1468075774" r:id="rId126">
                  <o:LockedField>false</o:LockedField>
                </o:OLEObject>
              </w:object>
            </w:r>
          </w:p>
          <w:p w14:paraId="3765658B">
            <w:pPr>
              <w:ind w:firstLine="480"/>
              <w:rPr>
                <w:rFonts w:hint="default" w:ascii="Times New Roman" w:hAnsi="Times New Roman" w:cs="Times New Roman"/>
                <w:color w:val="000000"/>
                <w:highlight w:val="none"/>
                <w:u w:val="none"/>
              </w:rPr>
            </w:pPr>
            <w:r>
              <w:rPr>
                <w:rFonts w:hint="default" w:ascii="Times New Roman" w:hAnsi="Times New Roman" w:cs="Times New Roman"/>
                <w:color w:val="000000"/>
                <w:highlight w:val="none"/>
                <w:u w:val="none"/>
              </w:rPr>
              <w:t>式中：</w:t>
            </w:r>
            <w:r>
              <w:rPr>
                <w:rFonts w:hint="default" w:ascii="Times New Roman" w:hAnsi="Times New Roman" w:cs="Times New Roman"/>
                <w:i/>
                <w:iCs/>
                <w:color w:val="000000"/>
                <w:highlight w:val="none"/>
                <w:u w:val="none"/>
                <w:lang w:val="en-US" w:eastAsia="zh-CN"/>
              </w:rPr>
              <w:t>M</w:t>
            </w:r>
            <w:r>
              <w:rPr>
                <w:rFonts w:hint="default" w:ascii="Times New Roman" w:hAnsi="Times New Roman" w:cs="Times New Roman"/>
                <w:color w:val="000000"/>
                <w:highlight w:val="none"/>
                <w:u w:val="none"/>
              </w:rPr>
              <w:t>——</w:t>
            </w:r>
            <w:r>
              <w:rPr>
                <w:rFonts w:hint="default" w:ascii="Times New Roman" w:hAnsi="Times New Roman" w:cs="Times New Roman"/>
                <w:color w:val="000000"/>
                <w:highlight w:val="none"/>
                <w:u w:val="none"/>
                <w:lang w:val="en-US" w:eastAsia="zh-CN"/>
              </w:rPr>
              <w:t>鱼卵和仔稚鱼经济损失金额</w:t>
            </w:r>
            <w:r>
              <w:rPr>
                <w:rFonts w:hint="default" w:ascii="Times New Roman" w:hAnsi="Times New Roman" w:cs="Times New Roman"/>
                <w:color w:val="000000"/>
                <w:highlight w:val="none"/>
                <w:u w:val="none"/>
                <w:lang w:eastAsia="zh-CN"/>
              </w:rPr>
              <w:t>，</w:t>
            </w:r>
            <w:r>
              <w:rPr>
                <w:rFonts w:hint="default" w:ascii="Times New Roman" w:hAnsi="Times New Roman" w:cs="Times New Roman"/>
                <w:color w:val="000000"/>
                <w:highlight w:val="none"/>
                <w:u w:val="none"/>
                <w:lang w:val="en-US" w:eastAsia="zh-CN"/>
              </w:rPr>
              <w:t>单位为元</w:t>
            </w:r>
            <w:r>
              <w:rPr>
                <w:rFonts w:hint="default" w:ascii="Times New Roman" w:hAnsi="Times New Roman" w:cs="Times New Roman"/>
                <w:color w:val="000000"/>
                <w:highlight w:val="none"/>
                <w:u w:val="none"/>
              </w:rPr>
              <w:t>；</w:t>
            </w:r>
          </w:p>
          <w:p w14:paraId="35DE0CE8">
            <w:pPr>
              <w:ind w:firstLine="1200" w:firstLineChars="500"/>
              <w:rPr>
                <w:rFonts w:hint="default" w:ascii="Times New Roman" w:hAnsi="Times New Roman" w:cs="Times New Roman"/>
                <w:i/>
                <w:iCs/>
                <w:color w:val="000000"/>
                <w:highlight w:val="none"/>
                <w:u w:val="none"/>
              </w:rPr>
            </w:pPr>
            <w:r>
              <w:rPr>
                <w:rFonts w:hint="default" w:ascii="Times New Roman" w:hAnsi="Times New Roman" w:cs="Times New Roman"/>
                <w:i/>
                <w:iCs/>
                <w:color w:val="000000"/>
                <w:highlight w:val="none"/>
                <w:u w:val="none"/>
                <w:lang w:val="en-US" w:eastAsia="zh-CN"/>
              </w:rPr>
              <w:t>W</w:t>
            </w:r>
            <w:r>
              <w:rPr>
                <w:rFonts w:hint="default" w:ascii="Times New Roman" w:hAnsi="Times New Roman" w:cs="Times New Roman"/>
                <w:color w:val="000000"/>
                <w:highlight w:val="none"/>
                <w:u w:val="none"/>
              </w:rPr>
              <w:t>——</w:t>
            </w:r>
            <w:r>
              <w:rPr>
                <w:rFonts w:hint="default" w:ascii="Times New Roman" w:hAnsi="Times New Roman" w:cs="Times New Roman"/>
                <w:color w:val="000000"/>
                <w:highlight w:val="none"/>
                <w:u w:val="none"/>
                <w:lang w:val="en-US" w:eastAsia="zh-CN"/>
              </w:rPr>
              <w:t>鱼卵和仔稚鱼</w:t>
            </w:r>
            <w:r>
              <w:rPr>
                <w:rFonts w:hint="default" w:ascii="Times New Roman" w:hAnsi="Times New Roman" w:cs="Times New Roman"/>
                <w:i w:val="0"/>
                <w:iCs w:val="0"/>
                <w:color w:val="000000"/>
                <w:highlight w:val="none"/>
                <w:u w:val="none"/>
                <w:lang w:val="en-US" w:eastAsia="zh-CN"/>
              </w:rPr>
              <w:t>损失量，单位为个、尾；</w:t>
            </w:r>
          </w:p>
          <w:p w14:paraId="4B5EBF74">
            <w:pPr>
              <w:keepNext w:val="0"/>
              <w:keepLines w:val="0"/>
              <w:pageBreakBefore w:val="0"/>
              <w:widowControl w:val="0"/>
              <w:kinsoku/>
              <w:wordWrap/>
              <w:overflowPunct/>
              <w:topLinePunct w:val="0"/>
              <w:autoSpaceDE/>
              <w:autoSpaceDN/>
              <w:bidi w:val="0"/>
              <w:adjustRightInd/>
              <w:snapToGrid/>
              <w:ind w:firstLine="1200" w:firstLineChars="500"/>
              <w:textAlignment w:val="auto"/>
              <w:rPr>
                <w:rFonts w:hint="default" w:ascii="Times New Roman" w:hAnsi="Times New Roman" w:cs="Times New Roman"/>
                <w:i/>
                <w:iCs/>
                <w:color w:val="000000"/>
                <w:highlight w:val="none"/>
                <w:u w:val="none"/>
                <w:lang w:val="en-US" w:eastAsia="zh-CN"/>
              </w:rPr>
            </w:pPr>
            <w:r>
              <w:rPr>
                <w:rFonts w:hint="default" w:ascii="Times New Roman" w:hAnsi="Times New Roman" w:cs="Times New Roman"/>
                <w:i/>
                <w:iCs/>
                <w:color w:val="000000"/>
                <w:highlight w:val="none"/>
                <w:u w:val="none"/>
                <w:lang w:val="en-US" w:eastAsia="zh-CN"/>
              </w:rPr>
              <w:t>P</w:t>
            </w:r>
            <w:r>
              <w:rPr>
                <w:rFonts w:hint="default" w:ascii="Times New Roman" w:hAnsi="Times New Roman" w:cs="Times New Roman"/>
                <w:color w:val="000000"/>
                <w:highlight w:val="none"/>
                <w:u w:val="none"/>
              </w:rPr>
              <w:t>——</w:t>
            </w:r>
            <w:r>
              <w:rPr>
                <w:rFonts w:hint="default" w:ascii="Times New Roman" w:hAnsi="Times New Roman" w:cs="Times New Roman"/>
                <w:color w:val="000000"/>
                <w:highlight w:val="none"/>
                <w:u w:val="none"/>
                <w:lang w:val="en-US" w:eastAsia="zh-CN"/>
              </w:rPr>
              <w:t>鱼卵和仔稚鱼折算为鱼苗的换算比例，鱼卵生长到商品鱼苗按1%成活率计算，仔稚鱼生长到商品鱼苗按5%成活率计算，单位为百分比（%）；</w:t>
            </w:r>
          </w:p>
          <w:p w14:paraId="280D185F">
            <w:pPr>
              <w:keepNext w:val="0"/>
              <w:keepLines w:val="0"/>
              <w:pageBreakBefore w:val="0"/>
              <w:widowControl w:val="0"/>
              <w:kinsoku/>
              <w:wordWrap/>
              <w:overflowPunct/>
              <w:topLinePunct w:val="0"/>
              <w:autoSpaceDE/>
              <w:autoSpaceDN/>
              <w:bidi w:val="0"/>
              <w:adjustRightInd/>
              <w:snapToGrid/>
              <w:ind w:firstLine="1200" w:firstLineChars="500"/>
              <w:textAlignment w:val="auto"/>
              <w:rPr>
                <w:rFonts w:hint="default" w:ascii="Times New Roman" w:hAnsi="Times New Roman" w:eastAsia="宋体" w:cs="Times New Roman"/>
                <w:b/>
                <w:bCs/>
                <w:color w:val="000000"/>
                <w:highlight w:val="none"/>
                <w:lang w:eastAsia="zh-CN"/>
              </w:rPr>
            </w:pPr>
            <w:r>
              <w:rPr>
                <w:rFonts w:hint="default" w:ascii="Times New Roman" w:hAnsi="Times New Roman" w:cs="Times New Roman"/>
                <w:i/>
                <w:iCs/>
                <w:color w:val="000000"/>
                <w:highlight w:val="none"/>
                <w:u w:val="none"/>
                <w:lang w:val="en-US" w:eastAsia="zh-CN"/>
              </w:rPr>
              <w:t>E</w:t>
            </w:r>
            <w:r>
              <w:rPr>
                <w:rFonts w:hint="default" w:ascii="Times New Roman" w:hAnsi="Times New Roman" w:cs="Times New Roman"/>
                <w:color w:val="000000"/>
                <w:highlight w:val="none"/>
                <w:u w:val="none"/>
              </w:rPr>
              <w:t>——</w:t>
            </w:r>
            <w:r>
              <w:rPr>
                <w:rFonts w:hint="default" w:ascii="Times New Roman" w:hAnsi="Times New Roman" w:cs="Times New Roman"/>
                <w:color w:val="000000"/>
                <w:highlight w:val="none"/>
                <w:u w:val="none"/>
                <w:lang w:val="en-US" w:eastAsia="zh-CN"/>
              </w:rPr>
              <w:t>鱼苗的商品价格，单位为元/尾</w:t>
            </w:r>
            <w:r>
              <w:rPr>
                <w:rFonts w:hint="default" w:ascii="Times New Roman" w:hAnsi="Times New Roman" w:cs="Times New Roman"/>
                <w:color w:val="000000"/>
                <w:highlight w:val="none"/>
                <w:u w:val="none"/>
                <w:lang w:eastAsia="zh-CN"/>
              </w:rPr>
              <w:t>，按照目前平均为0.5元/尾。</w:t>
            </w:r>
          </w:p>
          <w:p w14:paraId="00C98B3C">
            <w:pPr>
              <w:adjustRightInd/>
              <w:snapToGrid/>
              <w:ind w:firstLine="480"/>
              <w:rPr>
                <w:rFonts w:hint="default" w:ascii="Times New Roman" w:hAnsi="Times New Roman" w:eastAsia="宋体" w:cs="Times New Roman"/>
                <w:color w:val="000000"/>
                <w:szCs w:val="28"/>
                <w:highlight w:val="none"/>
                <w:u w:val="none"/>
                <w:lang w:val="en-US" w:eastAsia="zh-CN"/>
              </w:rPr>
            </w:pPr>
            <w:r>
              <w:rPr>
                <w:rFonts w:hint="default" w:ascii="Times New Roman" w:hAnsi="Times New Roman" w:eastAsia="宋体" w:cs="Times New Roman"/>
                <w:color w:val="000000"/>
                <w:szCs w:val="28"/>
                <w:highlight w:val="none"/>
                <w:u w:val="none"/>
                <w:lang w:val="en-US" w:eastAsia="zh-CN"/>
              </w:rPr>
              <w:t>②成体生物资源经济价值按下式计算：</w:t>
            </w:r>
          </w:p>
          <w:p w14:paraId="202159F7">
            <w:pPr>
              <w:ind w:firstLine="480"/>
              <w:jc w:val="center"/>
              <w:rPr>
                <w:rFonts w:hint="default" w:ascii="Times New Roman" w:hAnsi="Times New Roman" w:cs="Times New Roman"/>
                <w:color w:val="000000"/>
                <w:highlight w:val="none"/>
                <w:u w:val="none"/>
                <w:lang w:val="en-US" w:eastAsia="zh-CN"/>
              </w:rPr>
            </w:pPr>
            <w:r>
              <w:rPr>
                <w:rFonts w:hint="default" w:ascii="Times New Roman" w:hAnsi="Times New Roman" w:cs="Times New Roman"/>
                <w:color w:val="000000"/>
                <w:position w:val="-12"/>
                <w:highlight w:val="none"/>
                <w:u w:val="none"/>
              </w:rPr>
              <w:object>
                <v:shape id="_x0000_i1074" o:spt="75" type="#_x0000_t75" style="height:18.15pt;width:62pt;" o:ole="t" filled="f" o:preferrelative="t" stroked="f" coordsize="21600,21600">
                  <v:path/>
                  <v:fill on="f" focussize="0,0"/>
                  <v:stroke on="f"/>
                  <v:imagedata r:id="rId129" o:title=""/>
                  <o:lock v:ext="edit" aspectratio="t"/>
                  <w10:wrap type="none"/>
                  <w10:anchorlock/>
                </v:shape>
                <o:OLEObject Type="Embed" ProgID="Equation.KSEE3" ShapeID="_x0000_i1074" DrawAspect="Content" ObjectID="_1468075775" r:id="rId128">
                  <o:LockedField>false</o:LockedField>
                </o:OLEObject>
              </w:object>
            </w:r>
          </w:p>
          <w:p w14:paraId="5D2C8E3E">
            <w:pPr>
              <w:ind w:firstLine="480"/>
              <w:rPr>
                <w:rFonts w:hint="default" w:ascii="Times New Roman" w:hAnsi="Times New Roman" w:cs="Times New Roman"/>
                <w:color w:val="000000"/>
                <w:highlight w:val="none"/>
                <w:u w:val="none"/>
              </w:rPr>
            </w:pPr>
            <w:r>
              <w:rPr>
                <w:rFonts w:hint="default" w:ascii="Times New Roman" w:hAnsi="Times New Roman" w:cs="Times New Roman"/>
                <w:color w:val="000000"/>
                <w:highlight w:val="none"/>
                <w:u w:val="none"/>
              </w:rPr>
              <w:t>式中：</w:t>
            </w:r>
            <w:r>
              <w:rPr>
                <w:rFonts w:hint="default" w:ascii="Times New Roman" w:hAnsi="Times New Roman" w:cs="Times New Roman"/>
                <w:i/>
                <w:iCs/>
                <w:color w:val="000000"/>
                <w:highlight w:val="none"/>
                <w:u w:val="none"/>
                <w:lang w:val="en-US" w:eastAsia="zh-CN"/>
              </w:rPr>
              <w:t>M</w:t>
            </w:r>
            <w:r>
              <w:rPr>
                <w:rFonts w:hint="default" w:ascii="Times New Roman" w:hAnsi="Times New Roman" w:cs="Times New Roman"/>
                <w:i/>
                <w:iCs/>
                <w:color w:val="000000"/>
                <w:highlight w:val="none"/>
                <w:u w:val="none"/>
                <w:vertAlign w:val="subscript"/>
                <w:lang w:val="en-US" w:eastAsia="zh-CN"/>
              </w:rPr>
              <w:t>i</w:t>
            </w:r>
            <w:r>
              <w:rPr>
                <w:rFonts w:hint="default" w:ascii="Times New Roman" w:hAnsi="Times New Roman" w:cs="Times New Roman"/>
                <w:color w:val="000000"/>
                <w:highlight w:val="none"/>
                <w:u w:val="none"/>
              </w:rPr>
              <w:t>——</w:t>
            </w:r>
            <w:r>
              <w:rPr>
                <w:rFonts w:hint="default" w:ascii="Times New Roman" w:hAnsi="Times New Roman" w:cs="Times New Roman"/>
                <w:color w:val="000000"/>
                <w:highlight w:val="none"/>
                <w:u w:val="none"/>
                <w:lang w:val="en-US" w:eastAsia="zh-CN"/>
              </w:rPr>
              <w:t>第</w:t>
            </w:r>
            <w:r>
              <w:rPr>
                <w:rFonts w:hint="default" w:ascii="Times New Roman" w:hAnsi="Times New Roman" w:cs="Times New Roman"/>
                <w:i/>
                <w:iCs/>
                <w:color w:val="000000"/>
                <w:highlight w:val="none"/>
                <w:u w:val="none"/>
                <w:lang w:val="en-US" w:eastAsia="zh-CN"/>
              </w:rPr>
              <w:t>i</w:t>
            </w:r>
            <w:r>
              <w:rPr>
                <w:rFonts w:hint="default" w:ascii="Times New Roman" w:hAnsi="Times New Roman" w:cs="Times New Roman"/>
                <w:color w:val="000000"/>
                <w:highlight w:val="none"/>
                <w:u w:val="none"/>
                <w:lang w:val="en-US" w:eastAsia="zh-CN"/>
              </w:rPr>
              <w:t>种类生物体成体生物资源的经济损失额</w:t>
            </w:r>
            <w:r>
              <w:rPr>
                <w:rFonts w:hint="default" w:ascii="Times New Roman" w:hAnsi="Times New Roman" w:cs="Times New Roman"/>
                <w:color w:val="000000"/>
                <w:highlight w:val="none"/>
                <w:u w:val="none"/>
                <w:lang w:eastAsia="zh-CN"/>
              </w:rPr>
              <w:t>，</w:t>
            </w:r>
            <w:r>
              <w:rPr>
                <w:rFonts w:hint="default" w:ascii="Times New Roman" w:hAnsi="Times New Roman" w:cs="Times New Roman"/>
                <w:color w:val="000000"/>
                <w:highlight w:val="none"/>
                <w:u w:val="none"/>
                <w:lang w:val="en-US" w:eastAsia="zh-CN"/>
              </w:rPr>
              <w:t>单位为元</w:t>
            </w:r>
            <w:r>
              <w:rPr>
                <w:rFonts w:hint="default" w:ascii="Times New Roman" w:hAnsi="Times New Roman" w:cs="Times New Roman"/>
                <w:color w:val="000000"/>
                <w:highlight w:val="none"/>
                <w:u w:val="none"/>
              </w:rPr>
              <w:t>；</w:t>
            </w:r>
          </w:p>
          <w:p w14:paraId="35526D9F">
            <w:pPr>
              <w:ind w:firstLine="1200" w:firstLineChars="500"/>
              <w:rPr>
                <w:rFonts w:hint="default" w:ascii="Times New Roman" w:hAnsi="Times New Roman" w:cs="Times New Roman"/>
                <w:i/>
                <w:iCs/>
                <w:color w:val="000000"/>
                <w:highlight w:val="none"/>
                <w:u w:val="none"/>
              </w:rPr>
            </w:pPr>
            <w:r>
              <w:rPr>
                <w:rFonts w:hint="default" w:ascii="Times New Roman" w:hAnsi="Times New Roman" w:cs="Times New Roman"/>
                <w:i/>
                <w:iCs/>
                <w:color w:val="000000"/>
                <w:highlight w:val="none"/>
                <w:u w:val="none"/>
                <w:lang w:val="en-US" w:eastAsia="zh-CN"/>
              </w:rPr>
              <w:t>W</w:t>
            </w:r>
            <w:r>
              <w:rPr>
                <w:rFonts w:hint="default" w:ascii="Times New Roman" w:hAnsi="Times New Roman" w:cs="Times New Roman"/>
                <w:i/>
                <w:iCs/>
                <w:color w:val="000000"/>
                <w:highlight w:val="none"/>
                <w:u w:val="none"/>
                <w:vertAlign w:val="subscript"/>
                <w:lang w:val="en-US" w:eastAsia="zh-CN"/>
              </w:rPr>
              <w:t>i</w:t>
            </w:r>
            <w:r>
              <w:rPr>
                <w:rFonts w:hint="default" w:ascii="Times New Roman" w:hAnsi="Times New Roman" w:cs="Times New Roman"/>
                <w:color w:val="000000"/>
                <w:highlight w:val="none"/>
                <w:u w:val="none"/>
              </w:rPr>
              <w:t>——</w:t>
            </w:r>
            <w:r>
              <w:rPr>
                <w:rFonts w:hint="default" w:ascii="Times New Roman" w:hAnsi="Times New Roman" w:cs="Times New Roman"/>
                <w:color w:val="000000"/>
                <w:highlight w:val="none"/>
                <w:u w:val="none"/>
                <w:lang w:val="en-US" w:eastAsia="zh-CN"/>
              </w:rPr>
              <w:t>第</w:t>
            </w:r>
            <w:r>
              <w:rPr>
                <w:rFonts w:hint="default" w:ascii="Times New Roman" w:hAnsi="Times New Roman" w:cs="Times New Roman"/>
                <w:i/>
                <w:iCs/>
                <w:color w:val="000000"/>
                <w:highlight w:val="none"/>
                <w:u w:val="none"/>
                <w:lang w:val="en-US" w:eastAsia="zh-CN"/>
              </w:rPr>
              <w:t>i</w:t>
            </w:r>
            <w:r>
              <w:rPr>
                <w:rFonts w:hint="default" w:ascii="Times New Roman" w:hAnsi="Times New Roman" w:cs="Times New Roman"/>
                <w:color w:val="000000"/>
                <w:highlight w:val="none"/>
                <w:u w:val="none"/>
                <w:lang w:val="en-US" w:eastAsia="zh-CN"/>
              </w:rPr>
              <w:t>种类生物体成体生物资源损失的资源量，单位为千克（kg）</w:t>
            </w:r>
            <w:r>
              <w:rPr>
                <w:rFonts w:hint="default" w:ascii="Times New Roman" w:hAnsi="Times New Roman" w:cs="Times New Roman"/>
                <w:i w:val="0"/>
                <w:iCs w:val="0"/>
                <w:color w:val="000000"/>
                <w:highlight w:val="none"/>
                <w:u w:val="none"/>
                <w:lang w:val="en-US" w:eastAsia="zh-CN"/>
              </w:rPr>
              <w:t>；</w:t>
            </w:r>
          </w:p>
          <w:p w14:paraId="6FD87356">
            <w:pPr>
              <w:keepNext w:val="0"/>
              <w:keepLines w:val="0"/>
              <w:pageBreakBefore w:val="0"/>
              <w:widowControl w:val="0"/>
              <w:kinsoku/>
              <w:wordWrap/>
              <w:overflowPunct/>
              <w:topLinePunct w:val="0"/>
              <w:autoSpaceDE/>
              <w:autoSpaceDN/>
              <w:bidi w:val="0"/>
              <w:adjustRightInd/>
              <w:snapToGrid/>
              <w:ind w:firstLine="1200" w:firstLineChars="500"/>
              <w:textAlignment w:val="auto"/>
              <w:rPr>
                <w:rFonts w:hint="default" w:ascii="Times New Roman" w:hAnsi="Times New Roman" w:eastAsia="宋体" w:cs="Times New Roman"/>
                <w:b/>
                <w:bCs/>
                <w:color w:val="000000"/>
                <w:highlight w:val="none"/>
                <w:lang w:eastAsia="zh-CN"/>
              </w:rPr>
            </w:pPr>
            <w:r>
              <w:rPr>
                <w:rFonts w:hint="default" w:ascii="Times New Roman" w:hAnsi="Times New Roman" w:cs="Times New Roman"/>
                <w:i/>
                <w:iCs/>
                <w:color w:val="000000"/>
                <w:highlight w:val="none"/>
                <w:u w:val="none"/>
                <w:lang w:val="en-US" w:eastAsia="zh-CN"/>
              </w:rPr>
              <w:t>E</w:t>
            </w:r>
            <w:r>
              <w:rPr>
                <w:rFonts w:hint="default" w:ascii="Times New Roman" w:hAnsi="Times New Roman" w:cs="Times New Roman"/>
                <w:i/>
                <w:iCs/>
                <w:color w:val="000000"/>
                <w:highlight w:val="none"/>
                <w:u w:val="none"/>
                <w:vertAlign w:val="subscript"/>
                <w:lang w:val="en-US" w:eastAsia="zh-CN"/>
              </w:rPr>
              <w:t>i</w:t>
            </w:r>
            <w:r>
              <w:rPr>
                <w:rFonts w:hint="default" w:ascii="Times New Roman" w:hAnsi="Times New Roman" w:cs="Times New Roman"/>
                <w:color w:val="000000"/>
                <w:highlight w:val="none"/>
                <w:u w:val="none"/>
              </w:rPr>
              <w:t>——</w:t>
            </w:r>
            <w:r>
              <w:rPr>
                <w:rFonts w:hint="default" w:ascii="Times New Roman" w:hAnsi="Times New Roman" w:cs="Times New Roman"/>
                <w:color w:val="000000"/>
                <w:highlight w:val="none"/>
                <w:u w:val="none"/>
                <w:lang w:val="en-US" w:eastAsia="zh-CN"/>
              </w:rPr>
              <w:t>第</w:t>
            </w:r>
            <w:r>
              <w:rPr>
                <w:rFonts w:hint="default" w:ascii="Times New Roman" w:hAnsi="Times New Roman" w:cs="Times New Roman"/>
                <w:i/>
                <w:iCs/>
                <w:color w:val="000000"/>
                <w:highlight w:val="none"/>
                <w:u w:val="none"/>
                <w:lang w:val="en-US" w:eastAsia="zh-CN"/>
              </w:rPr>
              <w:t>i</w:t>
            </w:r>
            <w:r>
              <w:rPr>
                <w:rFonts w:hint="default" w:ascii="Times New Roman" w:hAnsi="Times New Roman" w:cs="Times New Roman"/>
                <w:color w:val="000000"/>
                <w:highlight w:val="none"/>
                <w:u w:val="none"/>
                <w:lang w:val="en-US" w:eastAsia="zh-CN"/>
              </w:rPr>
              <w:t>种类生物的商品价格，单位为元每千克（元/kg），游泳动物按30元/kg计。</w:t>
            </w:r>
          </w:p>
          <w:p w14:paraId="7B98F325">
            <w:pPr>
              <w:adjustRightInd/>
              <w:snapToGrid/>
              <w:ind w:firstLine="480"/>
              <w:rPr>
                <w:rFonts w:hint="default" w:ascii="Times New Roman" w:hAnsi="Times New Roman" w:eastAsia="宋体" w:cs="Times New Roman"/>
                <w:color w:val="000000"/>
                <w:szCs w:val="28"/>
                <w:highlight w:val="none"/>
                <w:u w:val="none"/>
              </w:rPr>
            </w:pPr>
            <w:r>
              <w:rPr>
                <w:rFonts w:hint="default" w:ascii="Times New Roman" w:hAnsi="Times New Roman" w:eastAsia="宋体" w:cs="Times New Roman"/>
                <w:color w:val="000000"/>
                <w:szCs w:val="28"/>
                <w:highlight w:val="none"/>
                <w:u w:val="none"/>
              </w:rPr>
              <w:t>本项目施工悬浮泥沙实际影响年限低于3年，应按3年补偿。</w:t>
            </w:r>
          </w:p>
          <w:p w14:paraId="7F90C68B">
            <w:pPr>
              <w:adjustRightInd/>
              <w:snapToGrid/>
              <w:ind w:firstLine="480"/>
              <w:rPr>
                <w:rFonts w:hint="default" w:ascii="Times New Roman" w:hAnsi="Times New Roman" w:eastAsia="宋体" w:cs="Times New Roman"/>
                <w:color w:val="000000"/>
                <w:szCs w:val="28"/>
                <w:highlight w:val="none"/>
                <w:u w:val="none"/>
              </w:rPr>
            </w:pPr>
            <w:r>
              <w:rPr>
                <w:rFonts w:hint="default" w:ascii="Times New Roman" w:hAnsi="Times New Roman" w:eastAsia="宋体" w:cs="Times New Roman"/>
                <w:color w:val="000000"/>
                <w:szCs w:val="28"/>
                <w:highlight w:val="none"/>
                <w:u w:val="none"/>
              </w:rPr>
              <w:t>施工悬浮泥沙入海造成的海洋生物经济损失＝施工悬浮泥沙入海造成的海洋生物损失量×3×换算比例×价格。</w:t>
            </w:r>
          </w:p>
          <w:p w14:paraId="776681A6">
            <w:pPr>
              <w:adjustRightInd/>
              <w:snapToGrid/>
              <w:ind w:firstLine="480"/>
              <w:rPr>
                <w:rFonts w:hint="default" w:ascii="Times New Roman" w:hAnsi="Times New Roman" w:eastAsia="宋体" w:cs="Times New Roman"/>
                <w:b w:val="0"/>
                <w:bCs w:val="0"/>
                <w:color w:val="000000"/>
                <w:szCs w:val="28"/>
                <w:highlight w:val="none"/>
                <w:u w:val="none"/>
              </w:rPr>
            </w:pPr>
            <w:r>
              <w:rPr>
                <w:rFonts w:hint="default" w:ascii="Times New Roman" w:hAnsi="Times New Roman" w:eastAsia="宋体" w:cs="Times New Roman"/>
                <w:color w:val="000000"/>
                <w:szCs w:val="28"/>
                <w:highlight w:val="none"/>
                <w:u w:val="none"/>
              </w:rPr>
              <w:t>施工悬浮泥沙入海造成的海洋生物经济损失估算约</w:t>
            </w:r>
            <w:r>
              <w:rPr>
                <w:rFonts w:hint="default" w:ascii="Times New Roman" w:hAnsi="Times New Roman" w:eastAsia="宋体" w:cs="Times New Roman"/>
                <w:color w:val="000000"/>
                <w:highlight w:val="none"/>
                <w:u w:val="none"/>
                <w:lang w:val="en-US" w:eastAsia="zh-CN"/>
              </w:rPr>
              <w:t>168.84万元</w:t>
            </w:r>
            <w:r>
              <w:rPr>
                <w:rFonts w:hint="default" w:ascii="Times New Roman" w:hAnsi="Times New Roman" w:eastAsia="宋体" w:cs="Times New Roman"/>
                <w:b w:val="0"/>
                <w:bCs w:val="0"/>
                <w:color w:val="000000"/>
                <w:szCs w:val="28"/>
                <w:highlight w:val="none"/>
                <w:u w:val="none"/>
              </w:rPr>
              <w:t>，详见</w:t>
            </w:r>
            <w:r>
              <w:rPr>
                <w:rFonts w:hint="default" w:ascii="Times New Roman" w:hAnsi="Times New Roman" w:eastAsia="宋体" w:cs="Times New Roman"/>
                <w:b w:val="0"/>
                <w:bCs w:val="0"/>
                <w:color w:val="000000"/>
                <w:szCs w:val="28"/>
                <w:highlight w:val="none"/>
                <w:u w:val="none"/>
                <w:lang w:val="en-US"/>
              </w:rPr>
              <w:fldChar w:fldCharType="begin"/>
            </w:r>
            <w:r>
              <w:rPr>
                <w:rFonts w:hint="default" w:ascii="Times New Roman" w:hAnsi="Times New Roman" w:eastAsia="宋体" w:cs="Times New Roman"/>
                <w:b w:val="0"/>
                <w:bCs w:val="0"/>
                <w:color w:val="000000"/>
                <w:szCs w:val="28"/>
                <w:highlight w:val="none"/>
                <w:u w:val="none"/>
                <w:lang w:val="en-US"/>
              </w:rPr>
              <w:instrText xml:space="preserve"> REF _Ref20792 \h </w:instrText>
            </w:r>
            <w:r>
              <w:rPr>
                <w:rFonts w:hint="default" w:ascii="Times New Roman" w:hAnsi="Times New Roman" w:eastAsia="宋体" w:cs="Times New Roman"/>
                <w:b w:val="0"/>
                <w:bCs w:val="0"/>
                <w:color w:val="000000"/>
                <w:szCs w:val="28"/>
                <w:highlight w:val="none"/>
                <w:u w:val="none"/>
                <w:lang w:val="en-US"/>
              </w:rPr>
              <w:fldChar w:fldCharType="separate"/>
            </w:r>
            <w:r>
              <w:rPr>
                <w:rFonts w:hint="default" w:ascii="Times New Roman" w:hAnsi="Times New Roman" w:eastAsia="宋体" w:cs="Times New Roman"/>
                <w:b w:val="0"/>
                <w:bCs w:val="0"/>
                <w:color w:val="000000"/>
                <w:kern w:val="2"/>
                <w:sz w:val="24"/>
                <w:szCs w:val="28"/>
                <w:highlight w:val="none"/>
                <w:u w:val="none"/>
                <w:lang w:val="en-US" w:eastAsia="zh-CN" w:bidi="ar-SA"/>
              </w:rPr>
              <w:t>表</w:t>
            </w:r>
            <w:r>
              <w:rPr>
                <w:rFonts w:hint="default" w:ascii="Times New Roman" w:hAnsi="Times New Roman" w:eastAsia="宋体" w:cs="Times New Roman"/>
                <w:b w:val="0"/>
                <w:bCs w:val="0"/>
                <w:color w:val="000000"/>
                <w:kern w:val="2"/>
                <w:sz w:val="24"/>
                <w:szCs w:val="28"/>
                <w:highlight w:val="none"/>
                <w:u w:val="none"/>
                <w:lang w:val="en-US" w:eastAsia="zh-CN" w:bidi="ar-SA"/>
              </w:rPr>
              <w:fldChar w:fldCharType="begin"/>
            </w:r>
            <w:r>
              <w:rPr>
                <w:rFonts w:hint="default" w:ascii="Times New Roman" w:hAnsi="Times New Roman" w:eastAsia="宋体" w:cs="Times New Roman"/>
                <w:b w:val="0"/>
                <w:bCs w:val="0"/>
                <w:color w:val="000000"/>
                <w:kern w:val="2"/>
                <w:sz w:val="24"/>
                <w:szCs w:val="28"/>
                <w:highlight w:val="none"/>
                <w:u w:val="none"/>
                <w:lang w:val="en-US" w:eastAsia="zh-CN" w:bidi="ar-SA"/>
              </w:rPr>
              <w:instrText xml:space="preserve"> STYLEREF 2 \s </w:instrText>
            </w:r>
            <w:r>
              <w:rPr>
                <w:rFonts w:hint="default" w:ascii="Times New Roman" w:hAnsi="Times New Roman" w:eastAsia="宋体" w:cs="Times New Roman"/>
                <w:b w:val="0"/>
                <w:bCs w:val="0"/>
                <w:color w:val="000000"/>
                <w:kern w:val="2"/>
                <w:sz w:val="24"/>
                <w:szCs w:val="28"/>
                <w:highlight w:val="none"/>
                <w:u w:val="none"/>
                <w:lang w:val="en-US" w:eastAsia="zh-CN" w:bidi="ar-SA"/>
              </w:rPr>
              <w:fldChar w:fldCharType="separate"/>
            </w:r>
            <w:r>
              <w:rPr>
                <w:rFonts w:hint="default" w:ascii="Times New Roman" w:hAnsi="Times New Roman" w:eastAsia="宋体" w:cs="Times New Roman"/>
                <w:b w:val="0"/>
                <w:bCs w:val="0"/>
                <w:color w:val="000000"/>
                <w:kern w:val="2"/>
                <w:sz w:val="24"/>
                <w:szCs w:val="28"/>
                <w:highlight w:val="none"/>
                <w:u w:val="none"/>
                <w:lang w:val="en-US" w:eastAsia="zh-CN" w:bidi="ar-SA"/>
              </w:rPr>
              <w:t>4.3</w:t>
            </w:r>
            <w:r>
              <w:rPr>
                <w:rFonts w:hint="default" w:ascii="Times New Roman" w:hAnsi="Times New Roman" w:eastAsia="宋体" w:cs="Times New Roman"/>
                <w:b w:val="0"/>
                <w:bCs w:val="0"/>
                <w:color w:val="000000"/>
                <w:kern w:val="2"/>
                <w:sz w:val="24"/>
                <w:szCs w:val="28"/>
                <w:highlight w:val="none"/>
                <w:u w:val="none"/>
                <w:lang w:val="en-US" w:eastAsia="zh-CN" w:bidi="ar-SA"/>
              </w:rPr>
              <w:fldChar w:fldCharType="end"/>
            </w:r>
            <w:r>
              <w:rPr>
                <w:rFonts w:hint="default" w:ascii="Times New Roman" w:hAnsi="Times New Roman" w:eastAsia="宋体" w:cs="Times New Roman"/>
                <w:b w:val="0"/>
                <w:bCs w:val="0"/>
                <w:color w:val="000000"/>
                <w:kern w:val="2"/>
                <w:sz w:val="24"/>
                <w:szCs w:val="28"/>
                <w:highlight w:val="none"/>
                <w:u w:val="none"/>
                <w:lang w:val="en-US" w:eastAsia="zh-CN" w:bidi="ar-SA"/>
              </w:rPr>
              <w:t>-9</w:t>
            </w:r>
            <w:r>
              <w:rPr>
                <w:rFonts w:hint="default" w:ascii="Times New Roman" w:hAnsi="Times New Roman" w:eastAsia="宋体" w:cs="Times New Roman"/>
                <w:b w:val="0"/>
                <w:bCs w:val="0"/>
                <w:color w:val="000000"/>
                <w:szCs w:val="28"/>
                <w:highlight w:val="none"/>
                <w:u w:val="none"/>
                <w:lang w:val="en-US"/>
              </w:rPr>
              <w:fldChar w:fldCharType="end"/>
            </w:r>
            <w:r>
              <w:rPr>
                <w:rFonts w:hint="default" w:ascii="Times New Roman" w:hAnsi="Times New Roman" w:eastAsia="宋体" w:cs="Times New Roman"/>
                <w:b w:val="0"/>
                <w:bCs w:val="0"/>
                <w:color w:val="000000"/>
                <w:szCs w:val="28"/>
                <w:highlight w:val="none"/>
                <w:u w:val="none"/>
              </w:rPr>
              <w:t>。</w:t>
            </w:r>
          </w:p>
          <w:p w14:paraId="5EC7DC8E">
            <w:pPr>
              <w:widowControl w:val="0"/>
              <w:bidi w:val="0"/>
              <w:adjustRightInd/>
              <w:snapToGrid/>
              <w:spacing w:line="240" w:lineRule="auto"/>
              <w:ind w:firstLine="0" w:firstLineChars="0"/>
              <w:jc w:val="center"/>
              <w:rPr>
                <w:rFonts w:hint="default" w:ascii="Times New Roman" w:hAnsi="Times New Roman" w:eastAsia="宋体" w:cs="Times New Roman"/>
                <w:b/>
                <w:color w:val="000000"/>
                <w:kern w:val="2"/>
                <w:sz w:val="24"/>
                <w:szCs w:val="28"/>
                <w:highlight w:val="none"/>
                <w:u w:val="none"/>
                <w:lang w:val="en-US" w:eastAsia="zh-CN" w:bidi="ar-SA"/>
              </w:rPr>
            </w:pPr>
            <w:bookmarkStart w:id="340" w:name="_Ref20792"/>
            <w:bookmarkStart w:id="341" w:name="_Ref19545"/>
            <w:r>
              <w:rPr>
                <w:rFonts w:hint="default" w:ascii="Times New Roman" w:hAnsi="Times New Roman" w:eastAsia="宋体" w:cs="Times New Roman"/>
                <w:b/>
                <w:color w:val="000000"/>
                <w:kern w:val="2"/>
                <w:sz w:val="24"/>
                <w:szCs w:val="28"/>
                <w:highlight w:val="none"/>
                <w:u w:val="none"/>
                <w:lang w:val="en-US" w:eastAsia="zh-CN" w:bidi="ar-SA"/>
              </w:rPr>
              <w:t>表</w:t>
            </w:r>
            <w:r>
              <w:rPr>
                <w:rFonts w:hint="default" w:ascii="Times New Roman" w:hAnsi="Times New Roman" w:eastAsia="宋体" w:cs="Times New Roman"/>
                <w:b/>
                <w:color w:val="000000"/>
                <w:kern w:val="2"/>
                <w:sz w:val="24"/>
                <w:szCs w:val="28"/>
                <w:highlight w:val="none"/>
                <w:u w:val="none"/>
                <w:lang w:val="en-US" w:eastAsia="zh-CN" w:bidi="ar-SA"/>
              </w:rPr>
              <w:fldChar w:fldCharType="begin"/>
            </w:r>
            <w:r>
              <w:rPr>
                <w:rFonts w:hint="default" w:ascii="Times New Roman" w:hAnsi="Times New Roman" w:eastAsia="宋体" w:cs="Times New Roman"/>
                <w:b/>
                <w:color w:val="000000"/>
                <w:kern w:val="2"/>
                <w:sz w:val="24"/>
                <w:szCs w:val="28"/>
                <w:highlight w:val="none"/>
                <w:u w:val="none"/>
                <w:lang w:val="en-US" w:eastAsia="zh-CN" w:bidi="ar-SA"/>
              </w:rPr>
              <w:instrText xml:space="preserve"> STYLEREF 2 \s </w:instrText>
            </w:r>
            <w:r>
              <w:rPr>
                <w:rFonts w:hint="default" w:ascii="Times New Roman" w:hAnsi="Times New Roman" w:eastAsia="宋体" w:cs="Times New Roman"/>
                <w:b/>
                <w:color w:val="000000"/>
                <w:kern w:val="2"/>
                <w:sz w:val="24"/>
                <w:szCs w:val="28"/>
                <w:highlight w:val="none"/>
                <w:u w:val="none"/>
                <w:lang w:val="en-US" w:eastAsia="zh-CN" w:bidi="ar-SA"/>
              </w:rPr>
              <w:fldChar w:fldCharType="separate"/>
            </w:r>
            <w:r>
              <w:rPr>
                <w:rFonts w:hint="default" w:ascii="Times New Roman" w:hAnsi="Times New Roman" w:eastAsia="宋体" w:cs="Times New Roman"/>
                <w:b/>
                <w:color w:val="000000"/>
                <w:kern w:val="2"/>
                <w:sz w:val="24"/>
                <w:szCs w:val="28"/>
                <w:highlight w:val="none"/>
                <w:u w:val="none"/>
                <w:lang w:val="en-US" w:eastAsia="zh-CN" w:bidi="ar-SA"/>
              </w:rPr>
              <w:t>4.3</w:t>
            </w:r>
            <w:r>
              <w:rPr>
                <w:rFonts w:hint="default" w:ascii="Times New Roman" w:hAnsi="Times New Roman" w:eastAsia="宋体" w:cs="Times New Roman"/>
                <w:b/>
                <w:color w:val="000000"/>
                <w:kern w:val="2"/>
                <w:sz w:val="24"/>
                <w:szCs w:val="28"/>
                <w:highlight w:val="none"/>
                <w:u w:val="none"/>
                <w:lang w:val="en-US" w:eastAsia="zh-CN" w:bidi="ar-SA"/>
              </w:rPr>
              <w:fldChar w:fldCharType="end"/>
            </w:r>
            <w:r>
              <w:rPr>
                <w:rFonts w:hint="default" w:ascii="Times New Roman" w:hAnsi="Times New Roman" w:eastAsia="宋体" w:cs="Times New Roman"/>
                <w:b/>
                <w:color w:val="000000"/>
                <w:kern w:val="2"/>
                <w:sz w:val="24"/>
                <w:szCs w:val="28"/>
                <w:highlight w:val="none"/>
                <w:u w:val="none"/>
                <w:lang w:val="en-US" w:eastAsia="zh-CN" w:bidi="ar-SA"/>
              </w:rPr>
              <w:t>-</w:t>
            </w:r>
            <w:r>
              <w:rPr>
                <w:rFonts w:hint="default" w:ascii="Times New Roman" w:hAnsi="Times New Roman" w:eastAsia="宋体" w:cs="Times New Roman"/>
                <w:b/>
                <w:color w:val="000000"/>
                <w:kern w:val="2"/>
                <w:sz w:val="24"/>
                <w:szCs w:val="28"/>
                <w:highlight w:val="none"/>
                <w:u w:val="none"/>
                <w:lang w:val="en-US" w:eastAsia="zh-CN" w:bidi="ar-SA"/>
              </w:rPr>
              <w:fldChar w:fldCharType="begin"/>
            </w:r>
            <w:r>
              <w:rPr>
                <w:rFonts w:hint="default" w:ascii="Times New Roman" w:hAnsi="Times New Roman" w:eastAsia="宋体" w:cs="Times New Roman"/>
                <w:b/>
                <w:color w:val="000000"/>
                <w:kern w:val="2"/>
                <w:sz w:val="24"/>
                <w:szCs w:val="28"/>
                <w:highlight w:val="none"/>
                <w:u w:val="none"/>
                <w:lang w:val="en-US" w:eastAsia="zh-CN" w:bidi="ar-SA"/>
              </w:rPr>
              <w:instrText xml:space="preserve"> SEQ 表 \* ARABIC \s 2 </w:instrText>
            </w:r>
            <w:r>
              <w:rPr>
                <w:rFonts w:hint="default" w:ascii="Times New Roman" w:hAnsi="Times New Roman" w:eastAsia="宋体" w:cs="Times New Roman"/>
                <w:b/>
                <w:color w:val="000000"/>
                <w:kern w:val="2"/>
                <w:sz w:val="24"/>
                <w:szCs w:val="28"/>
                <w:highlight w:val="none"/>
                <w:u w:val="none"/>
                <w:lang w:val="en-US" w:eastAsia="zh-CN" w:bidi="ar-SA"/>
              </w:rPr>
              <w:fldChar w:fldCharType="separate"/>
            </w:r>
            <w:r>
              <w:rPr>
                <w:rFonts w:hint="default" w:ascii="Times New Roman" w:hAnsi="Times New Roman" w:eastAsia="宋体" w:cs="Times New Roman"/>
                <w:b/>
                <w:color w:val="000000"/>
                <w:kern w:val="2"/>
                <w:sz w:val="24"/>
                <w:szCs w:val="28"/>
                <w:highlight w:val="none"/>
                <w:u w:val="none"/>
                <w:lang w:val="en-US" w:eastAsia="zh-CN" w:bidi="ar-SA"/>
              </w:rPr>
              <w:t>9</w:t>
            </w:r>
            <w:r>
              <w:rPr>
                <w:rFonts w:hint="default" w:ascii="Times New Roman" w:hAnsi="Times New Roman" w:eastAsia="宋体" w:cs="Times New Roman"/>
                <w:b/>
                <w:color w:val="000000"/>
                <w:kern w:val="2"/>
                <w:sz w:val="24"/>
                <w:szCs w:val="28"/>
                <w:highlight w:val="none"/>
                <w:u w:val="none"/>
                <w:lang w:val="en-US" w:eastAsia="zh-CN" w:bidi="ar-SA"/>
              </w:rPr>
              <w:fldChar w:fldCharType="end"/>
            </w:r>
            <w:bookmarkEnd w:id="340"/>
            <w:r>
              <w:rPr>
                <w:rFonts w:hint="default" w:ascii="Times New Roman" w:hAnsi="Times New Roman" w:eastAsia="宋体" w:cs="Times New Roman"/>
                <w:b/>
                <w:color w:val="000000"/>
                <w:kern w:val="2"/>
                <w:sz w:val="24"/>
                <w:szCs w:val="28"/>
                <w:highlight w:val="none"/>
                <w:u w:val="none"/>
                <w:lang w:val="en-US" w:eastAsia="zh-CN" w:bidi="ar-SA"/>
              </w:rPr>
              <w:t xml:space="preserve"> 海洋生物资源损害货币化估算一览表</w:t>
            </w:r>
          </w:p>
          <w:tbl>
            <w:tblPr>
              <w:tblStyle w:val="22"/>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30"/>
              <w:gridCol w:w="1932"/>
              <w:gridCol w:w="1932"/>
              <w:gridCol w:w="1932"/>
            </w:tblGrid>
            <w:tr w14:paraId="06284F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1477" w:type="pct"/>
                  <w:noWrap w:val="0"/>
                  <w:vAlign w:val="center"/>
                </w:tcPr>
                <w:p w14:paraId="4D693007">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kern w:val="2"/>
                      <w:sz w:val="21"/>
                      <w:szCs w:val="28"/>
                      <w:highlight w:val="none"/>
                      <w:u w:val="none"/>
                      <w:lang w:val="en-US" w:eastAsia="zh-CN" w:bidi="ar-SA"/>
                    </w:rPr>
                  </w:pPr>
                  <w:r>
                    <w:rPr>
                      <w:rFonts w:hint="default" w:ascii="Times New Roman" w:hAnsi="Times New Roman" w:eastAsia="宋体" w:cs="Times New Roman"/>
                      <w:b/>
                      <w:bCs/>
                      <w:color w:val="000000"/>
                      <w:kern w:val="2"/>
                      <w:sz w:val="21"/>
                      <w:szCs w:val="28"/>
                      <w:highlight w:val="none"/>
                      <w:u w:val="none"/>
                      <w:lang w:val="en-US" w:eastAsia="zh-CN" w:bidi="ar-SA"/>
                    </w:rPr>
                    <w:t>项目</w:t>
                  </w:r>
                </w:p>
              </w:tc>
              <w:tc>
                <w:tcPr>
                  <w:tcW w:w="1174" w:type="pct"/>
                  <w:noWrap w:val="0"/>
                  <w:vAlign w:val="center"/>
                </w:tcPr>
                <w:p w14:paraId="19B68885">
                  <w:pPr>
                    <w:pStyle w:val="31"/>
                    <w:bidi w:val="0"/>
                    <w:rPr>
                      <w:rFonts w:hint="default" w:ascii="Times New Roman" w:hAnsi="Times New Roman" w:cs="Times New Roman"/>
                      <w:b/>
                      <w:bCs/>
                      <w:color w:val="000000"/>
                      <w:highlight w:val="none"/>
                      <w:u w:val="none"/>
                      <w:lang w:val="en-US" w:eastAsia="zh-CN"/>
                    </w:rPr>
                  </w:pPr>
                  <w:r>
                    <w:rPr>
                      <w:rFonts w:hint="default" w:ascii="Times New Roman" w:hAnsi="Times New Roman" w:eastAsia="宋体" w:cs="Times New Roman"/>
                      <w:b/>
                      <w:bCs/>
                      <w:color w:val="000000"/>
                      <w:highlight w:val="none"/>
                      <w:u w:val="none"/>
                      <w:lang w:val="en-US" w:eastAsia="zh-CN"/>
                    </w:rPr>
                    <w:t>鱼卵</w:t>
                  </w:r>
                </w:p>
              </w:tc>
              <w:tc>
                <w:tcPr>
                  <w:tcW w:w="1174" w:type="pct"/>
                  <w:noWrap w:val="0"/>
                  <w:vAlign w:val="center"/>
                </w:tcPr>
                <w:p w14:paraId="1BD6F236">
                  <w:pPr>
                    <w:pStyle w:val="31"/>
                    <w:bidi w:val="0"/>
                    <w:rPr>
                      <w:rFonts w:hint="default" w:ascii="Times New Roman" w:hAnsi="Times New Roman" w:cs="Times New Roman"/>
                      <w:b/>
                      <w:bCs/>
                      <w:color w:val="000000"/>
                      <w:highlight w:val="none"/>
                      <w:u w:val="none"/>
                      <w:lang w:val="en-US" w:eastAsia="zh-CN"/>
                    </w:rPr>
                  </w:pPr>
                  <w:r>
                    <w:rPr>
                      <w:rFonts w:hint="default" w:ascii="Times New Roman" w:hAnsi="Times New Roman" w:eastAsia="宋体" w:cs="Times New Roman"/>
                      <w:b/>
                      <w:bCs/>
                      <w:color w:val="000000"/>
                      <w:highlight w:val="none"/>
                      <w:u w:val="none"/>
                      <w:lang w:val="en-US" w:eastAsia="zh-CN"/>
                    </w:rPr>
                    <w:t>仔稚鱼</w:t>
                  </w:r>
                </w:p>
              </w:tc>
              <w:tc>
                <w:tcPr>
                  <w:tcW w:w="1174" w:type="pct"/>
                  <w:noWrap w:val="0"/>
                  <w:vAlign w:val="center"/>
                </w:tcPr>
                <w:p w14:paraId="5D3FBC09">
                  <w:pPr>
                    <w:pStyle w:val="31"/>
                    <w:bidi w:val="0"/>
                    <w:rPr>
                      <w:rFonts w:hint="default" w:ascii="Times New Roman" w:hAnsi="Times New Roman" w:cs="Times New Roman"/>
                      <w:b/>
                      <w:bCs/>
                      <w:color w:val="000000"/>
                      <w:highlight w:val="none"/>
                      <w:u w:val="none"/>
                      <w:lang w:val="en-US" w:eastAsia="zh-CN"/>
                    </w:rPr>
                  </w:pPr>
                  <w:r>
                    <w:rPr>
                      <w:rFonts w:hint="default" w:ascii="Times New Roman" w:hAnsi="Times New Roman" w:eastAsia="宋体" w:cs="Times New Roman"/>
                      <w:b/>
                      <w:bCs/>
                      <w:color w:val="000000"/>
                      <w:highlight w:val="none"/>
                      <w:u w:val="none"/>
                      <w:lang w:val="en-US" w:eastAsia="zh-CN"/>
                    </w:rPr>
                    <w:t>游泳动物</w:t>
                  </w:r>
                </w:p>
              </w:tc>
            </w:tr>
            <w:tr w14:paraId="07BDDD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77" w:type="pct"/>
                  <w:noWrap w:val="0"/>
                  <w:vAlign w:val="center"/>
                </w:tcPr>
                <w:p w14:paraId="31939FA2">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000000"/>
                      <w:kern w:val="2"/>
                      <w:sz w:val="21"/>
                      <w:szCs w:val="28"/>
                      <w:highlight w:val="none"/>
                      <w:u w:val="none"/>
                      <w:lang w:val="en-US" w:eastAsia="zh-CN" w:bidi="ar-SA"/>
                    </w:rPr>
                  </w:pPr>
                  <w:r>
                    <w:rPr>
                      <w:rFonts w:hint="default" w:ascii="Times New Roman" w:hAnsi="Times New Roman" w:eastAsia="宋体" w:cs="Times New Roman"/>
                      <w:b w:val="0"/>
                      <w:bCs w:val="0"/>
                      <w:color w:val="000000"/>
                      <w:kern w:val="2"/>
                      <w:sz w:val="21"/>
                      <w:szCs w:val="28"/>
                      <w:highlight w:val="none"/>
                      <w:u w:val="none"/>
                      <w:lang w:val="en-US" w:eastAsia="zh-CN" w:bidi="ar-SA"/>
                    </w:rPr>
                    <w:t>持续性受损量</w:t>
                  </w:r>
                </w:p>
              </w:tc>
              <w:tc>
                <w:tcPr>
                  <w:tcW w:w="2169" w:type="dxa"/>
                  <w:noWrap w:val="0"/>
                  <w:vAlign w:val="center"/>
                </w:tcPr>
                <w:p w14:paraId="4085256F">
                  <w:pPr>
                    <w:pStyle w:val="31"/>
                    <w:bidi w:val="0"/>
                    <w:ind w:firstLine="0" w:firstLineChars="0"/>
                    <w:jc w:val="center"/>
                    <w:rPr>
                      <w:rFonts w:hint="default" w:ascii="Times New Roman" w:hAnsi="Times New Roman" w:eastAsia="宋体" w:cs="Times New Roman"/>
                      <w:color w:val="000000"/>
                      <w:highlight w:val="none"/>
                      <w:u w:val="none"/>
                      <w:lang w:val="en-US" w:eastAsia="zh-CN"/>
                    </w:rPr>
                  </w:pPr>
                  <w:r>
                    <w:rPr>
                      <w:rFonts w:hint="default" w:ascii="Times New Roman" w:hAnsi="Times New Roman" w:cs="Times New Roman"/>
                      <w:color w:val="000000"/>
                      <w:sz w:val="21"/>
                      <w:szCs w:val="21"/>
                      <w:highlight w:val="none"/>
                      <w:u w:val="none"/>
                      <w:lang w:val="en-US" w:eastAsia="zh-CN"/>
                    </w:rPr>
                    <w:t>24.13×10</w:t>
                  </w:r>
                  <w:r>
                    <w:rPr>
                      <w:rFonts w:hint="default" w:ascii="Times New Roman" w:hAnsi="Times New Roman" w:cs="Times New Roman"/>
                      <w:color w:val="000000"/>
                      <w:sz w:val="21"/>
                      <w:szCs w:val="21"/>
                      <w:highlight w:val="none"/>
                      <w:u w:val="none"/>
                      <w:vertAlign w:val="superscript"/>
                      <w:lang w:val="en-US" w:eastAsia="zh-CN"/>
                    </w:rPr>
                    <w:t>6</w:t>
                  </w:r>
                  <w:r>
                    <w:rPr>
                      <w:rFonts w:hint="default" w:ascii="Times New Roman" w:hAnsi="Times New Roman" w:cs="Times New Roman"/>
                      <w:color w:val="000000"/>
                      <w:sz w:val="21"/>
                      <w:szCs w:val="21"/>
                      <w:highlight w:val="none"/>
                      <w:u w:val="none"/>
                      <w:lang w:val="en-US" w:eastAsia="zh-CN"/>
                    </w:rPr>
                    <w:t>粒</w:t>
                  </w:r>
                </w:p>
              </w:tc>
              <w:tc>
                <w:tcPr>
                  <w:tcW w:w="2169" w:type="dxa"/>
                  <w:noWrap w:val="0"/>
                  <w:vAlign w:val="center"/>
                </w:tcPr>
                <w:p w14:paraId="3D4F0ED6">
                  <w:pPr>
                    <w:pStyle w:val="31"/>
                    <w:bidi w:val="0"/>
                    <w:ind w:firstLine="0" w:firstLineChars="0"/>
                    <w:jc w:val="center"/>
                    <w:rPr>
                      <w:rFonts w:hint="default" w:ascii="Times New Roman" w:hAnsi="Times New Roman" w:eastAsia="宋体" w:cs="Times New Roman"/>
                      <w:color w:val="000000"/>
                      <w:highlight w:val="none"/>
                      <w:u w:val="none"/>
                      <w:lang w:val="en-US" w:eastAsia="zh-CN"/>
                    </w:rPr>
                  </w:pPr>
                  <w:r>
                    <w:rPr>
                      <w:rFonts w:hint="default" w:ascii="Times New Roman" w:hAnsi="Times New Roman" w:eastAsia="宋体" w:cs="Times New Roman"/>
                      <w:color w:val="000000"/>
                      <w:sz w:val="21"/>
                      <w:szCs w:val="21"/>
                      <w:highlight w:val="none"/>
                      <w:u w:val="none"/>
                      <w:lang w:val="en-US" w:eastAsia="zh-CN"/>
                    </w:rPr>
                    <w:t>15.57</w:t>
                  </w:r>
                  <w:r>
                    <w:rPr>
                      <w:rFonts w:hint="default" w:ascii="Times New Roman" w:hAnsi="Times New Roman" w:eastAsia="宋体" w:cs="Times New Roman"/>
                      <w:color w:val="000000"/>
                      <w:sz w:val="21"/>
                      <w:szCs w:val="21"/>
                      <w:highlight w:val="none"/>
                      <w:u w:val="none"/>
                    </w:rPr>
                    <w:t>×10</w:t>
                  </w:r>
                  <w:r>
                    <w:rPr>
                      <w:rFonts w:hint="default" w:ascii="Times New Roman" w:hAnsi="Times New Roman" w:eastAsia="宋体" w:cs="Times New Roman"/>
                      <w:color w:val="000000"/>
                      <w:sz w:val="21"/>
                      <w:szCs w:val="21"/>
                      <w:highlight w:val="none"/>
                      <w:u w:val="none"/>
                      <w:vertAlign w:val="superscript"/>
                      <w:lang w:val="en-US" w:eastAsia="zh-CN"/>
                    </w:rPr>
                    <w:t>6</w:t>
                  </w:r>
                  <w:r>
                    <w:rPr>
                      <w:rFonts w:hint="default" w:ascii="Times New Roman" w:hAnsi="Times New Roman" w:eastAsia="宋体" w:cs="Times New Roman"/>
                      <w:color w:val="000000"/>
                      <w:sz w:val="21"/>
                      <w:szCs w:val="21"/>
                      <w:highlight w:val="none"/>
                      <w:u w:val="none"/>
                      <w:lang w:val="en-US" w:eastAsia="zh-CN"/>
                    </w:rPr>
                    <w:t>尾</w:t>
                  </w:r>
                </w:p>
              </w:tc>
              <w:tc>
                <w:tcPr>
                  <w:tcW w:w="2169" w:type="dxa"/>
                  <w:noWrap w:val="0"/>
                  <w:vAlign w:val="center"/>
                </w:tcPr>
                <w:p w14:paraId="1A0F06B3">
                  <w:pPr>
                    <w:pStyle w:val="31"/>
                    <w:bidi w:val="0"/>
                    <w:ind w:firstLine="0" w:firstLineChars="0"/>
                    <w:jc w:val="center"/>
                    <w:rPr>
                      <w:rFonts w:hint="default" w:ascii="Times New Roman" w:hAnsi="Times New Roman" w:eastAsia="宋体" w:cs="Times New Roman"/>
                      <w:color w:val="000000"/>
                      <w:highlight w:val="none"/>
                      <w:u w:val="none"/>
                      <w:lang w:val="en-US" w:eastAsia="zh-CN"/>
                    </w:rPr>
                  </w:pPr>
                  <w:r>
                    <w:rPr>
                      <w:rFonts w:hint="default" w:ascii="Times New Roman" w:hAnsi="Times New Roman" w:cs="Times New Roman"/>
                      <w:color w:val="000000"/>
                      <w:highlight w:val="none"/>
                      <w:lang w:val="en-US" w:eastAsia="zh-CN"/>
                    </w:rPr>
                    <w:t>1767.36kg</w:t>
                  </w:r>
                </w:p>
              </w:tc>
            </w:tr>
            <w:tr w14:paraId="117355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77" w:type="pct"/>
                  <w:noWrap w:val="0"/>
                  <w:vAlign w:val="center"/>
                </w:tcPr>
                <w:p w14:paraId="05EDD5AE">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000000"/>
                      <w:kern w:val="2"/>
                      <w:sz w:val="21"/>
                      <w:szCs w:val="28"/>
                      <w:highlight w:val="none"/>
                      <w:u w:val="none"/>
                      <w:lang w:val="en-US" w:eastAsia="zh-CN" w:bidi="ar-SA"/>
                    </w:rPr>
                  </w:pPr>
                  <w:r>
                    <w:rPr>
                      <w:rFonts w:hint="default" w:ascii="Times New Roman" w:hAnsi="Times New Roman" w:eastAsia="宋体" w:cs="Times New Roman"/>
                      <w:b w:val="0"/>
                      <w:bCs w:val="0"/>
                      <w:color w:val="000000"/>
                      <w:kern w:val="2"/>
                      <w:sz w:val="21"/>
                      <w:szCs w:val="28"/>
                      <w:highlight w:val="none"/>
                      <w:u w:val="none"/>
                      <w:lang w:val="en-US" w:eastAsia="zh-CN" w:bidi="ar-SA"/>
                    </w:rPr>
                    <w:t>换算比例</w:t>
                  </w:r>
                </w:p>
              </w:tc>
              <w:tc>
                <w:tcPr>
                  <w:tcW w:w="1174" w:type="pct"/>
                  <w:noWrap w:val="0"/>
                  <w:vAlign w:val="center"/>
                </w:tcPr>
                <w:p w14:paraId="7EB5F508">
                  <w:pPr>
                    <w:pStyle w:val="31"/>
                    <w:bidi w:val="0"/>
                    <w:rPr>
                      <w:rFonts w:hint="default" w:ascii="Times New Roman" w:hAnsi="Times New Roman" w:eastAsia="宋体" w:cs="Times New Roman"/>
                      <w:color w:val="000000"/>
                      <w:highlight w:val="none"/>
                      <w:u w:val="none"/>
                      <w:lang w:val="en-US" w:eastAsia="zh-CN"/>
                    </w:rPr>
                  </w:pPr>
                  <w:r>
                    <w:rPr>
                      <w:rFonts w:hint="default" w:ascii="Times New Roman" w:hAnsi="Times New Roman" w:eastAsia="宋体" w:cs="Times New Roman"/>
                      <w:color w:val="000000"/>
                      <w:highlight w:val="none"/>
                      <w:u w:val="none"/>
                      <w:lang w:val="en-US" w:eastAsia="zh-CN"/>
                    </w:rPr>
                    <w:t>1%</w:t>
                  </w:r>
                </w:p>
              </w:tc>
              <w:tc>
                <w:tcPr>
                  <w:tcW w:w="1174" w:type="pct"/>
                  <w:noWrap w:val="0"/>
                  <w:vAlign w:val="center"/>
                </w:tcPr>
                <w:p w14:paraId="1386F17D">
                  <w:pPr>
                    <w:pStyle w:val="31"/>
                    <w:bidi w:val="0"/>
                    <w:rPr>
                      <w:rFonts w:hint="default" w:ascii="Times New Roman" w:hAnsi="Times New Roman" w:eastAsia="宋体" w:cs="Times New Roman"/>
                      <w:color w:val="000000"/>
                      <w:highlight w:val="none"/>
                      <w:u w:val="none"/>
                      <w:lang w:val="en-US" w:eastAsia="zh-CN"/>
                    </w:rPr>
                  </w:pPr>
                  <w:r>
                    <w:rPr>
                      <w:rFonts w:hint="default" w:ascii="Times New Roman" w:hAnsi="Times New Roman" w:eastAsia="宋体" w:cs="Times New Roman"/>
                      <w:color w:val="000000"/>
                      <w:highlight w:val="none"/>
                      <w:u w:val="none"/>
                      <w:lang w:val="en-US" w:eastAsia="zh-CN"/>
                    </w:rPr>
                    <w:t>5%</w:t>
                  </w:r>
                </w:p>
              </w:tc>
              <w:tc>
                <w:tcPr>
                  <w:tcW w:w="1174" w:type="pct"/>
                  <w:noWrap w:val="0"/>
                  <w:vAlign w:val="center"/>
                </w:tcPr>
                <w:p w14:paraId="26559448">
                  <w:pPr>
                    <w:pStyle w:val="31"/>
                    <w:bidi w:val="0"/>
                    <w:rPr>
                      <w:rFonts w:hint="default" w:ascii="Times New Roman" w:hAnsi="Times New Roman" w:eastAsia="宋体" w:cs="Times New Roman"/>
                      <w:color w:val="000000"/>
                      <w:highlight w:val="none"/>
                      <w:u w:val="none"/>
                      <w:lang w:val="en-US" w:eastAsia="zh-CN"/>
                    </w:rPr>
                  </w:pPr>
                  <w:r>
                    <w:rPr>
                      <w:rFonts w:hint="default" w:ascii="Times New Roman" w:hAnsi="Times New Roman" w:eastAsia="宋体" w:cs="Times New Roman"/>
                      <w:color w:val="000000"/>
                      <w:highlight w:val="none"/>
                      <w:u w:val="none"/>
                      <w:lang w:val="en-US" w:eastAsia="zh-CN"/>
                    </w:rPr>
                    <w:t>100%</w:t>
                  </w:r>
                </w:p>
              </w:tc>
            </w:tr>
            <w:tr w14:paraId="4737E5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77" w:type="pct"/>
                  <w:noWrap w:val="0"/>
                  <w:vAlign w:val="center"/>
                </w:tcPr>
                <w:p w14:paraId="4731BF74">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000000"/>
                      <w:kern w:val="2"/>
                      <w:sz w:val="21"/>
                      <w:szCs w:val="28"/>
                      <w:highlight w:val="none"/>
                      <w:u w:val="none"/>
                      <w:lang w:val="en-US" w:eastAsia="zh-CN" w:bidi="ar-SA"/>
                    </w:rPr>
                  </w:pPr>
                  <w:r>
                    <w:rPr>
                      <w:rFonts w:hint="default" w:ascii="Times New Roman" w:hAnsi="Times New Roman" w:eastAsia="宋体" w:cs="Times New Roman"/>
                      <w:b w:val="0"/>
                      <w:bCs w:val="0"/>
                      <w:color w:val="000000"/>
                      <w:kern w:val="2"/>
                      <w:sz w:val="21"/>
                      <w:szCs w:val="28"/>
                      <w:highlight w:val="none"/>
                      <w:u w:val="none"/>
                      <w:lang w:val="en-US" w:eastAsia="zh-CN" w:bidi="ar-SA"/>
                    </w:rPr>
                    <w:t>生物资源价格</w:t>
                  </w:r>
                </w:p>
              </w:tc>
              <w:tc>
                <w:tcPr>
                  <w:tcW w:w="1174" w:type="pct"/>
                  <w:noWrap w:val="0"/>
                  <w:vAlign w:val="center"/>
                </w:tcPr>
                <w:p w14:paraId="6B822A51">
                  <w:pPr>
                    <w:pStyle w:val="31"/>
                    <w:bidi w:val="0"/>
                    <w:rPr>
                      <w:rFonts w:hint="default" w:ascii="Times New Roman" w:hAnsi="Times New Roman" w:eastAsia="宋体" w:cs="Times New Roman"/>
                      <w:color w:val="000000"/>
                      <w:highlight w:val="none"/>
                      <w:u w:val="none"/>
                      <w:lang w:val="en-US" w:eastAsia="zh-CN"/>
                    </w:rPr>
                  </w:pPr>
                  <w:r>
                    <w:rPr>
                      <w:rFonts w:hint="default" w:ascii="Times New Roman" w:hAnsi="Times New Roman" w:eastAsia="宋体" w:cs="Times New Roman"/>
                      <w:color w:val="000000"/>
                      <w:highlight w:val="none"/>
                      <w:u w:val="none"/>
                      <w:lang w:val="en-US" w:eastAsia="zh-CN"/>
                    </w:rPr>
                    <w:t>0.5元/尾</w:t>
                  </w:r>
                </w:p>
              </w:tc>
              <w:tc>
                <w:tcPr>
                  <w:tcW w:w="1174" w:type="pct"/>
                  <w:noWrap w:val="0"/>
                  <w:vAlign w:val="center"/>
                </w:tcPr>
                <w:p w14:paraId="19C18BED">
                  <w:pPr>
                    <w:pStyle w:val="31"/>
                    <w:bidi w:val="0"/>
                    <w:rPr>
                      <w:rFonts w:hint="default" w:ascii="Times New Roman" w:hAnsi="Times New Roman" w:eastAsia="宋体" w:cs="Times New Roman"/>
                      <w:color w:val="000000"/>
                      <w:highlight w:val="none"/>
                      <w:u w:val="none"/>
                      <w:lang w:val="en-US" w:eastAsia="zh-CN"/>
                    </w:rPr>
                  </w:pPr>
                  <w:r>
                    <w:rPr>
                      <w:rFonts w:hint="default" w:ascii="Times New Roman" w:hAnsi="Times New Roman" w:eastAsia="宋体" w:cs="Times New Roman"/>
                      <w:color w:val="000000"/>
                      <w:highlight w:val="none"/>
                      <w:u w:val="none"/>
                      <w:lang w:val="en-US" w:eastAsia="zh-CN"/>
                    </w:rPr>
                    <w:t>0.5元/尾</w:t>
                  </w:r>
                </w:p>
              </w:tc>
              <w:tc>
                <w:tcPr>
                  <w:tcW w:w="1174" w:type="pct"/>
                  <w:noWrap w:val="0"/>
                  <w:vAlign w:val="center"/>
                </w:tcPr>
                <w:p w14:paraId="1D605D8C">
                  <w:pPr>
                    <w:pStyle w:val="31"/>
                    <w:bidi w:val="0"/>
                    <w:rPr>
                      <w:rFonts w:hint="default" w:ascii="Times New Roman" w:hAnsi="Times New Roman" w:eastAsia="宋体" w:cs="Times New Roman"/>
                      <w:color w:val="000000"/>
                      <w:highlight w:val="none"/>
                      <w:u w:val="none"/>
                      <w:lang w:val="en-US" w:eastAsia="zh-CN"/>
                    </w:rPr>
                  </w:pPr>
                  <w:r>
                    <w:rPr>
                      <w:rFonts w:hint="default" w:ascii="Times New Roman" w:hAnsi="Times New Roman" w:eastAsia="宋体" w:cs="Times New Roman"/>
                      <w:color w:val="000000"/>
                      <w:highlight w:val="none"/>
                      <w:u w:val="none"/>
                      <w:lang w:val="en-US" w:eastAsia="zh-CN"/>
                    </w:rPr>
                    <w:t>30元/kg</w:t>
                  </w:r>
                </w:p>
              </w:tc>
            </w:tr>
            <w:tr w14:paraId="5007A5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77" w:type="pct"/>
                  <w:noWrap w:val="0"/>
                  <w:vAlign w:val="center"/>
                </w:tcPr>
                <w:p w14:paraId="1A030795">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000000"/>
                      <w:kern w:val="2"/>
                      <w:sz w:val="21"/>
                      <w:szCs w:val="28"/>
                      <w:highlight w:val="none"/>
                      <w:u w:val="none"/>
                      <w:lang w:val="en-US" w:eastAsia="zh-CN" w:bidi="ar-SA"/>
                    </w:rPr>
                  </w:pPr>
                  <w:r>
                    <w:rPr>
                      <w:rFonts w:hint="default" w:ascii="Times New Roman" w:hAnsi="Times New Roman" w:eastAsia="宋体" w:cs="Times New Roman"/>
                      <w:b w:val="0"/>
                      <w:bCs w:val="0"/>
                      <w:color w:val="000000"/>
                      <w:kern w:val="2"/>
                      <w:sz w:val="21"/>
                      <w:szCs w:val="28"/>
                      <w:highlight w:val="none"/>
                      <w:u w:val="none"/>
                      <w:lang w:val="en-US" w:eastAsia="zh-CN" w:bidi="ar-SA"/>
                    </w:rPr>
                    <w:t>损失经济价值</w:t>
                  </w:r>
                </w:p>
              </w:tc>
              <w:tc>
                <w:tcPr>
                  <w:tcW w:w="1174" w:type="pct"/>
                  <w:noWrap w:val="0"/>
                  <w:vAlign w:val="center"/>
                </w:tcPr>
                <w:p w14:paraId="3F0EE566">
                  <w:pPr>
                    <w:pStyle w:val="31"/>
                    <w:bidi w:val="0"/>
                    <w:rPr>
                      <w:rFonts w:hint="default" w:ascii="Times New Roman" w:hAnsi="Times New Roman" w:eastAsia="宋体" w:cs="Times New Roman"/>
                      <w:color w:val="000000"/>
                      <w:highlight w:val="none"/>
                      <w:u w:val="none"/>
                      <w:lang w:val="en-US" w:eastAsia="zh-CN"/>
                    </w:rPr>
                  </w:pPr>
                  <w:r>
                    <w:rPr>
                      <w:rFonts w:hint="default" w:ascii="Times New Roman" w:hAnsi="Times New Roman" w:eastAsia="宋体" w:cs="Times New Roman"/>
                      <w:color w:val="000000"/>
                      <w:highlight w:val="none"/>
                      <w:u w:val="none"/>
                      <w:lang w:val="en-US" w:eastAsia="zh-CN"/>
                    </w:rPr>
                    <w:t>12.06万元</w:t>
                  </w:r>
                </w:p>
              </w:tc>
              <w:tc>
                <w:tcPr>
                  <w:tcW w:w="1174" w:type="pct"/>
                  <w:noWrap w:val="0"/>
                  <w:vAlign w:val="center"/>
                </w:tcPr>
                <w:p w14:paraId="2A6A722D">
                  <w:pPr>
                    <w:pStyle w:val="31"/>
                    <w:bidi w:val="0"/>
                    <w:rPr>
                      <w:rFonts w:hint="default" w:ascii="Times New Roman" w:hAnsi="Times New Roman" w:eastAsia="宋体" w:cs="Times New Roman"/>
                      <w:color w:val="000000"/>
                      <w:highlight w:val="none"/>
                      <w:u w:val="none"/>
                      <w:lang w:val="en-US" w:eastAsia="zh-CN"/>
                    </w:rPr>
                  </w:pPr>
                  <w:r>
                    <w:rPr>
                      <w:rFonts w:hint="default" w:ascii="Times New Roman" w:hAnsi="Times New Roman" w:eastAsia="宋体" w:cs="Times New Roman"/>
                      <w:color w:val="000000"/>
                      <w:highlight w:val="none"/>
                      <w:u w:val="none"/>
                      <w:lang w:val="en-US" w:eastAsia="zh-CN"/>
                    </w:rPr>
                    <w:t>38.92万元</w:t>
                  </w:r>
                </w:p>
              </w:tc>
              <w:tc>
                <w:tcPr>
                  <w:tcW w:w="1174" w:type="pct"/>
                  <w:noWrap w:val="0"/>
                  <w:vAlign w:val="center"/>
                </w:tcPr>
                <w:p w14:paraId="063B9821">
                  <w:pPr>
                    <w:pStyle w:val="31"/>
                    <w:bidi w:val="0"/>
                    <w:rPr>
                      <w:rFonts w:hint="default" w:ascii="Times New Roman" w:hAnsi="Times New Roman" w:eastAsia="宋体" w:cs="Times New Roman"/>
                      <w:color w:val="000000"/>
                      <w:highlight w:val="none"/>
                      <w:u w:val="none"/>
                      <w:lang w:val="en-US" w:eastAsia="zh-CN"/>
                    </w:rPr>
                  </w:pPr>
                  <w:r>
                    <w:rPr>
                      <w:rFonts w:hint="default" w:ascii="Times New Roman" w:hAnsi="Times New Roman" w:eastAsia="宋体" w:cs="Times New Roman"/>
                      <w:color w:val="000000"/>
                      <w:highlight w:val="none"/>
                      <w:u w:val="none"/>
                      <w:lang w:val="en-US" w:eastAsia="zh-CN"/>
                    </w:rPr>
                    <w:t>5.30万元</w:t>
                  </w:r>
                </w:p>
              </w:tc>
            </w:tr>
            <w:tr w14:paraId="67D617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77" w:type="pct"/>
                  <w:noWrap w:val="0"/>
                  <w:vAlign w:val="center"/>
                </w:tcPr>
                <w:p w14:paraId="694C46FA">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000000"/>
                      <w:kern w:val="2"/>
                      <w:sz w:val="21"/>
                      <w:szCs w:val="28"/>
                      <w:highlight w:val="none"/>
                      <w:u w:val="none"/>
                      <w:lang w:val="en-US" w:eastAsia="zh-CN" w:bidi="ar-SA"/>
                    </w:rPr>
                  </w:pPr>
                  <w:r>
                    <w:rPr>
                      <w:rFonts w:hint="default" w:ascii="Times New Roman" w:hAnsi="Times New Roman" w:eastAsia="宋体" w:cs="Times New Roman"/>
                      <w:b w:val="0"/>
                      <w:bCs w:val="0"/>
                      <w:color w:val="000000"/>
                      <w:kern w:val="2"/>
                      <w:sz w:val="21"/>
                      <w:szCs w:val="28"/>
                      <w:highlight w:val="none"/>
                      <w:u w:val="none"/>
                      <w:lang w:val="en-US" w:eastAsia="zh-CN" w:bidi="ar-SA"/>
                    </w:rPr>
                    <w:t>损害补偿额（以3年计）</w:t>
                  </w:r>
                </w:p>
              </w:tc>
              <w:tc>
                <w:tcPr>
                  <w:tcW w:w="1174" w:type="pct"/>
                  <w:noWrap w:val="0"/>
                  <w:vAlign w:val="center"/>
                </w:tcPr>
                <w:p w14:paraId="13D8E7CE">
                  <w:pPr>
                    <w:pStyle w:val="31"/>
                    <w:bidi w:val="0"/>
                    <w:rPr>
                      <w:rFonts w:hint="default" w:ascii="Times New Roman" w:hAnsi="Times New Roman" w:eastAsia="宋体" w:cs="Times New Roman"/>
                      <w:color w:val="000000"/>
                      <w:highlight w:val="none"/>
                      <w:u w:val="none"/>
                      <w:lang w:val="en-US" w:eastAsia="zh-CN"/>
                    </w:rPr>
                  </w:pPr>
                  <w:r>
                    <w:rPr>
                      <w:rFonts w:hint="default" w:ascii="Times New Roman" w:hAnsi="Times New Roman" w:eastAsia="宋体" w:cs="Times New Roman"/>
                      <w:color w:val="000000"/>
                      <w:highlight w:val="none"/>
                      <w:u w:val="none"/>
                      <w:lang w:val="en-US" w:eastAsia="zh-CN"/>
                    </w:rPr>
                    <w:t>36.18万元</w:t>
                  </w:r>
                </w:p>
              </w:tc>
              <w:tc>
                <w:tcPr>
                  <w:tcW w:w="1174" w:type="pct"/>
                  <w:noWrap w:val="0"/>
                  <w:vAlign w:val="center"/>
                </w:tcPr>
                <w:p w14:paraId="499C047B">
                  <w:pPr>
                    <w:pStyle w:val="31"/>
                    <w:bidi w:val="0"/>
                    <w:rPr>
                      <w:rFonts w:hint="default" w:ascii="Times New Roman" w:hAnsi="Times New Roman" w:eastAsia="宋体" w:cs="Times New Roman"/>
                      <w:color w:val="000000"/>
                      <w:highlight w:val="none"/>
                      <w:u w:val="none"/>
                      <w:lang w:val="en-US" w:eastAsia="zh-CN"/>
                    </w:rPr>
                  </w:pPr>
                  <w:r>
                    <w:rPr>
                      <w:rFonts w:hint="default" w:ascii="Times New Roman" w:hAnsi="Times New Roman" w:eastAsia="宋体" w:cs="Times New Roman"/>
                      <w:color w:val="000000"/>
                      <w:highlight w:val="none"/>
                      <w:u w:val="none"/>
                      <w:lang w:val="en-US" w:eastAsia="zh-CN"/>
                    </w:rPr>
                    <w:t>116.76万元</w:t>
                  </w:r>
                </w:p>
              </w:tc>
              <w:tc>
                <w:tcPr>
                  <w:tcW w:w="1174" w:type="pct"/>
                  <w:noWrap w:val="0"/>
                  <w:vAlign w:val="center"/>
                </w:tcPr>
                <w:p w14:paraId="2A1D09F6">
                  <w:pPr>
                    <w:pStyle w:val="31"/>
                    <w:bidi w:val="0"/>
                    <w:rPr>
                      <w:rFonts w:hint="default" w:ascii="Times New Roman" w:hAnsi="Times New Roman" w:eastAsia="宋体" w:cs="Times New Roman"/>
                      <w:color w:val="000000"/>
                      <w:highlight w:val="none"/>
                      <w:u w:val="none"/>
                      <w:lang w:val="en-US" w:eastAsia="zh-CN"/>
                    </w:rPr>
                  </w:pPr>
                  <w:r>
                    <w:rPr>
                      <w:rFonts w:hint="default" w:ascii="Times New Roman" w:hAnsi="Times New Roman" w:eastAsia="宋体" w:cs="Times New Roman"/>
                      <w:color w:val="000000"/>
                      <w:highlight w:val="none"/>
                      <w:u w:val="none"/>
                      <w:lang w:val="en-US" w:eastAsia="zh-CN"/>
                    </w:rPr>
                    <w:t>15.9万元</w:t>
                  </w:r>
                </w:p>
              </w:tc>
            </w:tr>
            <w:tr w14:paraId="49D528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77" w:type="pct"/>
                  <w:noWrap w:val="0"/>
                  <w:vAlign w:val="center"/>
                </w:tcPr>
                <w:p w14:paraId="1299289A">
                  <w:pPr>
                    <w:keepNext w:val="0"/>
                    <w:keepLines w:val="0"/>
                    <w:widowControl w:val="0"/>
                    <w:suppressLineNumbers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000000"/>
                      <w:kern w:val="2"/>
                      <w:sz w:val="21"/>
                      <w:szCs w:val="28"/>
                      <w:highlight w:val="none"/>
                      <w:u w:val="none"/>
                      <w:lang w:val="en-US" w:eastAsia="zh-CN" w:bidi="ar-SA"/>
                    </w:rPr>
                  </w:pPr>
                  <w:r>
                    <w:rPr>
                      <w:rFonts w:hint="default" w:ascii="Times New Roman" w:hAnsi="Times New Roman" w:eastAsia="宋体" w:cs="Times New Roman"/>
                      <w:b w:val="0"/>
                      <w:bCs w:val="0"/>
                      <w:color w:val="000000"/>
                      <w:kern w:val="2"/>
                      <w:sz w:val="21"/>
                      <w:szCs w:val="28"/>
                      <w:highlight w:val="none"/>
                      <w:u w:val="none"/>
                      <w:lang w:val="en-US" w:eastAsia="zh-CN" w:bidi="ar-SA"/>
                    </w:rPr>
                    <w:t>损失经济价值合计</w:t>
                  </w:r>
                </w:p>
              </w:tc>
              <w:tc>
                <w:tcPr>
                  <w:tcW w:w="3522" w:type="pct"/>
                  <w:gridSpan w:val="3"/>
                  <w:noWrap w:val="0"/>
                  <w:vAlign w:val="center"/>
                </w:tcPr>
                <w:p w14:paraId="2EBE8858">
                  <w:pPr>
                    <w:pStyle w:val="31"/>
                    <w:bidi w:val="0"/>
                    <w:rPr>
                      <w:rFonts w:hint="default" w:ascii="Times New Roman" w:hAnsi="Times New Roman" w:eastAsia="宋体" w:cs="Times New Roman"/>
                      <w:color w:val="000000"/>
                      <w:highlight w:val="none"/>
                      <w:u w:val="none"/>
                      <w:lang w:val="en-US" w:eastAsia="zh-CN"/>
                    </w:rPr>
                  </w:pPr>
                  <w:r>
                    <w:rPr>
                      <w:rFonts w:hint="default" w:ascii="Times New Roman" w:hAnsi="Times New Roman" w:eastAsia="宋体" w:cs="Times New Roman"/>
                      <w:color w:val="000000"/>
                      <w:highlight w:val="none"/>
                      <w:u w:val="none"/>
                      <w:lang w:val="en-US" w:eastAsia="zh-CN"/>
                    </w:rPr>
                    <w:t>168.84万元</w:t>
                  </w:r>
                </w:p>
              </w:tc>
            </w:tr>
            <w:bookmarkEnd w:id="341"/>
          </w:tbl>
          <w:p w14:paraId="32F559CE">
            <w:pPr>
              <w:ind w:firstLine="482" w:firstLineChars="200"/>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rPr>
              <w:t>（4）海洋生物资源损害补偿总金额</w:t>
            </w:r>
          </w:p>
          <w:p w14:paraId="2CAC7457">
            <w:pPr>
              <w:ind w:firstLine="480" w:firstLineChars="200"/>
              <w:rPr>
                <w:rFonts w:hint="default" w:ascii="Times New Roman" w:hAnsi="Times New Roman" w:cs="Times New Roman"/>
                <w:color w:val="000000"/>
                <w:highlight w:val="none"/>
              </w:rPr>
            </w:pPr>
            <w:r>
              <w:rPr>
                <w:rFonts w:hint="default" w:ascii="Times New Roman" w:hAnsi="Times New Roman" w:cs="Times New Roman"/>
                <w:color w:val="000000"/>
                <w:highlight w:val="none"/>
              </w:rPr>
              <w:t>综上，海洋工程施工造成的海洋生物损失赔偿总金额</w:t>
            </w:r>
            <w:r>
              <w:rPr>
                <w:rFonts w:hint="default" w:ascii="Times New Roman" w:hAnsi="Times New Roman" w:cs="Times New Roman"/>
                <w:color w:val="000000"/>
                <w:highlight w:val="none"/>
                <w:lang w:val="en-US" w:eastAsia="zh-CN"/>
              </w:rPr>
              <w:t>包括</w:t>
            </w:r>
            <w:r>
              <w:rPr>
                <w:rFonts w:hint="default" w:ascii="Times New Roman" w:hAnsi="Times New Roman" w:cs="Times New Roman"/>
                <w:color w:val="000000"/>
                <w:highlight w:val="none"/>
              </w:rPr>
              <w:t>底栖生物损失量和悬浮泥沙入海导致海洋生物损失量，因此，本工程施工期建设造成的海洋生物损失赔偿总金额</w:t>
            </w:r>
            <w:r>
              <w:rPr>
                <w:rFonts w:hint="eastAsia" w:cs="Times New Roman"/>
                <w:color w:val="000000"/>
                <w:highlight w:val="none"/>
                <w:lang w:val="en-US" w:eastAsia="zh-CN"/>
              </w:rPr>
              <w:t>约</w:t>
            </w:r>
            <w:r>
              <w:rPr>
                <w:rFonts w:hint="default" w:ascii="Times New Roman" w:hAnsi="Times New Roman" w:cs="Times New Roman"/>
                <w:color w:val="000000"/>
                <w:highlight w:val="none"/>
              </w:rPr>
              <w:t>为</w:t>
            </w:r>
            <w:r>
              <w:rPr>
                <w:rFonts w:hint="eastAsia" w:cs="Times New Roman"/>
                <w:color w:val="000000"/>
                <w:highlight w:val="none"/>
                <w:lang w:val="en-US" w:eastAsia="zh-CN"/>
              </w:rPr>
              <w:t>241</w:t>
            </w:r>
            <w:r>
              <w:rPr>
                <w:rFonts w:hint="default" w:ascii="Times New Roman" w:hAnsi="Times New Roman" w:cs="Times New Roman"/>
                <w:color w:val="000000"/>
                <w:highlight w:val="none"/>
              </w:rPr>
              <w:t>万元。</w:t>
            </w:r>
          </w:p>
          <w:p w14:paraId="32B4CA96">
            <w:pPr>
              <w:ind w:firstLine="480" w:firstLineChars="200"/>
              <w:rPr>
                <w:rFonts w:hint="default" w:ascii="Times New Roman" w:hAnsi="Times New Roman" w:cs="Times New Roman"/>
                <w:color w:val="000000"/>
                <w:highlight w:val="none"/>
              </w:rPr>
            </w:pPr>
            <w:r>
              <w:rPr>
                <w:rFonts w:hint="default" w:ascii="Times New Roman" w:hAnsi="Times New Roman" w:cs="Times New Roman"/>
                <w:color w:val="000000"/>
                <w:highlight w:val="none"/>
              </w:rPr>
              <w:t>需要特别指出的是，对于一片特定海域的生态环境功能的价值，不仅体现在其可估算的直接经济价值上，更多的是体现在其间接价值、选择价值以及其存在价值上，本项目的建设能更好地利用该海域海岸带资源的选择价值，所以该项目的资源利用是合理的，但在开发过程中应减少海岸带原生生境的破坏。</w:t>
            </w:r>
          </w:p>
          <w:p w14:paraId="4339948B">
            <w:pPr>
              <w:pStyle w:val="4"/>
              <w:bidi w:val="0"/>
              <w:rPr>
                <w:rFonts w:hint="default"/>
              </w:rPr>
            </w:pPr>
            <w:bookmarkStart w:id="342" w:name="_Toc28247"/>
            <w:bookmarkStart w:id="343" w:name="_Toc26266"/>
            <w:bookmarkStart w:id="344" w:name="_Toc13003"/>
            <w:r>
              <w:rPr>
                <w:rFonts w:hint="default"/>
              </w:rPr>
              <w:t>陆域生态环境影响分析</w:t>
            </w:r>
            <w:bookmarkEnd w:id="342"/>
            <w:bookmarkEnd w:id="343"/>
            <w:bookmarkEnd w:id="344"/>
          </w:p>
          <w:p w14:paraId="186A8AD1">
            <w:pPr>
              <w:ind w:firstLine="480" w:firstLineChars="20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本项目陆域工程生态环境影响主要为码头后方陆域新建渔港综合管理大楼、避灾安置房、卸渔棚、污水处理站等的建设而产生的工程占用、施工活动干扰、环境条件改变等，直接或间接导致物种、种群、生物群落、生境、生态系统及自然景观等发生的变化。</w:t>
            </w:r>
          </w:p>
          <w:p w14:paraId="21E67390">
            <w:pPr>
              <w:pStyle w:val="5"/>
              <w:bidi w:val="0"/>
              <w:rPr>
                <w:rFonts w:hint="default"/>
              </w:rPr>
            </w:pPr>
            <w:bookmarkStart w:id="345" w:name="_Toc23893"/>
            <w:r>
              <w:rPr>
                <w:rFonts w:hint="default"/>
                <w:lang w:val="en-US" w:eastAsia="zh-CN"/>
              </w:rPr>
              <w:t>评价区土地利用变化</w:t>
            </w:r>
            <w:bookmarkEnd w:id="345"/>
          </w:p>
          <w:p w14:paraId="6B0BA792">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本项目陆域工程建设对土地的占用为永久占用，新增永久占地23.49万m</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lang w:val="en-US" w:eastAsia="zh-CN"/>
              </w:rPr>
              <w:t>，主要包括新建渔港综合管理大楼、避灾安置房、卸渔棚、污水处理站等，占地类型为林地、草地等，永久占地区的土地将永久变为建设用地。本项目施工临时占地位于现有二级渔港后方陆域及新增陆域红线范围内，不涉及红线范围外的施工临时占地。</w:t>
            </w:r>
          </w:p>
          <w:p w14:paraId="682439F0">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本工程新增用地已于2021年10月26日取得了国家林业和草原局关于本工程使用林地审核同意书（林资许准（闽）〔2021〕16号，附件8）；2024年10月29日取得了福建省人民政府农用地转用和土地征收的批复（闽政地﹝2024﹞549号，附件10）；2024年12月4日取得了项目建设用地规划许可证（证号：地字第350181202400134号，附件9）</w:t>
            </w:r>
            <w:r>
              <w:rPr>
                <w:rFonts w:hint="eastAsia" w:cs="Times New Roman"/>
                <w:color w:val="000000"/>
                <w:highlight w:val="none"/>
                <w:lang w:val="en-US" w:eastAsia="zh-CN"/>
              </w:rPr>
              <w:t>且</w:t>
            </w:r>
            <w:r>
              <w:rPr>
                <w:rFonts w:hint="default" w:ascii="Times New Roman" w:hAnsi="Times New Roman" w:cs="Times New Roman"/>
                <w:color w:val="000000"/>
                <w:highlight w:val="none"/>
                <w:lang w:val="en-US" w:eastAsia="zh-CN"/>
              </w:rPr>
              <w:t>已办理林木采伐许可证（附件11）。</w:t>
            </w:r>
          </w:p>
          <w:p w14:paraId="7DAFFCB3">
            <w:pPr>
              <w:pStyle w:val="5"/>
              <w:bidi w:val="0"/>
              <w:rPr>
                <w:rFonts w:hint="default"/>
              </w:rPr>
            </w:pPr>
            <w:bookmarkStart w:id="346" w:name="_Toc2025"/>
            <w:r>
              <w:rPr>
                <w:rFonts w:hint="default"/>
                <w:lang w:val="en-US" w:eastAsia="zh-CN"/>
              </w:rPr>
              <w:t>陆生植物的影响分析</w:t>
            </w:r>
            <w:bookmarkEnd w:id="346"/>
          </w:p>
          <w:p w14:paraId="66B39A4C">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eastAsia="宋体" w:cs="Times New Roman"/>
                <w:b/>
                <w:bCs/>
                <w:color w:val="000000"/>
                <w:highlight w:val="none"/>
                <w:lang w:val="en-US" w:eastAsia="zh-CN"/>
              </w:rPr>
            </w:pP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1</w:t>
            </w: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施工期对陆生植物的影响分析</w:t>
            </w:r>
          </w:p>
          <w:p w14:paraId="644CC358">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陆域工程建设对评价范围植被的影响主要在于施工占地及施工扰动的影响，施工占地包括新建渔港综合管理大楼、避灾安置房、卸渔棚、污水处理站等永久占地，施工扰动包括材料运输、基础开挖等过程中对附近区域的土壤、植物个体的扰动，以及产生扬尘、噪声、污水、固废等影响。</w:t>
            </w:r>
          </w:p>
          <w:p w14:paraId="31C709E0">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lang w:val="en-US" w:eastAsia="zh-CN"/>
              </w:rPr>
              <w:t>1）</w:t>
            </w:r>
            <w:r>
              <w:rPr>
                <w:rFonts w:hint="default" w:ascii="Times New Roman" w:hAnsi="Times New Roman" w:cs="Times New Roman"/>
                <w:b/>
                <w:bCs/>
                <w:color w:val="000000"/>
                <w:highlight w:val="none"/>
              </w:rPr>
              <w:t>对植被和植物资源的影响</w:t>
            </w:r>
          </w:p>
          <w:p w14:paraId="5B9E80E5">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color w:val="000000"/>
                <w:highlight w:val="none"/>
                <w:lang w:val="en-US"/>
              </w:rPr>
            </w:pPr>
            <w:r>
              <w:rPr>
                <w:rFonts w:hint="default" w:ascii="Times New Roman" w:hAnsi="Times New Roman" w:cs="Times New Roman"/>
                <w:b/>
                <w:bCs/>
                <w:color w:val="000000"/>
                <w:highlight w:val="none"/>
                <w:lang w:val="en-US" w:eastAsia="zh-CN"/>
              </w:rPr>
              <w:t>①施工占地影响</w:t>
            </w:r>
          </w:p>
          <w:p w14:paraId="3677A627">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本项目陆域建设新增永久占地23.49万m</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lang w:val="en-US" w:eastAsia="zh-CN"/>
              </w:rPr>
              <w:t>，需清理占地范围内的植被，根据现状调查，陆域生态评价区植被主要为自然植被和人工植被，现状分布有木麻黄、相思树、鬼针草等，植物群落结构简单，生物多样性较低，分布最多的为针叶林。因此，本项目的建设不会改变所在区域林木群落结构，也不会对项目区周边生态环境造成系统性的破坏。</w:t>
            </w:r>
          </w:p>
          <w:p w14:paraId="2BB9C499">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eastAsia="宋体" w:cs="Times New Roman"/>
                <w:b/>
                <w:bCs/>
                <w:color w:val="000000"/>
                <w:highlight w:val="none"/>
                <w:lang w:val="en-US" w:eastAsia="zh-CN"/>
              </w:rPr>
            </w:pPr>
            <w:r>
              <w:rPr>
                <w:rFonts w:hint="default" w:ascii="Times New Roman" w:hAnsi="Times New Roman" w:cs="Times New Roman"/>
                <w:b/>
                <w:bCs/>
                <w:color w:val="000000"/>
                <w:highlight w:val="none"/>
                <w:lang w:val="en-US" w:eastAsia="zh-CN"/>
              </w:rPr>
              <w:t>②施工扰动影响</w:t>
            </w:r>
          </w:p>
          <w:p w14:paraId="4FF8466B">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运输扰动：项目陆域工程建设过程中，砂土、石块等建筑材料运输将对道路沿线的植被产生扰动。运输路线利用已有的市政道路，道路两侧主要为人工绿化植被，对运输车辆早已适应，工程对其影响较小。</w:t>
            </w:r>
          </w:p>
          <w:p w14:paraId="01BF62BE">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场地平整、</w:t>
            </w:r>
            <w:r>
              <w:rPr>
                <w:rFonts w:hint="default" w:ascii="Times New Roman" w:hAnsi="Times New Roman" w:cs="Times New Roman"/>
                <w:color w:val="000000"/>
                <w:highlight w:val="none"/>
              </w:rPr>
              <w:t>临时材料堆放影响：</w:t>
            </w:r>
            <w:r>
              <w:rPr>
                <w:rFonts w:hint="default" w:ascii="Times New Roman" w:hAnsi="Times New Roman" w:cs="Times New Roman"/>
                <w:color w:val="000000"/>
                <w:highlight w:val="none"/>
                <w:lang w:val="en-US" w:eastAsia="zh-CN"/>
              </w:rPr>
              <w:t>场地平整、砂石</w:t>
            </w:r>
            <w:r>
              <w:rPr>
                <w:rFonts w:hint="default" w:ascii="Times New Roman" w:hAnsi="Times New Roman" w:cs="Times New Roman"/>
                <w:color w:val="000000"/>
                <w:highlight w:val="none"/>
              </w:rPr>
              <w:t>料运输漏撒等造成扬尘，</w:t>
            </w:r>
            <w:r>
              <w:rPr>
                <w:rFonts w:hint="default" w:ascii="Times New Roman" w:hAnsi="Times New Roman" w:cs="Times New Roman"/>
                <w:color w:val="000000"/>
                <w:highlight w:val="none"/>
                <w:lang w:val="en-US" w:eastAsia="zh-CN"/>
              </w:rPr>
              <w:t>将</w:t>
            </w:r>
            <w:r>
              <w:rPr>
                <w:rFonts w:hint="default" w:ascii="Times New Roman" w:hAnsi="Times New Roman" w:cs="Times New Roman"/>
                <w:color w:val="000000"/>
                <w:highlight w:val="none"/>
              </w:rPr>
              <w:t>对</w:t>
            </w:r>
            <w:r>
              <w:rPr>
                <w:rFonts w:hint="default" w:ascii="Times New Roman" w:hAnsi="Times New Roman" w:cs="Times New Roman"/>
                <w:color w:val="000000"/>
                <w:highlight w:val="none"/>
                <w:lang w:val="en-US" w:eastAsia="zh-CN"/>
              </w:rPr>
              <w:t>大气环境</w:t>
            </w:r>
            <w:r>
              <w:rPr>
                <w:rFonts w:hint="default" w:ascii="Times New Roman" w:hAnsi="Times New Roman" w:cs="Times New Roman"/>
                <w:color w:val="000000"/>
                <w:highlight w:val="none"/>
              </w:rPr>
              <w:t>造成暂时</w:t>
            </w:r>
            <w:r>
              <w:rPr>
                <w:rFonts w:hint="default" w:ascii="Times New Roman" w:hAnsi="Times New Roman" w:cs="Times New Roman"/>
                <w:color w:val="000000"/>
                <w:highlight w:val="none"/>
                <w:lang w:val="en-US" w:eastAsia="zh-CN"/>
              </w:rPr>
              <w:t>的</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局部的影响。此外，</w:t>
            </w:r>
            <w:r>
              <w:rPr>
                <w:rFonts w:hint="default" w:ascii="Times New Roman" w:hAnsi="Times New Roman" w:cs="Times New Roman"/>
                <w:color w:val="000000"/>
                <w:highlight w:val="none"/>
                <w:lang w:val="en-US" w:eastAsia="zh-CN"/>
              </w:rPr>
              <w:t>陆域场地平整将</w:t>
            </w:r>
            <w:r>
              <w:rPr>
                <w:rFonts w:hint="default" w:ascii="Times New Roman" w:hAnsi="Times New Roman" w:cs="Times New Roman"/>
                <w:color w:val="000000"/>
                <w:highlight w:val="none"/>
              </w:rPr>
              <w:t>对附近土壤层</w:t>
            </w:r>
            <w:r>
              <w:rPr>
                <w:rFonts w:hint="default" w:ascii="Times New Roman" w:hAnsi="Times New Roman" w:cs="Times New Roman"/>
                <w:color w:val="000000"/>
                <w:highlight w:val="none"/>
                <w:lang w:val="en-US" w:eastAsia="zh-CN"/>
              </w:rPr>
              <w:t>造成</w:t>
            </w:r>
            <w:r>
              <w:rPr>
                <w:rFonts w:hint="default" w:ascii="Times New Roman" w:hAnsi="Times New Roman" w:cs="Times New Roman"/>
                <w:color w:val="000000"/>
                <w:highlight w:val="none"/>
              </w:rPr>
              <w:t>扰动，临时材料堆放也将改变土壤紧实度，可能产生水土流失影响。本项目在采取铺垫、拦挡、苫盖等措施后，水土流失影响较小。</w:t>
            </w:r>
          </w:p>
          <w:p w14:paraId="215ADA27">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废水、固体废弃物等影响：</w:t>
            </w:r>
            <w:r>
              <w:rPr>
                <w:rFonts w:hint="default" w:ascii="Times New Roman" w:hAnsi="Times New Roman" w:cs="Times New Roman"/>
                <w:color w:val="000000"/>
                <w:highlight w:val="none"/>
                <w:lang w:val="en-US" w:eastAsia="zh-CN"/>
              </w:rPr>
              <w:t>本项目陆域</w:t>
            </w:r>
            <w:r>
              <w:rPr>
                <w:rFonts w:hint="default" w:ascii="Times New Roman" w:hAnsi="Times New Roman" w:cs="Times New Roman"/>
                <w:color w:val="000000"/>
                <w:highlight w:val="none"/>
              </w:rPr>
              <w:t>施工过程中将产生</w:t>
            </w:r>
            <w:r>
              <w:rPr>
                <w:rFonts w:hint="default" w:ascii="Times New Roman" w:hAnsi="Times New Roman" w:cs="Times New Roman"/>
                <w:color w:val="000000"/>
                <w:highlight w:val="none"/>
                <w:lang w:val="en-US" w:eastAsia="zh-CN"/>
              </w:rPr>
              <w:t>施工</w:t>
            </w:r>
            <w:r>
              <w:rPr>
                <w:rFonts w:hint="default" w:ascii="Times New Roman" w:hAnsi="Times New Roman" w:cs="Times New Roman"/>
                <w:color w:val="000000"/>
                <w:highlight w:val="none"/>
              </w:rPr>
              <w:t>生活污水</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施工生产废水</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固体废弃物，</w:t>
            </w:r>
            <w:r>
              <w:rPr>
                <w:rFonts w:hint="default" w:ascii="Times New Roman" w:hAnsi="Times New Roman" w:cs="Times New Roman"/>
                <w:color w:val="000000"/>
                <w:highlight w:val="none"/>
                <w:lang w:val="en-US" w:eastAsia="zh-CN"/>
              </w:rPr>
              <w:t>将</w:t>
            </w:r>
            <w:r>
              <w:rPr>
                <w:rFonts w:hint="default" w:ascii="Times New Roman" w:hAnsi="Times New Roman" w:cs="Times New Roman"/>
                <w:color w:val="000000"/>
                <w:highlight w:val="none"/>
              </w:rPr>
              <w:t>对周围环境产生污染，最终可能会影响</w:t>
            </w:r>
            <w:r>
              <w:rPr>
                <w:rFonts w:hint="default" w:ascii="Times New Roman" w:hAnsi="Times New Roman" w:cs="Times New Roman"/>
                <w:color w:val="000000"/>
                <w:highlight w:val="none"/>
                <w:lang w:val="en-US" w:eastAsia="zh-CN"/>
              </w:rPr>
              <w:t>周边</w:t>
            </w:r>
            <w:r>
              <w:rPr>
                <w:rFonts w:hint="default" w:ascii="Times New Roman" w:hAnsi="Times New Roman" w:cs="Times New Roman"/>
                <w:color w:val="000000"/>
                <w:highlight w:val="none"/>
              </w:rPr>
              <w:t>植物的生长发育。但这种影响通过一定的管理措施可以得到减缓，在采取施工过程中废水回收利用、固体废物收集处理等措施后，项目施工对</w:t>
            </w:r>
            <w:r>
              <w:rPr>
                <w:rFonts w:hint="default" w:ascii="Times New Roman" w:hAnsi="Times New Roman" w:cs="Times New Roman"/>
                <w:color w:val="000000"/>
                <w:highlight w:val="none"/>
                <w:lang w:val="en-US" w:eastAsia="zh-CN"/>
              </w:rPr>
              <w:t>周边</w:t>
            </w:r>
            <w:r>
              <w:rPr>
                <w:rFonts w:hint="default" w:ascii="Times New Roman" w:hAnsi="Times New Roman" w:cs="Times New Roman"/>
                <w:color w:val="000000"/>
                <w:highlight w:val="none"/>
              </w:rPr>
              <w:t>植被产生影响较小。</w:t>
            </w:r>
          </w:p>
          <w:p w14:paraId="1C26001D">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施工人员影响：施工</w:t>
            </w:r>
            <w:r>
              <w:rPr>
                <w:rFonts w:hint="default" w:ascii="Times New Roman" w:hAnsi="Times New Roman" w:cs="Times New Roman"/>
                <w:color w:val="000000"/>
                <w:highlight w:val="none"/>
                <w:lang w:val="en-US" w:eastAsia="zh-CN"/>
              </w:rPr>
              <w:t>期间</w:t>
            </w:r>
            <w:r>
              <w:rPr>
                <w:rFonts w:hint="default" w:ascii="Times New Roman" w:hAnsi="Times New Roman" w:cs="Times New Roman"/>
                <w:color w:val="000000"/>
                <w:highlight w:val="none"/>
              </w:rPr>
              <w:t>施工人员随意活动、乱砍滥伐、乱堆乱放等行为</w:t>
            </w:r>
            <w:r>
              <w:rPr>
                <w:rFonts w:hint="default" w:ascii="Times New Roman" w:hAnsi="Times New Roman" w:cs="Times New Roman"/>
                <w:color w:val="000000"/>
                <w:highlight w:val="none"/>
                <w:lang w:val="en-US" w:eastAsia="zh-CN"/>
              </w:rPr>
              <w:t>将</w:t>
            </w:r>
            <w:r>
              <w:rPr>
                <w:rFonts w:hint="default" w:ascii="Times New Roman" w:hAnsi="Times New Roman" w:cs="Times New Roman"/>
                <w:color w:val="000000"/>
                <w:highlight w:val="none"/>
              </w:rPr>
              <w:t>对区域内植被造成直接的损害，在采取加强施工人员环保意识，严格监管施工人员行为等措施后，可降低乃至避免这种影响。</w:t>
            </w:r>
          </w:p>
          <w:p w14:paraId="4A1C05AE">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eastAsia="宋体" w:cs="Times New Roman"/>
                <w:b/>
                <w:bCs/>
                <w:color w:val="000000"/>
                <w:highlight w:val="none"/>
                <w:lang w:val="en-US" w:eastAsia="zh-CN"/>
              </w:rPr>
            </w:pPr>
            <w:r>
              <w:rPr>
                <w:rFonts w:hint="default" w:ascii="Times New Roman" w:hAnsi="Times New Roman" w:cs="Times New Roman"/>
                <w:b/>
                <w:bCs/>
                <w:color w:val="000000"/>
                <w:highlight w:val="none"/>
                <w:lang w:val="en-US" w:eastAsia="zh-CN"/>
              </w:rPr>
              <w:t>2）外来入侵植物的影响</w:t>
            </w:r>
          </w:p>
          <w:p w14:paraId="561E04F9">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本项目施工期人流、车流量较大，人员出入及材料运输等传播途径可能会带来一些外来物种。外来物种在一定范围内若形成优势群落，将对当地物种产生一定的排斥，使区域内植被类型受到一定的影响。通过采取严格检查进入施工区车辆和材料</w:t>
            </w:r>
            <w:r>
              <w:rPr>
                <w:rFonts w:hint="eastAsia" w:cs="Times New Roman"/>
                <w:color w:val="000000"/>
                <w:highlight w:val="none"/>
                <w:lang w:eastAsia="zh-CN"/>
              </w:rPr>
              <w:t>及</w:t>
            </w:r>
            <w:r>
              <w:rPr>
                <w:rFonts w:hint="default" w:ascii="Times New Roman" w:hAnsi="Times New Roman" w:cs="Times New Roman"/>
                <w:color w:val="000000"/>
                <w:highlight w:val="none"/>
              </w:rPr>
              <w:t>时销毁外来种等措施，可有效控制这种影响的发生。</w:t>
            </w:r>
          </w:p>
          <w:p w14:paraId="75D93FD3">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eastAsia="宋体" w:cs="Times New Roman"/>
                <w:b/>
                <w:bCs/>
                <w:color w:val="000000"/>
                <w:highlight w:val="none"/>
                <w:lang w:val="en-US" w:eastAsia="zh-CN"/>
              </w:rPr>
            </w:pPr>
            <w:r>
              <w:rPr>
                <w:rFonts w:hint="default" w:ascii="Times New Roman" w:hAnsi="Times New Roman" w:cs="Times New Roman"/>
                <w:b/>
                <w:bCs/>
                <w:color w:val="000000"/>
                <w:highlight w:val="none"/>
                <w:lang w:val="en-US" w:eastAsia="zh-CN"/>
              </w:rPr>
              <w:t>3）对珍稀保护植物、古树名木等的影响</w:t>
            </w:r>
          </w:p>
          <w:p w14:paraId="4A4D0FD8">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评价区内未发现有国家Ⅰ、Ⅱ级重点和省重点的珍稀保护植物或名木古树等植物分布，缺乏植物稀有性。</w:t>
            </w:r>
          </w:p>
          <w:p w14:paraId="28573BCB">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eastAsia="宋体" w:cs="Times New Roman"/>
                <w:b/>
                <w:bCs/>
                <w:color w:val="000000"/>
                <w:highlight w:val="none"/>
                <w:lang w:val="en-US" w:eastAsia="zh-CN"/>
              </w:rPr>
            </w:pP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2</w:t>
            </w: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运营期对陆生植物的影响分析</w:t>
            </w:r>
          </w:p>
          <w:p w14:paraId="5B997C94">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本项目运营期间生活污水、生产废水经自建污水处理站处理后回用于港区绿化灌溉、洒水及冲洗用水，不外排；</w:t>
            </w:r>
            <w:r>
              <w:rPr>
                <w:rFonts w:hint="default" w:ascii="Times New Roman" w:hAnsi="Times New Roman" w:cs="Times New Roman"/>
                <w:color w:val="000000"/>
                <w:highlight w:val="none"/>
              </w:rPr>
              <w:t>渔产品废弃物恶臭气体主要</w:t>
            </w:r>
            <w:r>
              <w:rPr>
                <w:rFonts w:hint="default" w:ascii="Times New Roman" w:hAnsi="Times New Roman" w:cs="Times New Roman"/>
                <w:color w:val="000000"/>
                <w:highlight w:val="none"/>
                <w:lang w:val="en-US" w:eastAsia="zh-CN"/>
              </w:rPr>
              <w:t>来自</w:t>
            </w:r>
            <w:r>
              <w:rPr>
                <w:rFonts w:hint="default" w:ascii="Times New Roman" w:hAnsi="Times New Roman" w:cs="Times New Roman"/>
                <w:color w:val="000000"/>
                <w:highlight w:val="none"/>
              </w:rPr>
              <w:t>渔产品废弃物堆放点，</w:t>
            </w:r>
            <w:r>
              <w:rPr>
                <w:rFonts w:hint="default" w:ascii="Times New Roman" w:hAnsi="Times New Roman" w:cs="Times New Roman"/>
                <w:color w:val="000000"/>
                <w:highlight w:val="none"/>
                <w:lang w:val="en-US" w:eastAsia="zh-CN"/>
              </w:rPr>
              <w:t>采取</w:t>
            </w:r>
            <w:r>
              <w:rPr>
                <w:rFonts w:hint="default" w:ascii="Times New Roman" w:hAnsi="Times New Roman" w:cs="Times New Roman"/>
                <w:color w:val="000000"/>
                <w:highlight w:val="none"/>
              </w:rPr>
              <w:t>卸渔区地面每日清洗</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废弃物每日清运</w:t>
            </w:r>
            <w:r>
              <w:rPr>
                <w:rFonts w:hint="default" w:ascii="Times New Roman" w:hAnsi="Times New Roman" w:cs="Times New Roman"/>
                <w:color w:val="000000"/>
                <w:highlight w:val="none"/>
                <w:lang w:val="en-US" w:eastAsia="zh-CN"/>
              </w:rPr>
              <w:t>等措施</w:t>
            </w:r>
            <w:r>
              <w:rPr>
                <w:rFonts w:hint="default" w:ascii="Times New Roman" w:hAnsi="Times New Roman" w:cs="Times New Roman"/>
                <w:color w:val="000000"/>
                <w:highlight w:val="none"/>
              </w:rPr>
              <w:t>，避免长时间堆放产生恶臭</w:t>
            </w:r>
            <w:r>
              <w:rPr>
                <w:rFonts w:hint="eastAsia" w:cs="Times New Roman"/>
                <w:color w:val="000000"/>
                <w:highlight w:val="none"/>
                <w:lang w:eastAsia="zh-CN"/>
              </w:rPr>
              <w:t>且</w:t>
            </w:r>
            <w:r>
              <w:rPr>
                <w:rFonts w:hint="default" w:ascii="Times New Roman" w:hAnsi="Times New Roman" w:cs="Times New Roman"/>
                <w:color w:val="000000"/>
                <w:highlight w:val="none"/>
              </w:rPr>
              <w:t>项目区位于岸边大气流动性较好，排放的恶臭气体很快被扩散稀释</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港区生活垃圾由环卫部门每日清运处理</w:t>
            </w:r>
            <w:r>
              <w:rPr>
                <w:rFonts w:hint="default" w:ascii="Times New Roman" w:hAnsi="Times New Roman" w:cs="Times New Roman"/>
                <w:color w:val="000000"/>
                <w:highlight w:val="none"/>
                <w:lang w:eastAsia="zh-CN"/>
              </w:rPr>
              <w:t>，污水处理站污泥外运至垃圾处理厂，船舶</w:t>
            </w:r>
            <w:r>
              <w:rPr>
                <w:rFonts w:hint="default" w:ascii="Times New Roman" w:hAnsi="Times New Roman" w:cs="Times New Roman"/>
                <w:color w:val="000000"/>
                <w:highlight w:val="none"/>
                <w:lang w:val="en-US" w:eastAsia="zh-CN"/>
              </w:rPr>
              <w:t>污染物</w:t>
            </w:r>
            <w:r>
              <w:rPr>
                <w:rFonts w:hint="default" w:ascii="Times New Roman" w:hAnsi="Times New Roman" w:cs="Times New Roman"/>
                <w:color w:val="000000"/>
                <w:highlight w:val="none"/>
                <w:lang w:eastAsia="zh-CN"/>
              </w:rPr>
              <w:t>由海事部门认可的船舶污染物接收单位接收处理，</w:t>
            </w:r>
            <w:r>
              <w:rPr>
                <w:rFonts w:hint="default" w:ascii="Times New Roman" w:hAnsi="Times New Roman" w:cs="Times New Roman"/>
                <w:color w:val="000000"/>
                <w:highlight w:val="none"/>
                <w:lang w:val="en-US" w:eastAsia="zh-CN"/>
              </w:rPr>
              <w:t>禁止随意丢弃。各类污染物在采取妥善处理的情况下</w:t>
            </w:r>
            <w:r>
              <w:rPr>
                <w:rFonts w:hint="default" w:ascii="Times New Roman" w:hAnsi="Times New Roman" w:cs="Times New Roman"/>
                <w:color w:val="000000"/>
                <w:highlight w:val="none"/>
              </w:rPr>
              <w:t>，对周边</w:t>
            </w:r>
            <w:r>
              <w:rPr>
                <w:rFonts w:hint="default" w:ascii="Times New Roman" w:hAnsi="Times New Roman" w:cs="Times New Roman"/>
                <w:color w:val="000000"/>
                <w:highlight w:val="none"/>
                <w:lang w:val="en-US" w:eastAsia="zh-CN"/>
              </w:rPr>
              <w:t>陆生植被</w:t>
            </w:r>
            <w:r>
              <w:rPr>
                <w:rFonts w:hint="default" w:ascii="Times New Roman" w:hAnsi="Times New Roman" w:cs="Times New Roman"/>
                <w:color w:val="000000"/>
                <w:highlight w:val="none"/>
              </w:rPr>
              <w:t>的影响较小</w:t>
            </w:r>
            <w:r>
              <w:rPr>
                <w:rFonts w:hint="default" w:ascii="Times New Roman" w:hAnsi="Times New Roman" w:cs="Times New Roman"/>
                <w:color w:val="000000"/>
                <w:highlight w:val="none"/>
                <w:lang w:val="en-US" w:eastAsia="zh-CN"/>
              </w:rPr>
              <w:t>。</w:t>
            </w:r>
          </w:p>
          <w:p w14:paraId="04853E95">
            <w:pPr>
              <w:pStyle w:val="5"/>
              <w:bidi w:val="0"/>
              <w:rPr>
                <w:rFonts w:hint="default"/>
              </w:rPr>
            </w:pPr>
            <w:bookmarkStart w:id="347" w:name="_Toc27590"/>
            <w:r>
              <w:rPr>
                <w:rFonts w:hint="default"/>
              </w:rPr>
              <w:t>陆生动物的影响分析</w:t>
            </w:r>
            <w:bookmarkEnd w:id="347"/>
          </w:p>
          <w:p w14:paraId="70649512">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eastAsia="宋体" w:cs="Times New Roman"/>
                <w:b/>
                <w:bCs/>
                <w:color w:val="000000"/>
                <w:highlight w:val="none"/>
                <w:lang w:eastAsia="zh-CN"/>
              </w:rPr>
            </w:pP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1</w:t>
            </w:r>
            <w:r>
              <w:rPr>
                <w:rFonts w:hint="default" w:ascii="Times New Roman" w:hAnsi="Times New Roman" w:cs="Times New Roman"/>
                <w:b/>
                <w:bCs/>
                <w:color w:val="000000"/>
                <w:highlight w:val="none"/>
                <w:lang w:eastAsia="zh-CN"/>
              </w:rPr>
              <w:t>）施工期对陆生动物的影响分析</w:t>
            </w:r>
          </w:p>
          <w:p w14:paraId="0BED75BC">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本</w:t>
            </w:r>
            <w:r>
              <w:rPr>
                <w:rFonts w:hint="default" w:ascii="Times New Roman" w:hAnsi="Times New Roman" w:cs="Times New Roman"/>
                <w:color w:val="000000"/>
                <w:highlight w:val="none"/>
              </w:rPr>
              <w:t>工程建设对野生动物的影响主要发生在施工期</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陆域建设</w:t>
            </w:r>
            <w:r>
              <w:rPr>
                <w:rFonts w:hint="default" w:ascii="Times New Roman" w:hAnsi="Times New Roman" w:cs="Times New Roman"/>
                <w:color w:val="000000"/>
                <w:highlight w:val="none"/>
              </w:rPr>
              <w:t>将破坏、占用动物的栖息环境，使得部分陆生动物向周边适宜生境迁移，从而对陆生动物的生存产生一定的影响。</w:t>
            </w:r>
          </w:p>
          <w:p w14:paraId="04F50154">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eastAsia="宋体" w:cs="Times New Roman"/>
                <w:b/>
                <w:bCs/>
                <w:color w:val="000000"/>
                <w:highlight w:val="none"/>
                <w:lang w:val="en-US" w:eastAsia="zh-CN"/>
              </w:rPr>
            </w:pPr>
            <w:r>
              <w:rPr>
                <w:rFonts w:hint="default" w:ascii="Times New Roman" w:hAnsi="Times New Roman" w:cs="Times New Roman"/>
                <w:b/>
                <w:bCs/>
                <w:color w:val="000000"/>
                <w:highlight w:val="none"/>
                <w:lang w:val="en-US" w:eastAsia="zh-CN"/>
              </w:rPr>
              <w:t>1）对陆生野生动物的影响分析</w:t>
            </w:r>
          </w:p>
          <w:p w14:paraId="14DFF754">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eastAsia="宋体" w:cs="Times New Roman"/>
                <w:b/>
                <w:bCs/>
                <w:color w:val="000000"/>
                <w:highlight w:val="none"/>
                <w:lang w:val="en-US" w:eastAsia="zh-CN"/>
              </w:rPr>
            </w:pPr>
            <w:r>
              <w:rPr>
                <w:rFonts w:hint="default" w:ascii="Times New Roman" w:hAnsi="Times New Roman" w:cs="Times New Roman"/>
                <w:b/>
                <w:bCs/>
                <w:color w:val="000000"/>
                <w:highlight w:val="none"/>
                <w:lang w:val="en-US" w:eastAsia="zh-CN"/>
              </w:rPr>
              <w:t>①对陆生哺乳类、爬行类、两栖类动物的影响</w:t>
            </w:r>
          </w:p>
          <w:p w14:paraId="4199C416">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根据现状调查，评价区内现有陆生野生动物种类和数量较少，分布密度和出现频率较低</w:t>
            </w:r>
            <w:r>
              <w:rPr>
                <w:rFonts w:hint="eastAsia" w:cs="Times New Roman"/>
                <w:color w:val="000000"/>
                <w:highlight w:val="none"/>
                <w:lang w:val="en-US" w:eastAsia="zh-CN"/>
              </w:rPr>
              <w:t>且</w:t>
            </w:r>
            <w:r>
              <w:rPr>
                <w:rFonts w:hint="default" w:ascii="Times New Roman" w:hAnsi="Times New Roman" w:cs="Times New Roman"/>
                <w:color w:val="000000"/>
                <w:highlight w:val="none"/>
                <w:lang w:val="en-US" w:eastAsia="zh-CN"/>
              </w:rPr>
              <w:t>未见大型兽类分布。现有陆生野生动物为普通的蛙类、蛇类和小型兽类等一般陆生野生动物，不属于地方特有物种，而属于广布性物种。评价区未发现国家级和省级重点保护陆生野生动物。</w:t>
            </w:r>
          </w:p>
          <w:p w14:paraId="07919D0F">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本项目</w:t>
            </w:r>
            <w:r>
              <w:rPr>
                <w:rFonts w:hint="default" w:ascii="Times New Roman" w:hAnsi="Times New Roman" w:cs="Times New Roman"/>
                <w:color w:val="000000"/>
                <w:highlight w:val="none"/>
              </w:rPr>
              <w:t>永久占地将直接导致项目区域内</w:t>
            </w:r>
            <w:r>
              <w:rPr>
                <w:rFonts w:hint="default" w:ascii="Times New Roman" w:hAnsi="Times New Roman" w:cs="Times New Roman"/>
                <w:color w:val="000000"/>
                <w:highlight w:val="none"/>
                <w:lang w:val="en-US" w:eastAsia="zh-CN"/>
              </w:rPr>
              <w:t>哺乳类、爬行类、两栖类动物</w:t>
            </w:r>
            <w:r>
              <w:rPr>
                <w:rFonts w:hint="default" w:ascii="Times New Roman" w:hAnsi="Times New Roman" w:cs="Times New Roman"/>
                <w:color w:val="000000"/>
                <w:highlight w:val="none"/>
              </w:rPr>
              <w:t>生境的丧失，项目施工时产生的噪声、机械振动会驱使施工边缘区域的动物离开受影响区域，施工所产生的废弃物对其生活环境也会造成一定的影响。</w:t>
            </w:r>
            <w:r>
              <w:rPr>
                <w:rFonts w:hint="default" w:ascii="Times New Roman" w:hAnsi="Times New Roman" w:cs="Times New Roman"/>
                <w:color w:val="000000"/>
                <w:highlight w:val="none"/>
                <w:lang w:val="en-US" w:eastAsia="zh-CN"/>
              </w:rPr>
              <w:t>哺乳类、爬行类、两栖类</w:t>
            </w:r>
            <w:r>
              <w:rPr>
                <w:rFonts w:hint="default" w:ascii="Times New Roman" w:hAnsi="Times New Roman" w:cs="Times New Roman"/>
                <w:color w:val="000000"/>
                <w:highlight w:val="none"/>
              </w:rPr>
              <w:t>动物活动能力较强，活动范围较大，在施工噪声、振动、人为活动等因素刺激下，能迅速作出规避反应，因此项目施工期对动物影响较小。</w:t>
            </w:r>
          </w:p>
          <w:p w14:paraId="30A1928E">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eastAsia="宋体" w:cs="Times New Roman"/>
                <w:b/>
                <w:bCs/>
                <w:color w:val="000000"/>
                <w:highlight w:val="none"/>
                <w:lang w:val="en-US" w:eastAsia="zh-CN"/>
              </w:rPr>
            </w:pPr>
            <w:r>
              <w:rPr>
                <w:rFonts w:hint="default" w:ascii="Times New Roman" w:hAnsi="Times New Roman" w:cs="Times New Roman"/>
                <w:b/>
                <w:bCs/>
                <w:color w:val="000000"/>
                <w:highlight w:val="none"/>
                <w:lang w:val="en-US" w:eastAsia="zh-CN"/>
              </w:rPr>
              <w:t>②对鸟类动物的影响</w:t>
            </w:r>
          </w:p>
          <w:p w14:paraId="79197B28">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项目施工期对鸟类的主要影响有以下几方面：施工作业及施工人员的活动对鸟类栖息地生境的干扰和破坏，建设永久性占地有可能破坏生境和干扰灌丛栖息鸟类的小生境；施工机械噪声对鸟类栖息地声环境的破坏和机械噪声对鸟类的驱赶；施工中砍伐树木对鸟类巢穴的破坏；施工人员对鸟类的捕捉；项目施工作业及施工人员的活动对鸟类迁徙的影响。</w:t>
            </w:r>
          </w:p>
          <w:p w14:paraId="28F81619">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项目施工建设时不可避免</w:t>
            </w:r>
            <w:r>
              <w:rPr>
                <w:rFonts w:hint="default" w:ascii="Times New Roman" w:hAnsi="Times New Roman" w:cs="Times New Roman"/>
                <w:color w:val="000000"/>
                <w:highlight w:val="none"/>
                <w:lang w:eastAsia="zh-CN"/>
              </w:rPr>
              <w:t>地</w:t>
            </w:r>
            <w:r>
              <w:rPr>
                <w:rFonts w:hint="default" w:ascii="Times New Roman" w:hAnsi="Times New Roman" w:cs="Times New Roman"/>
                <w:color w:val="000000"/>
                <w:highlight w:val="none"/>
              </w:rPr>
              <w:t>会对</w:t>
            </w:r>
            <w:r>
              <w:rPr>
                <w:rFonts w:hint="default" w:ascii="Times New Roman" w:hAnsi="Times New Roman" w:cs="Times New Roman"/>
                <w:color w:val="000000"/>
                <w:highlight w:val="none"/>
                <w:lang w:val="en-US" w:eastAsia="zh-CN"/>
              </w:rPr>
              <w:t>项目区</w:t>
            </w:r>
            <w:r>
              <w:rPr>
                <w:rFonts w:hint="default" w:ascii="Times New Roman" w:hAnsi="Times New Roman" w:cs="Times New Roman"/>
                <w:color w:val="000000"/>
                <w:highlight w:val="none"/>
              </w:rPr>
              <w:t>鸟类产生一定的影响，项目周边人员活动较为频繁，鸟类活动能力强，项目影响区及以外区域类似生境丰富，鸟类受到施工干扰后可自由迁移至适宜生境生存</w:t>
            </w:r>
            <w:r>
              <w:rPr>
                <w:rFonts w:hint="eastAsia" w:cs="Times New Roman"/>
                <w:color w:val="000000"/>
                <w:highlight w:val="none"/>
                <w:lang w:eastAsia="zh-CN"/>
              </w:rPr>
              <w:t>且</w:t>
            </w:r>
            <w:r>
              <w:rPr>
                <w:rFonts w:hint="default" w:ascii="Times New Roman" w:hAnsi="Times New Roman" w:cs="Times New Roman"/>
                <w:color w:val="000000"/>
                <w:highlight w:val="none"/>
              </w:rPr>
              <w:t>此种影响具有暂时性、分散性的特点，待施工结束后，影响亦将逐渐消除。</w:t>
            </w:r>
          </w:p>
          <w:p w14:paraId="12CE775A">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鸟类迁徙过程中，在大风、阴雨天气的夜间表现出极强的趋光性，因此，如果在鸟类迁徙季节里安排夜间施工的话，夜间施工的照明光源可能对候鸟造成一定的伤害。在严格规范施工时间、加强施工管理的前提下，施工活动对鸟类迁徙的影响是可以得到有效避免的。</w:t>
            </w:r>
          </w:p>
          <w:p w14:paraId="10E210F6">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eastAsia="宋体" w:cs="Times New Roman"/>
                <w:color w:val="000000"/>
                <w:highlight w:val="none"/>
                <w:lang w:val="en-US" w:eastAsia="zh-CN"/>
              </w:rPr>
            </w:pPr>
            <w:r>
              <w:rPr>
                <w:rFonts w:hint="default" w:ascii="Times New Roman" w:hAnsi="Times New Roman" w:cs="Times New Roman"/>
                <w:b/>
                <w:bCs/>
                <w:color w:val="000000"/>
                <w:highlight w:val="none"/>
                <w:lang w:val="en-US" w:eastAsia="zh-CN"/>
              </w:rPr>
              <w:t>2）运营期</w:t>
            </w:r>
            <w:r>
              <w:rPr>
                <w:rFonts w:hint="default" w:ascii="Times New Roman" w:hAnsi="Times New Roman" w:cs="Times New Roman"/>
                <w:b/>
                <w:bCs/>
                <w:color w:val="000000"/>
                <w:highlight w:val="none"/>
                <w:lang w:eastAsia="zh-CN"/>
              </w:rPr>
              <w:t>对陆生动物的影响分析</w:t>
            </w:r>
          </w:p>
          <w:p w14:paraId="2B0BC89E">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本项目运营期对陆生动物的影响主要表现为渔港日常活动所带来的干扰。港区运营期间，人员活动、车辆行驶、机械设备运转等产生的噪声和人为干扰，可能会对周边陆生动物的行为习惯产生影响。港区运营过程中产生的各种污染物，若处理不当，可能对周边土壤、水体环境造成污染，进而影响陆生动物的生存环境质量。</w:t>
            </w:r>
            <w:r>
              <w:rPr>
                <w:rFonts w:hint="default" w:ascii="Times New Roman" w:hAnsi="Times New Roman" w:cs="Times New Roman"/>
                <w:color w:val="000000"/>
                <w:highlight w:val="none"/>
                <w:lang w:eastAsia="zh-CN"/>
              </w:rPr>
              <w:t>同时，港区内可能存在的灯光照明，尤其是夜间的强光，可能会对部分夜行性陆生动物的活动规律和生理节律产生干扰，影响其正常的觅食和繁殖行为。</w:t>
            </w:r>
          </w:p>
          <w:p w14:paraId="1CD9755D">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本项目将在港区进行一定的绿化建设，这些绿化区域将为部分适应性较强的小型陆生动物提供新的栖息和觅食场所，一定程度上弥补因工程建设导致的生境损失。此外，项目运营期将严格落实各项环保措施，确保生活污水、生产废水经处理后回用，固体废物得到及时清运和规范处置，最大限度减少对周边土壤和水体环境的污染，从而降低对陆生动物生存环境的不利影响。对于夜间照明，将合理规划照明区域和亮度，避免强光直射周边区域，减少对夜行性动物的干扰。综合来看，在采取有效的生态保护措施后，</w:t>
            </w:r>
            <w:r>
              <w:rPr>
                <w:rFonts w:hint="default" w:ascii="Times New Roman" w:hAnsi="Times New Roman" w:cs="Times New Roman"/>
                <w:color w:val="000000"/>
                <w:highlight w:val="none"/>
                <w:lang w:eastAsia="zh-CN"/>
              </w:rPr>
              <w:t>可以最大限度地降低运营期对陆生动物的不利影响。</w:t>
            </w:r>
          </w:p>
          <w:p w14:paraId="1987607D">
            <w:pPr>
              <w:pStyle w:val="5"/>
              <w:bidi w:val="0"/>
              <w:rPr>
                <w:rFonts w:hint="default"/>
                <w:lang w:eastAsia="zh-CN"/>
              </w:rPr>
            </w:pPr>
            <w:bookmarkStart w:id="348" w:name="_Toc11991"/>
            <w:r>
              <w:rPr>
                <w:rFonts w:hint="default"/>
                <w:lang w:eastAsia="zh-CN"/>
              </w:rPr>
              <w:t>生态系统的影响分析</w:t>
            </w:r>
            <w:bookmarkEnd w:id="348"/>
          </w:p>
          <w:p w14:paraId="6AE45C94">
            <w:pPr>
              <w:ind w:firstLine="482" w:firstLineChars="200"/>
              <w:rPr>
                <w:rFonts w:hint="default" w:ascii="Times New Roman" w:hAnsi="Times New Roman" w:cs="Times New Roman"/>
                <w:b/>
                <w:bCs/>
                <w:color w:val="000000"/>
                <w:highlight w:val="none"/>
                <w:lang w:eastAsia="zh-CN"/>
              </w:rPr>
            </w:pP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1</w:t>
            </w:r>
            <w:r>
              <w:rPr>
                <w:rFonts w:hint="default" w:ascii="Times New Roman" w:hAnsi="Times New Roman" w:cs="Times New Roman"/>
                <w:b/>
                <w:bCs/>
                <w:color w:val="000000"/>
                <w:highlight w:val="none"/>
                <w:lang w:eastAsia="zh-CN"/>
              </w:rPr>
              <w:t>）对生态系统组成与功能的影响分析</w:t>
            </w:r>
          </w:p>
          <w:p w14:paraId="03EB57D8">
            <w:pPr>
              <w:ind w:firstLine="482" w:firstLineChars="200"/>
              <w:rPr>
                <w:rFonts w:hint="default" w:ascii="Times New Roman" w:hAnsi="Times New Roman" w:cs="Times New Roman"/>
                <w:b/>
                <w:bCs/>
                <w:color w:val="000000"/>
                <w:highlight w:val="none"/>
                <w:lang w:eastAsia="zh-CN"/>
              </w:rPr>
            </w:pPr>
            <w:r>
              <w:rPr>
                <w:rFonts w:hint="default" w:ascii="Times New Roman" w:hAnsi="Times New Roman" w:cs="Times New Roman"/>
                <w:b/>
                <w:bCs/>
                <w:color w:val="000000"/>
                <w:highlight w:val="none"/>
                <w:lang w:val="en-US" w:eastAsia="zh-CN"/>
              </w:rPr>
              <w:t>①</w:t>
            </w:r>
            <w:r>
              <w:rPr>
                <w:rFonts w:hint="default" w:ascii="Times New Roman" w:hAnsi="Times New Roman" w:cs="Times New Roman"/>
                <w:b/>
                <w:bCs/>
                <w:color w:val="000000"/>
                <w:highlight w:val="none"/>
                <w:lang w:eastAsia="zh-CN"/>
              </w:rPr>
              <w:t>对森林生态系统的影响分析</w:t>
            </w:r>
          </w:p>
          <w:p w14:paraId="7777DA61">
            <w:pPr>
              <w:rPr>
                <w:rFonts w:hint="default" w:ascii="Times New Roman" w:hAnsi="Times New Roman" w:cs="Times New Roman"/>
                <w:b w:val="0"/>
                <w:bCs w:val="0"/>
                <w:color w:val="000000"/>
                <w:highlight w:val="none"/>
                <w:lang w:val="en-US" w:eastAsia="zh-CN"/>
              </w:rPr>
            </w:pPr>
            <w:r>
              <w:rPr>
                <w:rFonts w:hint="default" w:ascii="Times New Roman" w:hAnsi="Times New Roman" w:cs="Times New Roman"/>
                <w:b w:val="0"/>
                <w:bCs w:val="0"/>
                <w:color w:val="000000"/>
                <w:highlight w:val="none"/>
                <w:lang w:val="en-US" w:eastAsia="zh-CN"/>
              </w:rPr>
              <w:t>施工期对森林生态系统的影响主要体现在植被清理、土壤扰动以及施工活动对周边林地的间接干扰。由于项目区周边仍有类似的森林生境存在，因此，项目建设不会对区域森林生态系统的整体组成和主导功能造成系统性、根本性的破坏。</w:t>
            </w:r>
          </w:p>
          <w:p w14:paraId="64728D62">
            <w:pPr>
              <w:ind w:firstLine="482" w:firstLineChars="20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②对灌草丛生态系统的影响分析</w:t>
            </w:r>
          </w:p>
          <w:p w14:paraId="40175CB2">
            <w:pPr>
              <w:rPr>
                <w:rFonts w:hint="default" w:ascii="Times New Roman" w:hAnsi="Times New Roman" w:cs="Times New Roman"/>
                <w:b w:val="0"/>
                <w:bCs w:val="0"/>
                <w:color w:val="000000"/>
                <w:highlight w:val="none"/>
                <w:lang w:val="en-US" w:eastAsia="zh-CN"/>
              </w:rPr>
            </w:pPr>
            <w:r>
              <w:rPr>
                <w:rFonts w:hint="default" w:ascii="Times New Roman" w:hAnsi="Times New Roman" w:cs="Times New Roman"/>
                <w:b w:val="0"/>
                <w:bCs w:val="0"/>
                <w:color w:val="000000"/>
                <w:highlight w:val="none"/>
                <w:lang w:val="en-US" w:eastAsia="zh-CN"/>
              </w:rPr>
              <w:t>评价区内灌草丛生态系统分布较为广泛</w:t>
            </w:r>
            <w:r>
              <w:rPr>
                <w:rFonts w:hint="eastAsia" w:cs="Times New Roman"/>
                <w:b w:val="0"/>
                <w:bCs w:val="0"/>
                <w:color w:val="000000"/>
                <w:highlight w:val="none"/>
                <w:lang w:val="en-US" w:eastAsia="zh-CN"/>
              </w:rPr>
              <w:t>且</w:t>
            </w:r>
            <w:r>
              <w:rPr>
                <w:rFonts w:hint="default" w:ascii="Times New Roman" w:hAnsi="Times New Roman" w:cs="Times New Roman"/>
                <w:b w:val="0"/>
                <w:bCs w:val="0"/>
                <w:color w:val="000000"/>
                <w:highlight w:val="none"/>
                <w:lang w:val="en-US" w:eastAsia="zh-CN"/>
              </w:rPr>
              <w:t>多为次生或人工干扰后的植被类型，生物多样性和生态系统稳定性相对较低，项目建设对其造成的影响范围和程度有限，不会改变区域灌草丛生态系统的整体格局和主要生态过程。</w:t>
            </w:r>
          </w:p>
          <w:p w14:paraId="7DCE8EB4">
            <w:pPr>
              <w:ind w:firstLine="482" w:firstLineChars="20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③对湿地生态系统的影响分析</w:t>
            </w:r>
          </w:p>
          <w:p w14:paraId="647B70AF">
            <w:pPr>
              <w:ind w:firstLine="480" w:firstLineChars="200"/>
              <w:rPr>
                <w:rFonts w:hint="default" w:ascii="Times New Roman" w:hAnsi="Times New Roman" w:cs="Times New Roman"/>
                <w:b w:val="0"/>
                <w:bCs w:val="0"/>
                <w:color w:val="000000"/>
                <w:highlight w:val="none"/>
                <w:lang w:val="en-US" w:eastAsia="zh-CN"/>
              </w:rPr>
            </w:pPr>
            <w:r>
              <w:rPr>
                <w:rFonts w:hint="default" w:ascii="Times New Roman" w:hAnsi="Times New Roman" w:cs="Times New Roman"/>
                <w:b w:val="0"/>
                <w:bCs w:val="0"/>
                <w:color w:val="000000"/>
                <w:highlight w:val="none"/>
                <w:lang w:val="en-US" w:eastAsia="zh-CN"/>
              </w:rPr>
              <w:t>本项目陆域工程建设区域主要为林地和草地，对陆域湿地生态系统的直接影响较小。但需注意施工期产生的施工废水、生活污水若处理不当，可能通过地表径流等途径对周边湿地、水体造成污染，进而影响其水质和水生生物，间接影响湿地生态系统的功能。因此，通过严格落实施工期的废水处理回用，可将此类间接影响控制在较低水平。</w:t>
            </w:r>
          </w:p>
          <w:p w14:paraId="06E0796E">
            <w:pPr>
              <w:ind w:firstLine="482" w:firstLineChars="20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④对农业生态系统的影响分析</w:t>
            </w:r>
          </w:p>
          <w:p w14:paraId="12C4B88F">
            <w:pPr>
              <w:ind w:firstLine="480" w:firstLineChars="200"/>
              <w:rPr>
                <w:rFonts w:hint="default" w:ascii="Times New Roman" w:hAnsi="Times New Roman" w:cs="Times New Roman"/>
                <w:b w:val="0"/>
                <w:bCs w:val="0"/>
                <w:color w:val="000000"/>
                <w:highlight w:val="none"/>
                <w:lang w:val="en-US" w:eastAsia="zh-CN"/>
              </w:rPr>
            </w:pPr>
            <w:r>
              <w:rPr>
                <w:rFonts w:hint="default" w:ascii="Times New Roman" w:hAnsi="Times New Roman" w:cs="Times New Roman"/>
                <w:b w:val="0"/>
                <w:bCs w:val="0"/>
                <w:color w:val="000000"/>
                <w:highlight w:val="none"/>
                <w:lang w:val="en-US" w:eastAsia="zh-CN"/>
              </w:rPr>
              <w:t>本项目后方陆域不涉及农业用地，不会对农业生态系统造成直接结构破坏。但施工期材料运输车辆若在途经周边农业区域道路时发生物料泄漏，可能对农田土壤造成局部污染；施工扬尘若飘落在农作物叶片上，可能影响其光合作用和生长发育。由于项目运输路线为现有市政道路</w:t>
            </w:r>
            <w:r>
              <w:rPr>
                <w:rFonts w:hint="eastAsia" w:cs="Times New Roman"/>
                <w:b w:val="0"/>
                <w:bCs w:val="0"/>
                <w:color w:val="000000"/>
                <w:highlight w:val="none"/>
                <w:lang w:val="en-US" w:eastAsia="zh-CN"/>
              </w:rPr>
              <w:t>且</w:t>
            </w:r>
            <w:r>
              <w:rPr>
                <w:rFonts w:hint="default" w:ascii="Times New Roman" w:hAnsi="Times New Roman" w:cs="Times New Roman"/>
                <w:b w:val="0"/>
                <w:bCs w:val="0"/>
                <w:color w:val="000000"/>
                <w:highlight w:val="none"/>
                <w:lang w:val="en-US" w:eastAsia="zh-CN"/>
              </w:rPr>
              <w:t>将采取严格的车辆密封、覆盖及道路清扫措施，此类影响可得到有效控制。运营期港区产生的生活污水、生产废水均经处理后回用，固体废物也将及时清运，不会对农业生态系统的土壤、水体等环境要素造成显著不利影响。</w:t>
            </w:r>
          </w:p>
          <w:p w14:paraId="73C35DC3">
            <w:pPr>
              <w:rPr>
                <w:rFonts w:hint="default" w:ascii="Times New Roman" w:hAnsi="Times New Roman" w:cs="Times New Roman"/>
                <w:b w:val="0"/>
                <w:bCs w:val="0"/>
                <w:color w:val="000000"/>
                <w:highlight w:val="none"/>
                <w:lang w:val="en-US" w:eastAsia="zh-CN"/>
              </w:rPr>
            </w:pPr>
            <w:r>
              <w:rPr>
                <w:rFonts w:hint="default" w:ascii="Times New Roman" w:hAnsi="Times New Roman" w:cs="Times New Roman"/>
                <w:b w:val="0"/>
                <w:bCs w:val="0"/>
                <w:color w:val="000000"/>
                <w:highlight w:val="none"/>
                <w:lang w:val="en-US" w:eastAsia="zh-CN"/>
              </w:rPr>
              <w:t>因此，本项目建设和运营对农业生态系统的影响较小。</w:t>
            </w:r>
          </w:p>
          <w:p w14:paraId="080FF759">
            <w:pPr>
              <w:ind w:firstLine="482" w:firstLineChars="20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⑤对城镇生态系统的影响分析</w:t>
            </w:r>
          </w:p>
          <w:p w14:paraId="5C10E6B8">
            <w:pPr>
              <w:ind w:firstLine="480" w:firstLineChars="200"/>
              <w:rPr>
                <w:rFonts w:hint="default" w:ascii="Times New Roman" w:hAnsi="Times New Roman" w:cs="Times New Roman"/>
                <w:b w:val="0"/>
                <w:bCs w:val="0"/>
                <w:color w:val="000000"/>
                <w:highlight w:val="none"/>
                <w:lang w:val="en-US" w:eastAsia="zh-CN"/>
              </w:rPr>
            </w:pPr>
            <w:r>
              <w:rPr>
                <w:rFonts w:hint="default" w:ascii="Times New Roman" w:hAnsi="Times New Roman" w:cs="Times New Roman"/>
                <w:b w:val="0"/>
                <w:bCs w:val="0"/>
                <w:color w:val="000000"/>
                <w:highlight w:val="none"/>
                <w:lang w:val="en-US" w:eastAsia="zh-CN"/>
              </w:rPr>
              <w:t>项目施工期对城镇生态环境的影响主要包括施工扬尘、噪声、施工废水和固体废弃物等。运营期港区内车辆行驶、装卸作业等会产生一定的交通噪声和作业噪声；渔产品废弃物若管理不当，可能产生恶臭气体，影响周边空气质量；港区污水处理站、垃圾收集点等设施的运行状况，直接关系到污染物的排放控制，若处理不当，可能对城镇水环境和土壤环境造成污染。</w:t>
            </w:r>
          </w:p>
          <w:p w14:paraId="3E536900">
            <w:pPr>
              <w:rPr>
                <w:rFonts w:hint="default" w:ascii="Times New Roman" w:hAnsi="Times New Roman" w:cs="Times New Roman"/>
                <w:b w:val="0"/>
                <w:bCs w:val="0"/>
                <w:color w:val="000000"/>
                <w:highlight w:val="none"/>
                <w:lang w:val="en-US" w:eastAsia="zh-CN"/>
              </w:rPr>
            </w:pPr>
            <w:r>
              <w:rPr>
                <w:rFonts w:hint="default" w:ascii="Times New Roman" w:hAnsi="Times New Roman" w:cs="Times New Roman"/>
                <w:b w:val="0"/>
                <w:bCs w:val="0"/>
                <w:color w:val="000000"/>
                <w:highlight w:val="none"/>
                <w:lang w:val="en-US" w:eastAsia="zh-CN"/>
              </w:rPr>
              <w:t>通过严格落实各项环保措施，施工期采取围挡、洒水降尘、选用低噪声设备、设置临时污水处理设施、规范固废堆放与清运；运营期加强设备维护、优化作业时间、确保污水处理站稳定运行</w:t>
            </w:r>
            <w:r>
              <w:rPr>
                <w:rFonts w:hint="eastAsia" w:cs="Times New Roman"/>
                <w:b w:val="0"/>
                <w:bCs w:val="0"/>
                <w:color w:val="000000"/>
                <w:highlight w:val="none"/>
                <w:lang w:val="en-US" w:eastAsia="zh-CN"/>
              </w:rPr>
              <w:t>及</w:t>
            </w:r>
            <w:r>
              <w:rPr>
                <w:rFonts w:hint="default" w:ascii="Times New Roman" w:hAnsi="Times New Roman" w:cs="Times New Roman"/>
                <w:b w:val="0"/>
                <w:bCs w:val="0"/>
                <w:color w:val="000000"/>
                <w:highlight w:val="none"/>
                <w:lang w:val="en-US" w:eastAsia="zh-CN"/>
              </w:rPr>
              <w:t>时清运废弃物等，可将项目对城镇生态环境的负面影响控制在可接受范围内。</w:t>
            </w:r>
          </w:p>
          <w:p w14:paraId="6391FA58">
            <w:pPr>
              <w:ind w:firstLine="480" w:firstLineChars="200"/>
              <w:rPr>
                <w:rFonts w:hint="default" w:ascii="Times New Roman" w:hAnsi="Times New Roman" w:cs="Times New Roman"/>
                <w:b w:val="0"/>
                <w:bCs w:val="0"/>
                <w:color w:val="000000"/>
                <w:highlight w:val="none"/>
                <w:lang w:val="en-US" w:eastAsia="zh-CN"/>
              </w:rPr>
            </w:pPr>
            <w:r>
              <w:rPr>
                <w:rFonts w:hint="default" w:ascii="Times New Roman" w:hAnsi="Times New Roman" w:cs="Times New Roman"/>
                <w:b w:val="0"/>
                <w:bCs w:val="0"/>
                <w:color w:val="000000"/>
                <w:highlight w:val="none"/>
                <w:lang w:val="en-US" w:eastAsia="zh-CN"/>
              </w:rPr>
              <w:t>综上所述，本项目陆域工程建设对评价区内林地、草地等生态系统的组成造成了局部的、一定程度的影响，短期内会对物质循环、能量流动及栖息地提供等功能产生干扰。但通过采取施工期、运营期的生态保护措施，可以在一定程度上缓解这些不利影响，不会对区域整体生态系统的稳定性和主要生态功能造成显著的、不可逆转的破坏。</w:t>
            </w:r>
          </w:p>
          <w:p w14:paraId="47229F98">
            <w:pPr>
              <w:ind w:firstLine="482" w:firstLineChars="200"/>
              <w:rPr>
                <w:rFonts w:hint="default" w:ascii="Times New Roman" w:hAnsi="Times New Roman" w:cs="Times New Roman"/>
                <w:b/>
                <w:bCs/>
                <w:color w:val="000000"/>
                <w:highlight w:val="none"/>
                <w:lang w:eastAsia="zh-CN"/>
              </w:rPr>
            </w:pP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2</w:t>
            </w:r>
            <w:r>
              <w:rPr>
                <w:rFonts w:hint="default" w:ascii="Times New Roman" w:hAnsi="Times New Roman" w:cs="Times New Roman"/>
                <w:b/>
                <w:bCs/>
                <w:color w:val="000000"/>
                <w:highlight w:val="none"/>
                <w:lang w:eastAsia="zh-CN"/>
              </w:rPr>
              <w:t>）生态完整性的影响分析</w:t>
            </w:r>
          </w:p>
          <w:p w14:paraId="588FE7AD">
            <w:pPr>
              <w:ind w:firstLine="480" w:firstLineChars="200"/>
              <w:rPr>
                <w:rFonts w:hint="default" w:ascii="Times New Roman" w:hAnsi="Times New Roman" w:cs="Times New Roman"/>
                <w:b w:val="0"/>
                <w:bCs w:val="0"/>
                <w:color w:val="000000"/>
                <w:highlight w:val="none"/>
                <w:lang w:eastAsia="zh-CN"/>
              </w:rPr>
            </w:pPr>
            <w:r>
              <w:rPr>
                <w:rFonts w:hint="default" w:ascii="Times New Roman" w:hAnsi="Times New Roman" w:cs="Times New Roman"/>
                <w:b w:val="0"/>
                <w:bCs w:val="0"/>
                <w:color w:val="000000"/>
                <w:highlight w:val="none"/>
                <w:lang w:eastAsia="zh-CN"/>
              </w:rPr>
              <w:t>生态系统完整性是在生物完整性概念基础上发展起来的</w:t>
            </w:r>
            <w:r>
              <w:rPr>
                <w:rFonts w:hint="eastAsia" w:cs="Times New Roman"/>
                <w:b w:val="0"/>
                <w:bCs w:val="0"/>
                <w:color w:val="000000"/>
                <w:highlight w:val="none"/>
                <w:lang w:eastAsia="zh-CN"/>
              </w:rPr>
              <w:t>且</w:t>
            </w:r>
            <w:r>
              <w:rPr>
                <w:rFonts w:hint="default" w:ascii="Times New Roman" w:hAnsi="Times New Roman" w:cs="Times New Roman"/>
                <w:b w:val="0"/>
                <w:bCs w:val="0"/>
                <w:color w:val="000000"/>
                <w:highlight w:val="none"/>
                <w:lang w:eastAsia="zh-CN"/>
              </w:rPr>
              <w:t>因“系统”的特性，其内涵更加丰富。从系统的角度考察完整性，包括三个层次：一是组成系统的成分是否完整，即系统是否具有本生的全部物种，二是系统的组织结构是否完整，三是系统的功能是否健康。结合本项目特点，从这三个层次分析如下：</w:t>
            </w:r>
          </w:p>
          <w:p w14:paraId="5E0C20BE">
            <w:pPr>
              <w:rPr>
                <w:rFonts w:hint="default" w:ascii="Times New Roman" w:hAnsi="Times New Roman" w:cs="Times New Roman"/>
                <w:b w:val="0"/>
                <w:bCs w:val="0"/>
                <w:color w:val="000000"/>
                <w:highlight w:val="none"/>
                <w:lang w:eastAsia="zh-CN"/>
              </w:rPr>
            </w:pPr>
            <w:r>
              <w:rPr>
                <w:rFonts w:hint="default" w:ascii="Times New Roman" w:hAnsi="Times New Roman" w:cs="Times New Roman"/>
                <w:b w:val="0"/>
                <w:bCs w:val="0"/>
                <w:color w:val="000000"/>
                <w:highlight w:val="none"/>
                <w:lang w:eastAsia="zh-CN"/>
              </w:rPr>
              <w:t>在组成成分完整性方面，评价区内未发现国家及省级重点保护野生动植物，现有陆生生物多为广布种，群落结构相对简单。项目建设虽导致局部区域植被清除和生境丧失，使得该区域内的部分植物物种和依赖其生存的小型动物暂时或永久消失，但由于这些物种在评价区外的类似生境中广泛存在，未导致区域内特有或珍稀物种的消失，系统的物种组成完整性未受到根本性破坏。</w:t>
            </w:r>
          </w:p>
          <w:p w14:paraId="1275150B">
            <w:pPr>
              <w:rPr>
                <w:rFonts w:hint="default" w:ascii="Times New Roman" w:hAnsi="Times New Roman" w:cs="Times New Roman"/>
                <w:b w:val="0"/>
                <w:bCs w:val="0"/>
                <w:color w:val="000000"/>
                <w:highlight w:val="none"/>
                <w:lang w:eastAsia="zh-CN"/>
              </w:rPr>
            </w:pPr>
            <w:r>
              <w:rPr>
                <w:rFonts w:hint="default" w:ascii="Times New Roman" w:hAnsi="Times New Roman" w:cs="Times New Roman"/>
                <w:b w:val="0"/>
                <w:bCs w:val="0"/>
                <w:color w:val="000000"/>
                <w:highlight w:val="none"/>
                <w:lang w:eastAsia="zh-CN"/>
              </w:rPr>
              <w:t>在组织结构完整性方面，从整个评价区域来看，项目影响范围相对有限，周边仍保留有</w:t>
            </w:r>
            <w:r>
              <w:rPr>
                <w:rFonts w:hint="default" w:ascii="Times New Roman" w:hAnsi="Times New Roman" w:cs="Times New Roman"/>
                <w:b w:val="0"/>
                <w:bCs w:val="0"/>
                <w:color w:val="000000"/>
                <w:highlight w:val="none"/>
                <w:lang w:val="en-US" w:eastAsia="zh-CN"/>
              </w:rPr>
              <w:t>林地</w:t>
            </w:r>
            <w:r>
              <w:rPr>
                <w:rFonts w:hint="default" w:ascii="Times New Roman" w:hAnsi="Times New Roman" w:cs="Times New Roman"/>
                <w:b w:val="0"/>
                <w:bCs w:val="0"/>
                <w:color w:val="000000"/>
                <w:highlight w:val="none"/>
                <w:lang w:eastAsia="zh-CN"/>
              </w:rPr>
              <w:t>、灌草丛等自然生态系统，这些生态系统的组织结构依然完整，能够维持区域内基本的生态过程和生物间的相互关系。</w:t>
            </w:r>
          </w:p>
          <w:p w14:paraId="6C6C783E">
            <w:pPr>
              <w:ind w:firstLine="480" w:firstLineChars="200"/>
              <w:rPr>
                <w:rFonts w:hint="default" w:ascii="Times New Roman" w:hAnsi="Times New Roman" w:cs="Times New Roman"/>
                <w:b w:val="0"/>
                <w:bCs w:val="0"/>
                <w:color w:val="000000"/>
                <w:highlight w:val="none"/>
                <w:lang w:eastAsia="zh-CN"/>
              </w:rPr>
            </w:pPr>
            <w:r>
              <w:rPr>
                <w:rFonts w:hint="default" w:ascii="Times New Roman" w:hAnsi="Times New Roman" w:cs="Times New Roman"/>
                <w:b w:val="0"/>
                <w:bCs w:val="0"/>
                <w:color w:val="000000"/>
                <w:highlight w:val="none"/>
                <w:lang w:eastAsia="zh-CN"/>
              </w:rPr>
              <w:t>在系统功能健康方面，施工期的植被破坏和土壤扰动，短期内会降低项目区域的初级生产力；运营期通过各项环保措施的落实，可有效减少污染物对周边环境的影响，维持土壤和水体环境的质量，保障生态系统物质循环的正常进行。虽然项目建设对局部区域的生态功能造成了一定影响，但并未对区域整体的能量流动和物质循环等核心生态功能产生系统性阻碍，区域生态系统仍能保持其基本的健康运行状态。</w:t>
            </w:r>
          </w:p>
          <w:p w14:paraId="5B3BA3A4">
            <w:pPr>
              <w:ind w:firstLine="480" w:firstLineChars="200"/>
              <w:rPr>
                <w:rFonts w:hint="default" w:ascii="Times New Roman" w:hAnsi="Times New Roman" w:cs="Times New Roman"/>
                <w:b w:val="0"/>
                <w:bCs w:val="0"/>
                <w:color w:val="000000"/>
                <w:highlight w:val="none"/>
                <w:lang w:eastAsia="zh-CN"/>
              </w:rPr>
            </w:pPr>
            <w:r>
              <w:rPr>
                <w:rFonts w:hint="default" w:ascii="Times New Roman" w:hAnsi="Times New Roman" w:cs="Times New Roman"/>
                <w:b w:val="0"/>
                <w:bCs w:val="0"/>
                <w:color w:val="000000"/>
                <w:highlight w:val="none"/>
                <w:lang w:val="en-US" w:eastAsia="zh-CN"/>
              </w:rPr>
              <w:t>总体而言，</w:t>
            </w:r>
            <w:r>
              <w:rPr>
                <w:rFonts w:hint="default" w:ascii="Times New Roman" w:hAnsi="Times New Roman" w:cs="Times New Roman"/>
                <w:b w:val="0"/>
                <w:bCs w:val="0"/>
                <w:color w:val="000000"/>
                <w:highlight w:val="none"/>
                <w:lang w:eastAsia="zh-CN"/>
              </w:rPr>
              <w:t>本项目建设对评价区域生态系统完整性的影响是可控的，不会导致区域生态系统完整性的丧失。</w:t>
            </w:r>
          </w:p>
          <w:p w14:paraId="19F1B1BE">
            <w:pPr>
              <w:pStyle w:val="5"/>
              <w:bidi w:val="0"/>
              <w:rPr>
                <w:rFonts w:hint="default"/>
                <w:lang w:eastAsia="zh-CN"/>
              </w:rPr>
            </w:pPr>
            <w:r>
              <w:rPr>
                <w:rFonts w:hint="default"/>
                <w:lang w:val="en-US" w:eastAsia="zh-CN"/>
              </w:rPr>
              <w:t>占用生态林的影响分析</w:t>
            </w:r>
          </w:p>
          <w:p w14:paraId="7F4D77C4">
            <w:pPr>
              <w:ind w:firstLine="480" w:firstLineChars="20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本项目后方陆域占用生态林20.4322hm</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lang w:val="en-US" w:eastAsia="zh-CN"/>
              </w:rPr>
              <w:t>，其中占用</w:t>
            </w:r>
            <w:r>
              <w:rPr>
                <w:rFonts w:hint="eastAsia" w:cs="Times New Roman"/>
                <w:color w:val="000000"/>
                <w:highlight w:val="none"/>
                <w:lang w:val="en-US" w:eastAsia="zh-CN"/>
              </w:rPr>
              <w:t>一级</w:t>
            </w:r>
            <w:r>
              <w:rPr>
                <w:rFonts w:hint="default" w:ascii="Times New Roman" w:hAnsi="Times New Roman" w:cs="Times New Roman"/>
                <w:color w:val="000000"/>
                <w:highlight w:val="none"/>
                <w:lang w:val="en-US" w:eastAsia="zh-CN"/>
              </w:rPr>
              <w:t>生态公益林地9.1446hm</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lang w:val="en-US" w:eastAsia="zh-CN"/>
              </w:rPr>
              <w:t>、省级生态公益林地11.2876hm</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lang w:val="en-US" w:eastAsia="zh-CN"/>
              </w:rPr>
              <w:t>，林地保护等级为</w:t>
            </w:r>
            <w:r>
              <w:rPr>
                <w:rFonts w:hint="default" w:ascii="Times New Roman" w:hAnsi="Times New Roman" w:cs="Times New Roman"/>
                <w:color w:val="000000"/>
                <w:highlight w:val="none"/>
              </w:rPr>
              <w:t>Ⅱ级</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根据《建设项目使用林地审核审批管理办法》（国家林业局第35号令）要求</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本项目已取得使用林地审核同意书（林资许准（闽）〔2021〕16号）及项目建设用地规划许可证（证号：地字第350181202400134号）。</w:t>
            </w:r>
          </w:p>
          <w:p w14:paraId="724026BE">
            <w:pPr>
              <w:ind w:firstLine="480" w:firstLineChars="20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根据生态调查情况，除了具有空中飞行能力的鸟类外，项目区现状陆生野生动物种类和数量较少，分布密度和出现频率较低，主要为普通的蛙类、蛇类和小型兽类等一般陆生野生动物，不属于地方特有物种，而属于广布性物种，未发现国家级和省级重点保护陆生野生动物。项目后方陆域建设将直接导致被占用林地原有生态功能的丧失，野生动物栖息地受到直接侵占和破坏，生物多样性受到一定程度的影响。但项目周边仍有相似类型的林地和自然生境存在，野生动物可迁徙至周边适宜区域栖息，不会对区域整体的生态林生态功能造成根本性的、不可逆转的影响。工程施工过程中应严格控制用地红线，采取围挡施工，沿项目区做好截排水、沉沙及边坡防护措施，从而减轻对林地的压占及破坏，降低对林地的影响。</w:t>
            </w:r>
          </w:p>
          <w:p w14:paraId="3BECFB83">
            <w:pPr>
              <w:pStyle w:val="4"/>
              <w:bidi w:val="0"/>
              <w:rPr>
                <w:rFonts w:hint="default"/>
              </w:rPr>
            </w:pPr>
            <w:bookmarkStart w:id="349" w:name="_Toc3416"/>
            <w:bookmarkStart w:id="350" w:name="_Toc18018"/>
            <w:r>
              <w:rPr>
                <w:rFonts w:hint="default"/>
                <w:lang w:val="en-US" w:eastAsia="zh-CN"/>
              </w:rPr>
              <w:t>湿地生态功能影响分析</w:t>
            </w:r>
            <w:bookmarkEnd w:id="349"/>
            <w:bookmarkEnd w:id="350"/>
          </w:p>
          <w:p w14:paraId="2A684451">
            <w:pPr>
              <w:pStyle w:val="5"/>
              <w:bidi w:val="0"/>
              <w:rPr>
                <w:rFonts w:hint="default"/>
                <w:lang w:val="en-US" w:eastAsia="zh-CN"/>
              </w:rPr>
            </w:pPr>
            <w:r>
              <w:rPr>
                <w:rFonts w:hint="default"/>
                <w:lang w:val="en-US" w:eastAsia="zh-CN"/>
              </w:rPr>
              <w:t>湿地重要程度</w:t>
            </w:r>
          </w:p>
          <w:p w14:paraId="03967458">
            <w:pPr>
              <w:ind w:firstLine="480" w:firstLineChars="20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rPr>
              <w:t>根据《福建省第一批省重要湿地保护名录》《福清市人民政府关于公布福清市第一批一般湿地名录的通知》，工程建设不涉及占用省重要湿地和一般湿地名录湿地。2024年9月</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建设单位委托</w:t>
            </w:r>
            <w:r>
              <w:rPr>
                <w:rFonts w:hint="default" w:ascii="Times New Roman" w:hAnsi="Times New Roman" w:cs="Times New Roman"/>
                <w:color w:val="000000"/>
                <w:highlight w:val="none"/>
              </w:rPr>
              <w:t>福建省林业勘察设计院编制《福清市海亮沃口一级渔港工程涉及福清市一般湿地生态功能影响评价报告》</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并于2026年2月3日取得了《福清市自然资源和规划局关于福建省福清市海亮沃口一级渔港工程建设项目涉及一般湿地的意见》（融自然综〔2026〕178号，附件16），</w:t>
            </w:r>
            <w:r>
              <w:rPr>
                <w:rFonts w:hint="eastAsia" w:ascii="Times New Roman" w:hAnsi="Times New Roman" w:cs="Times New Roman"/>
                <w:color w:val="000000"/>
                <w:highlight w:val="none"/>
                <w:lang w:val="en-US" w:eastAsia="zh-CN"/>
              </w:rPr>
              <w:t>本项目涉及占用福清市一般湿地面积为90.0425hm</w:t>
            </w:r>
            <w:r>
              <w:rPr>
                <w:rFonts w:hint="eastAsia" w:ascii="Times New Roman" w:hAnsi="Times New Roman" w:cs="Times New Roman"/>
                <w:color w:val="000000"/>
                <w:highlight w:val="none"/>
                <w:vertAlign w:val="superscript"/>
                <w:lang w:val="en-US" w:eastAsia="zh-CN"/>
              </w:rPr>
              <w:t>2</w:t>
            </w:r>
            <w:r>
              <w:rPr>
                <w:rFonts w:hint="eastAsia" w:ascii="Times New Roman" w:hAnsi="Times New Roman" w:cs="Times New Roman"/>
                <w:color w:val="000000"/>
                <w:highlight w:val="none"/>
                <w:lang w:val="en-US" w:eastAsia="zh-CN"/>
              </w:rPr>
              <w:t>，其中永久占用一般湿地</w:t>
            </w:r>
            <w:r>
              <w:rPr>
                <w:rFonts w:hint="default" w:ascii="Times New Roman" w:hAnsi="Times New Roman" w:cs="Times New Roman"/>
                <w:color w:val="000000"/>
                <w:highlight w:val="none"/>
                <w:lang w:val="en-US" w:eastAsia="zh-CN"/>
              </w:rPr>
              <w:t>89.8528</w:t>
            </w:r>
            <w:r>
              <w:rPr>
                <w:rFonts w:hint="eastAsia" w:ascii="Times New Roman" w:hAnsi="Times New Roman" w:cs="Times New Roman"/>
                <w:color w:val="000000"/>
                <w:highlight w:val="none"/>
                <w:lang w:val="en-US" w:eastAsia="zh-CN"/>
              </w:rPr>
              <w:t>hm</w:t>
            </w:r>
            <w:r>
              <w:rPr>
                <w:rFonts w:hint="eastAsia"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lang w:val="en-US" w:eastAsia="zh-CN"/>
              </w:rPr>
              <w:t>（沿海滩涂12.6564</w:t>
            </w:r>
            <w:r>
              <w:rPr>
                <w:rFonts w:hint="eastAsia" w:ascii="Times New Roman" w:hAnsi="Times New Roman" w:cs="Times New Roman"/>
                <w:color w:val="000000"/>
                <w:highlight w:val="none"/>
                <w:lang w:val="en-US" w:eastAsia="zh-CN"/>
              </w:rPr>
              <w:t>hm</w:t>
            </w:r>
            <w:r>
              <w:rPr>
                <w:rFonts w:hint="eastAsia"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lang w:val="en-US" w:eastAsia="zh-CN"/>
              </w:rPr>
              <w:t>、浅海水域77.1964</w:t>
            </w:r>
            <w:r>
              <w:rPr>
                <w:rFonts w:hint="eastAsia" w:ascii="Times New Roman" w:hAnsi="Times New Roman" w:cs="Times New Roman"/>
                <w:color w:val="000000"/>
                <w:highlight w:val="none"/>
                <w:lang w:val="en-US" w:eastAsia="zh-CN"/>
              </w:rPr>
              <w:t>hm</w:t>
            </w:r>
            <w:r>
              <w:rPr>
                <w:rFonts w:hint="eastAsia"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lang w:val="en-US" w:eastAsia="zh-CN"/>
              </w:rPr>
              <w:t>）</w:t>
            </w:r>
            <w:r>
              <w:rPr>
                <w:rFonts w:hint="eastAsia" w:ascii="Times New Roman" w:hAnsi="Times New Roman" w:cs="Times New Roman"/>
                <w:color w:val="000000"/>
                <w:highlight w:val="none"/>
                <w:lang w:val="en-US" w:eastAsia="zh-CN"/>
              </w:rPr>
              <w:t>，临时占用一般湿地</w:t>
            </w:r>
            <w:r>
              <w:rPr>
                <w:rFonts w:hint="default" w:ascii="Times New Roman" w:hAnsi="Times New Roman" w:cs="Times New Roman"/>
                <w:color w:val="000000"/>
                <w:highlight w:val="none"/>
                <w:lang w:val="en-US" w:eastAsia="zh-CN"/>
              </w:rPr>
              <w:t>0.1897</w:t>
            </w:r>
            <w:r>
              <w:rPr>
                <w:rFonts w:hint="eastAsia" w:ascii="Times New Roman" w:hAnsi="Times New Roman" w:cs="Times New Roman"/>
                <w:color w:val="000000"/>
                <w:highlight w:val="none"/>
                <w:lang w:val="en-US" w:eastAsia="zh-CN"/>
              </w:rPr>
              <w:t>hm</w:t>
            </w:r>
            <w:r>
              <w:rPr>
                <w:rFonts w:hint="eastAsia"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lang w:val="en-US" w:eastAsia="zh-CN"/>
              </w:rPr>
              <w:t>。项目建设涉及占用一般湿地，不具备重要生态功能。项目建设对湿地生态功能影响不大。</w:t>
            </w:r>
          </w:p>
          <w:p w14:paraId="67729EE4">
            <w:pPr>
              <w:pStyle w:val="5"/>
              <w:bidi w:val="0"/>
              <w:rPr>
                <w:rFonts w:hint="default"/>
                <w:lang w:val="en-US" w:eastAsia="zh-CN"/>
              </w:rPr>
            </w:pPr>
            <w:bookmarkStart w:id="351" w:name="_Toc12404"/>
            <w:r>
              <w:rPr>
                <w:rFonts w:hint="default"/>
                <w:lang w:val="en-US" w:eastAsia="zh-CN"/>
              </w:rPr>
              <w:t>对湿地面积、类型的影响</w:t>
            </w:r>
            <w:bookmarkEnd w:id="351"/>
          </w:p>
          <w:p w14:paraId="202BF12B">
            <w:pPr>
              <w:ind w:firstLine="480" w:firstLineChars="20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工程建设后，工程用地红线内的国土性质发生改变。影响评价区内一般湿地面积有所减少，但除工程用地红线占用面积外，影响评价区内一般湿地类型仍为沿海滩涂、坑塘水面、沟渠、浅海水域。故本工程建设改变工程用地红线内的用地属性，虽减少一般湿地生态系统的面积，但对该区域内一般湿地类型影响较小。</w:t>
            </w:r>
          </w:p>
          <w:p w14:paraId="07FFDC3C">
            <w:pPr>
              <w:pStyle w:val="5"/>
              <w:bidi w:val="0"/>
              <w:rPr>
                <w:rFonts w:hint="default"/>
                <w:lang w:val="en-US" w:eastAsia="zh-CN"/>
              </w:rPr>
            </w:pPr>
            <w:bookmarkStart w:id="352" w:name="_Toc29524"/>
            <w:r>
              <w:rPr>
                <w:rFonts w:hint="default"/>
                <w:lang w:val="en-US" w:eastAsia="zh-CN"/>
              </w:rPr>
              <w:t>湿地斑块破碎化</w:t>
            </w:r>
            <w:bookmarkEnd w:id="352"/>
          </w:p>
          <w:p w14:paraId="3616E1A5">
            <w:pPr>
              <w:ind w:firstLine="480" w:firstLineChars="20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影响评价区范围内，原有湿地斑块数为20块，工程建设后，湿地斑块数为22块。湿地斑块破碎化均由港内水域（港池）占用导致，但实际湿地依然连片存在，因此，工程占用对湿地斑块破碎化影响较小。</w:t>
            </w:r>
          </w:p>
          <w:p w14:paraId="456B6BB0">
            <w:pPr>
              <w:pStyle w:val="31"/>
              <w:bidi w:val="0"/>
              <w:rPr>
                <w:rFonts w:hint="default" w:ascii="Times New Roman" w:hAnsi="Times New Roman" w:cs="Times New Roman"/>
                <w:color w:val="000000"/>
                <w:highlight w:val="none"/>
                <w:lang w:val="en-US" w:eastAsia="zh-CN"/>
              </w:rPr>
            </w:pPr>
            <w:r>
              <w:rPr>
                <w:rFonts w:hint="eastAsia" w:cs="Times New Roman"/>
                <w:color w:val="000000"/>
                <w:kern w:val="2"/>
                <w:sz w:val="21"/>
                <w:szCs w:val="28"/>
                <w:highlight w:val="none"/>
                <w:lang w:val="en-US" w:eastAsia="zh-CN" w:bidi="ar-SA"/>
              </w:rPr>
              <w:t>（涉密删除）</w:t>
            </w:r>
          </w:p>
          <w:p w14:paraId="5578DCD6">
            <w:pPr>
              <w:pStyle w:val="30"/>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rPr>
              <w:t>图</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4.3</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图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20</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val="en-US" w:eastAsia="zh-CN"/>
              </w:rPr>
              <w:t xml:space="preserve"> 工程建设前后影响评价区湿地斑块变化分析图</w:t>
            </w:r>
          </w:p>
          <w:p w14:paraId="4E73D71E">
            <w:pPr>
              <w:pStyle w:val="30"/>
              <w:bidi w:val="0"/>
              <w:rPr>
                <w:rFonts w:hint="default" w:ascii="Times New Roman" w:hAnsi="Times New Roman" w:cs="Times New Roman"/>
                <w:color w:val="000000"/>
                <w:highlight w:val="none"/>
                <w:lang w:val="en-US" w:eastAsia="zh-CN"/>
              </w:rPr>
            </w:pPr>
          </w:p>
          <w:p w14:paraId="7D0C7D76">
            <w:pPr>
              <w:pStyle w:val="5"/>
              <w:bidi w:val="0"/>
              <w:rPr>
                <w:rFonts w:hint="default"/>
                <w:lang w:val="en-US" w:eastAsia="zh-CN"/>
              </w:rPr>
            </w:pPr>
            <w:bookmarkStart w:id="353" w:name="_Toc9615"/>
            <w:r>
              <w:rPr>
                <w:rFonts w:hint="default"/>
                <w:lang w:val="en-US" w:eastAsia="zh-CN"/>
              </w:rPr>
              <w:t>对湿地水环境的影响</w:t>
            </w:r>
            <w:bookmarkEnd w:id="353"/>
          </w:p>
          <w:p w14:paraId="602FA926">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（1）施工期悬浮泥沙入海对水质的影响</w:t>
            </w:r>
          </w:p>
          <w:p w14:paraId="7C66FFC7">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kern w:val="2"/>
                <w:highlight w:val="none"/>
                <w:lang w:eastAsia="zh-CN"/>
              </w:rPr>
            </w:pPr>
            <w:r>
              <w:rPr>
                <w:rFonts w:hint="default" w:ascii="Times New Roman" w:hAnsi="Times New Roman" w:cs="Times New Roman"/>
                <w:color w:val="000000"/>
                <w:highlight w:val="none"/>
                <w:lang w:val="en-US" w:eastAsia="zh-CN"/>
              </w:rPr>
              <w:t>本工程施工涉及基槽开挖、港池疏浚、块石抛填等施工工艺都将导致泥沙散落入海。根据悬浮泥沙预测分析，</w:t>
            </w:r>
            <w:r>
              <w:rPr>
                <w:rFonts w:hint="default" w:ascii="Times New Roman" w:hAnsi="Times New Roman" w:cs="Times New Roman"/>
                <w:color w:val="000000"/>
                <w:highlight w:val="none"/>
              </w:rPr>
              <w:t>受涨落潮的影响，</w:t>
            </w:r>
            <w:r>
              <w:rPr>
                <w:rFonts w:hint="default" w:ascii="Times New Roman" w:hAnsi="Times New Roman" w:cs="Times New Roman"/>
                <w:color w:val="000000"/>
                <w:highlight w:val="none"/>
                <w:lang w:val="en-US" w:eastAsia="zh-CN"/>
              </w:rPr>
              <w:t>施工叠加悬浮物增量浓度</w:t>
            </w:r>
            <w:r>
              <w:rPr>
                <w:rFonts w:hint="default" w:ascii="Times New Roman" w:hAnsi="Times New Roman" w:cs="Times New Roman"/>
                <w:color w:val="000000"/>
                <w:highlight w:val="none"/>
              </w:rPr>
              <w:t>的影响范围所形成的最大运动半径，中心点距10mg/L等值线的</w:t>
            </w:r>
            <w:r>
              <w:rPr>
                <w:rFonts w:hint="default" w:ascii="Times New Roman" w:hAnsi="Times New Roman" w:cs="Times New Roman"/>
                <w:color w:val="000000"/>
                <w:kern w:val="2"/>
                <w:highlight w:val="none"/>
              </w:rPr>
              <w:t>距离</w:t>
            </w:r>
            <w:r>
              <w:rPr>
                <w:rFonts w:hint="default" w:ascii="Times New Roman" w:hAnsi="Times New Roman" w:cs="Times New Roman"/>
                <w:color w:val="000000"/>
                <w:kern w:val="2"/>
                <w:highlight w:val="none"/>
                <w:lang w:val="en-US" w:eastAsia="zh-CN"/>
              </w:rPr>
              <w:t>南北侧</w:t>
            </w:r>
            <w:r>
              <w:rPr>
                <w:rFonts w:hint="default" w:ascii="Times New Roman" w:hAnsi="Times New Roman" w:cs="Times New Roman"/>
                <w:color w:val="000000"/>
                <w:kern w:val="2"/>
                <w:highlight w:val="none"/>
              </w:rPr>
              <w:t>最远，最大运动半径</w:t>
            </w:r>
            <w:r>
              <w:rPr>
                <w:rFonts w:hint="default" w:ascii="Times New Roman" w:hAnsi="Times New Roman" w:cs="Times New Roman"/>
                <w:color w:val="000000"/>
                <w:kern w:val="2"/>
                <w:highlight w:val="none"/>
                <w:lang w:val="en-US" w:eastAsia="zh-CN"/>
              </w:rPr>
              <w:t>为1.4</w:t>
            </w:r>
            <w:r>
              <w:rPr>
                <w:rFonts w:hint="default" w:ascii="Times New Roman" w:hAnsi="Times New Roman" w:cs="Times New Roman"/>
                <w:color w:val="000000"/>
                <w:kern w:val="2"/>
                <w:highlight w:val="none"/>
              </w:rPr>
              <w:t>km</w:t>
            </w:r>
            <w:r>
              <w:rPr>
                <w:rFonts w:hint="default" w:ascii="Times New Roman" w:hAnsi="Times New Roman" w:cs="Times New Roman"/>
                <w:color w:val="000000"/>
                <w:kern w:val="2"/>
                <w:highlight w:val="none"/>
                <w:lang w:eastAsia="zh-CN"/>
              </w:rPr>
              <w:t>，</w:t>
            </w:r>
            <w:r>
              <w:rPr>
                <w:rFonts w:hint="default" w:ascii="Times New Roman" w:hAnsi="Times New Roman" w:cs="Times New Roman"/>
                <w:color w:val="000000"/>
                <w:szCs w:val="24"/>
                <w:highlight w:val="none"/>
              </w:rPr>
              <w:t>施工</w:t>
            </w:r>
            <w:r>
              <w:rPr>
                <w:rFonts w:hint="default" w:ascii="Times New Roman" w:hAnsi="Times New Roman" w:cs="Times New Roman"/>
                <w:color w:val="000000"/>
                <w:szCs w:val="24"/>
                <w:highlight w:val="none"/>
                <w:lang w:val="en-US" w:eastAsia="zh-CN"/>
              </w:rPr>
              <w:t>叠加</w:t>
            </w:r>
            <w:r>
              <w:rPr>
                <w:rFonts w:hint="default" w:ascii="Times New Roman" w:hAnsi="Times New Roman" w:cs="Times New Roman"/>
                <w:color w:val="000000"/>
                <w:highlight w:val="none"/>
              </w:rPr>
              <w:t>悬沙增量超过10mg/L水域最大影响面积为</w:t>
            </w:r>
            <w:r>
              <w:rPr>
                <w:rFonts w:hint="default" w:ascii="Times New Roman" w:hAnsi="Times New Roman" w:cs="Times New Roman"/>
                <w:color w:val="000000"/>
                <w:szCs w:val="24"/>
                <w:highlight w:val="none"/>
                <w:lang w:val="en-US" w:eastAsia="zh-CN"/>
              </w:rPr>
              <w:t>3.24</w:t>
            </w:r>
            <w:r>
              <w:rPr>
                <w:rFonts w:hint="default" w:ascii="Times New Roman" w:hAnsi="Times New Roman" w:cs="Times New Roman"/>
                <w:color w:val="000000"/>
                <w:szCs w:val="24"/>
                <w:highlight w:val="none"/>
              </w:rPr>
              <w:t>km</w:t>
            </w:r>
            <w:r>
              <w:rPr>
                <w:rFonts w:hint="default" w:ascii="Times New Roman" w:hAnsi="Times New Roman" w:cs="Times New Roman"/>
                <w:color w:val="000000"/>
                <w:szCs w:val="24"/>
                <w:highlight w:val="none"/>
                <w:vertAlign w:val="superscript"/>
              </w:rPr>
              <w:t>2</w:t>
            </w:r>
            <w:r>
              <w:rPr>
                <w:rFonts w:hint="default" w:ascii="Times New Roman" w:hAnsi="Times New Roman" w:cs="Times New Roman"/>
                <w:color w:val="000000"/>
                <w:kern w:val="2"/>
                <w:highlight w:val="none"/>
              </w:rPr>
              <w:t>。</w:t>
            </w:r>
            <w:r>
              <w:rPr>
                <w:rFonts w:hint="default" w:ascii="Times New Roman" w:hAnsi="Times New Roman" w:cs="Times New Roman"/>
                <w:color w:val="000000"/>
                <w:kern w:val="2"/>
                <w:highlight w:val="none"/>
                <w:lang w:val="en-US" w:eastAsia="zh-CN"/>
              </w:rPr>
              <w:t>悬浮泥沙的扩散</w:t>
            </w:r>
            <w:r>
              <w:rPr>
                <w:rFonts w:hint="default" w:ascii="Times New Roman" w:hAnsi="Times New Roman" w:cs="Times New Roman"/>
                <w:color w:val="000000"/>
                <w:kern w:val="2"/>
                <w:highlight w:val="none"/>
                <w:lang w:eastAsia="zh-CN"/>
              </w:rPr>
              <w:t>在短时间内会导致局部海域水体透明度降低，影响水下光照条件，进而对浮游植物的光合作用产生一定抑制，可能导致其初级生产力有所下降。浮游植物作为海洋食物链的基础，其数量的减少可能会对以之为食的浮游动物和小型鱼类等产生间接影响。</w:t>
            </w:r>
            <w:r>
              <w:rPr>
                <w:rFonts w:hint="default" w:ascii="Times New Roman" w:hAnsi="Times New Roman" w:cs="Times New Roman"/>
                <w:color w:val="000000"/>
                <w:kern w:val="2"/>
                <w:highlight w:val="none"/>
                <w:lang w:val="en-US" w:eastAsia="zh-CN"/>
              </w:rPr>
              <w:t>但是</w:t>
            </w:r>
            <w:r>
              <w:rPr>
                <w:rFonts w:hint="default" w:ascii="Times New Roman" w:hAnsi="Times New Roman" w:cs="Times New Roman"/>
                <w:color w:val="000000"/>
                <w:kern w:val="2"/>
                <w:highlight w:val="none"/>
                <w:lang w:eastAsia="zh-CN"/>
              </w:rPr>
              <w:t>，这种影响</w:t>
            </w:r>
            <w:r>
              <w:rPr>
                <w:rFonts w:hint="default" w:ascii="Times New Roman" w:hAnsi="Times New Roman" w:cs="Times New Roman"/>
                <w:color w:val="000000"/>
                <w:kern w:val="2"/>
                <w:highlight w:val="none"/>
                <w:lang w:val="en-US" w:eastAsia="zh-CN"/>
              </w:rPr>
              <w:t>是短暂的、有限的</w:t>
            </w:r>
            <w:r>
              <w:rPr>
                <w:rFonts w:hint="default" w:ascii="Times New Roman" w:hAnsi="Times New Roman" w:cs="Times New Roman"/>
                <w:color w:val="000000"/>
                <w:kern w:val="2"/>
                <w:highlight w:val="none"/>
                <w:lang w:eastAsia="zh-CN"/>
              </w:rPr>
              <w:t>，主要集中在施工区域及其周边一定范围内</w:t>
            </w:r>
            <w:r>
              <w:rPr>
                <w:rFonts w:hint="eastAsia" w:cs="Times New Roman"/>
                <w:color w:val="000000"/>
                <w:kern w:val="2"/>
                <w:highlight w:val="none"/>
                <w:lang w:eastAsia="zh-CN"/>
              </w:rPr>
              <w:t>且</w:t>
            </w:r>
            <w:r>
              <w:rPr>
                <w:rFonts w:hint="default" w:ascii="Times New Roman" w:hAnsi="Times New Roman" w:cs="Times New Roman"/>
                <w:color w:val="000000"/>
                <w:kern w:val="2"/>
                <w:highlight w:val="none"/>
                <w:lang w:eastAsia="zh-CN"/>
              </w:rPr>
              <w:t>随着施工结束，悬浮泥沙会逐渐沉降，水体透明度将逐步恢复，受影响的浮游生物群落也会在一段时间后通过自然扩散和繁殖重新恢复。</w:t>
            </w:r>
          </w:p>
          <w:p w14:paraId="7A2BCDEB">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（2）施工期污水排放对湿地水环境的影响</w:t>
            </w:r>
          </w:p>
          <w:p w14:paraId="4B5824AB">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本项目施工期</w:t>
            </w:r>
            <w:r>
              <w:rPr>
                <w:rFonts w:hint="default" w:ascii="Times New Roman" w:hAnsi="Times New Roman" w:cs="Times New Roman"/>
                <w:color w:val="000000"/>
                <w:highlight w:val="none"/>
              </w:rPr>
              <w:t>冲洗废水经沉淀池沉淀后可回用于车辆冲洗</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陆域</w:t>
            </w:r>
            <w:r>
              <w:rPr>
                <w:rFonts w:hint="default" w:ascii="Times New Roman" w:hAnsi="Times New Roman" w:cs="Times New Roman"/>
                <w:color w:val="000000"/>
                <w:highlight w:val="none"/>
              </w:rPr>
              <w:t>施工人员生活污水依托当地居民污水处理设施处理</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不外排。</w:t>
            </w:r>
            <w:r>
              <w:rPr>
                <w:rFonts w:hint="default" w:ascii="Times New Roman" w:hAnsi="Times New Roman" w:cs="Times New Roman"/>
                <w:color w:val="000000"/>
                <w:highlight w:val="none"/>
              </w:rPr>
              <w:t>施工船舶应设置油污水及生活污水储存舱，油污水和船舶生活污水应收集并由海事部门认可的专业单位接收处理，严禁在港区内排放。项目施工期生产及生活</w:t>
            </w:r>
            <w:r>
              <w:rPr>
                <w:rFonts w:hint="default" w:ascii="Times New Roman" w:hAnsi="Times New Roman" w:cs="Times New Roman"/>
                <w:color w:val="000000"/>
                <w:highlight w:val="none"/>
                <w:lang w:val="en-US" w:eastAsia="zh-CN"/>
              </w:rPr>
              <w:t>污水</w:t>
            </w:r>
            <w:r>
              <w:rPr>
                <w:rFonts w:hint="default" w:ascii="Times New Roman" w:hAnsi="Times New Roman" w:cs="Times New Roman"/>
                <w:color w:val="000000"/>
                <w:highlight w:val="none"/>
              </w:rPr>
              <w:t>在</w:t>
            </w:r>
            <w:r>
              <w:rPr>
                <w:rFonts w:hint="default" w:ascii="Times New Roman" w:hAnsi="Times New Roman" w:cs="Times New Roman"/>
                <w:color w:val="000000"/>
                <w:highlight w:val="none"/>
                <w:lang w:val="en-US" w:eastAsia="zh-CN"/>
              </w:rPr>
              <w:t>采取妥善</w:t>
            </w:r>
            <w:r>
              <w:rPr>
                <w:rFonts w:hint="default" w:ascii="Times New Roman" w:hAnsi="Times New Roman" w:cs="Times New Roman"/>
                <w:color w:val="000000"/>
                <w:highlight w:val="none"/>
              </w:rPr>
              <w:t>处理措施后对湿地水环境的影响较小。</w:t>
            </w:r>
          </w:p>
          <w:p w14:paraId="789581E3">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eastAsia="宋体" w:cs="Times New Roman"/>
                <w:b/>
                <w:bCs/>
                <w:color w:val="000000"/>
                <w:highlight w:val="none"/>
                <w:lang w:val="en-US" w:eastAsia="zh-CN"/>
              </w:rPr>
            </w:pP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3</w:t>
            </w: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运营期对湿地水环境的影响</w:t>
            </w:r>
          </w:p>
          <w:p w14:paraId="73C5E490">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本项目运营期生产废水、生活污水经</w:t>
            </w:r>
            <w:r>
              <w:rPr>
                <w:rFonts w:hint="default" w:ascii="Times New Roman" w:hAnsi="Times New Roman" w:cs="Times New Roman"/>
                <w:color w:val="000000"/>
                <w:highlight w:val="none"/>
              </w:rPr>
              <w:t>污水处理站处理</w:t>
            </w:r>
            <w:r>
              <w:rPr>
                <w:rFonts w:hint="default" w:ascii="Times New Roman" w:hAnsi="Times New Roman" w:cs="Times New Roman"/>
                <w:color w:val="000000"/>
                <w:highlight w:val="none"/>
                <w:lang w:val="en-US" w:eastAsia="zh-CN"/>
              </w:rPr>
              <w:t>后</w:t>
            </w:r>
            <w:r>
              <w:rPr>
                <w:rFonts w:hint="default" w:ascii="Times New Roman" w:hAnsi="Times New Roman" w:cs="Times New Roman"/>
                <w:b w:val="0"/>
                <w:bCs w:val="0"/>
                <w:color w:val="000000"/>
                <w:sz w:val="24"/>
                <w:szCs w:val="32"/>
                <w:highlight w:val="none"/>
                <w:lang w:val="en-US" w:eastAsia="zh-CN"/>
              </w:rPr>
              <w:t>回用于港区绿化灌溉、洒水及冲洗用水，船舶含油污水、生活污水</w:t>
            </w:r>
            <w:r>
              <w:rPr>
                <w:rFonts w:hint="default" w:ascii="Times New Roman" w:hAnsi="Times New Roman" w:cs="Times New Roman"/>
                <w:color w:val="000000"/>
                <w:highlight w:val="none"/>
              </w:rPr>
              <w:t>交由海事部门认可的船舶污染物接收单位接收处理</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因此，</w:t>
            </w:r>
            <w:r>
              <w:rPr>
                <w:rFonts w:hint="default" w:ascii="Times New Roman" w:hAnsi="Times New Roman" w:cs="Times New Roman"/>
                <w:color w:val="000000"/>
                <w:highlight w:val="none"/>
                <w:lang w:eastAsia="zh-CN"/>
              </w:rPr>
              <w:t>只要建设单位加强对到港船舶的监督管理，严禁任意排放污染物，则本项目运营期对</w:t>
            </w:r>
            <w:r>
              <w:rPr>
                <w:rFonts w:hint="default" w:ascii="Times New Roman" w:hAnsi="Times New Roman" w:cs="Times New Roman"/>
                <w:color w:val="000000"/>
                <w:highlight w:val="none"/>
                <w:lang w:val="en-US" w:eastAsia="zh-CN"/>
              </w:rPr>
              <w:t>湿地</w:t>
            </w:r>
            <w:r>
              <w:rPr>
                <w:rFonts w:hint="default" w:ascii="Times New Roman" w:hAnsi="Times New Roman" w:cs="Times New Roman"/>
                <w:color w:val="000000"/>
                <w:highlight w:val="none"/>
                <w:lang w:eastAsia="zh-CN"/>
              </w:rPr>
              <w:t>水环境的影响较小。</w:t>
            </w:r>
          </w:p>
          <w:p w14:paraId="5E75FADE">
            <w:pPr>
              <w:pStyle w:val="4"/>
              <w:bidi w:val="0"/>
              <w:rPr>
                <w:rFonts w:hint="default" w:ascii="Times New Roman" w:hAnsi="Times New Roman" w:cs="Times New Roman"/>
                <w:color w:val="000000"/>
                <w:highlight w:val="none"/>
              </w:rPr>
            </w:pPr>
            <w:bookmarkStart w:id="354" w:name="_Toc20770"/>
            <w:bookmarkStart w:id="355" w:name="_Toc17992"/>
            <w:r>
              <w:rPr>
                <w:rFonts w:hint="default" w:ascii="Times New Roman" w:hAnsi="Times New Roman" w:cs="Times New Roman"/>
                <w:color w:val="000000"/>
                <w:highlight w:val="none"/>
                <w:lang w:val="en-US" w:eastAsia="zh-CN"/>
              </w:rPr>
              <w:t>施工期大气环境影响分析</w:t>
            </w:r>
            <w:bookmarkEnd w:id="354"/>
            <w:bookmarkEnd w:id="355"/>
          </w:p>
          <w:p w14:paraId="06E480B8">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rPr>
              <w:t>（1）施工作业扬尘</w:t>
            </w:r>
          </w:p>
          <w:p w14:paraId="5257454E">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扬尘主要来自土石方运输，由于施工期粉尘源高度较低、颗粒度较大，污染扩散距离一般不会太远。</w:t>
            </w:r>
          </w:p>
          <w:p w14:paraId="00190999">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①施工粉尘的主要来源</w:t>
            </w:r>
          </w:p>
          <w:p w14:paraId="39D4CCEA">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施工扬尘主要来自装载车行驶时产生的路面二次扬尘以及施</w:t>
            </w:r>
            <w:r>
              <w:rPr>
                <w:rFonts w:hint="default" w:ascii="Times New Roman" w:hAnsi="Times New Roman" w:cs="Times New Roman"/>
                <w:color w:val="000000"/>
                <w:highlight w:val="none"/>
                <w:lang w:eastAsia="zh-CN"/>
              </w:rPr>
              <w:t>工现</w:t>
            </w:r>
            <w:r>
              <w:rPr>
                <w:rFonts w:hint="default" w:ascii="Times New Roman" w:hAnsi="Times New Roman" w:cs="Times New Roman"/>
                <w:color w:val="000000"/>
                <w:highlight w:val="none"/>
              </w:rPr>
              <w:t>场内搬运土方、泥沙时产生的扬尘，在不同的施工阶段有：</w:t>
            </w:r>
          </w:p>
          <w:p w14:paraId="2672BFB7">
            <w:pPr>
              <w:keepNext w:val="0"/>
              <w:keepLines w:val="0"/>
              <w:pageBreakBefore w:val="0"/>
              <w:widowControl w:val="0"/>
              <w:numPr>
                <w:ilvl w:val="0"/>
                <w:numId w:val="7"/>
              </w:numPr>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施工期间运送土石方的车辆在行驶过程中，将有少量物料洒落进入空气中，另外车辆在通过未铺衬路面或落有较多尘土的路面时，将有路面二次扬尘产生；</w:t>
            </w:r>
          </w:p>
          <w:p w14:paraId="4FC1ABAE">
            <w:pPr>
              <w:keepNext w:val="0"/>
              <w:keepLines w:val="0"/>
              <w:pageBreakBefore w:val="0"/>
              <w:widowControl w:val="0"/>
              <w:numPr>
                <w:ilvl w:val="0"/>
                <w:numId w:val="7"/>
              </w:numPr>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原料堆场和暴露松散土壤的工作面，受风吹时，表面侵蚀随风飞扬进入空气。</w:t>
            </w:r>
          </w:p>
          <w:p w14:paraId="1A27CC2E">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②施工扬尘产生量的影响因素</w:t>
            </w:r>
          </w:p>
          <w:p w14:paraId="0E753311">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施工扬尘量与其粒径大小、比重以及环境风速、湿度等因素有关。</w:t>
            </w:r>
          </w:p>
          <w:p w14:paraId="19FAE0BA">
            <w:pPr>
              <w:keepNext w:val="0"/>
              <w:keepLines w:val="0"/>
              <w:pageBreakBefore w:val="0"/>
              <w:widowControl w:val="0"/>
              <w:numPr>
                <w:ilvl w:val="0"/>
                <w:numId w:val="8"/>
              </w:numPr>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土石方的含水量，含水量高的材料不易飞扬；</w:t>
            </w:r>
          </w:p>
          <w:p w14:paraId="7D8B6375">
            <w:pPr>
              <w:keepNext w:val="0"/>
              <w:keepLines w:val="0"/>
              <w:pageBreakBefore w:val="0"/>
              <w:widowControl w:val="0"/>
              <w:numPr>
                <w:ilvl w:val="0"/>
                <w:numId w:val="8"/>
              </w:numPr>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土石方的粒径大小，颗粒大的物料不易飞扬，土壤颗粒物的粒径分布大概是粒径大于0.1mm的占76%左右，粒径在0.05-0.10mm的占15%左右，粒径在0.03～0.05mm的占5%左右，粒径小于0.03m的占4%左右，在没有风力的作用下，粒径小于0.015mm的颗粒能够飞扬，当风速为3～5m/s时，粒径为0.015～0.030mm的颗粒也会被风吹扬；</w:t>
            </w:r>
          </w:p>
          <w:p w14:paraId="40E1AFB0">
            <w:pPr>
              <w:keepNext w:val="0"/>
              <w:keepLines w:val="0"/>
              <w:pageBreakBefore w:val="0"/>
              <w:widowControl w:val="0"/>
              <w:numPr>
                <w:ilvl w:val="0"/>
                <w:numId w:val="8"/>
              </w:numPr>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气候条件，风速大，湿度小易产生扬尘，当风速大于3m/s时会有风</w:t>
            </w:r>
            <w:r>
              <w:rPr>
                <w:rFonts w:hint="default" w:ascii="Times New Roman" w:hAnsi="Times New Roman" w:cs="Times New Roman"/>
                <w:color w:val="000000"/>
                <w:highlight w:val="none"/>
                <w:lang w:val="en-US" w:eastAsia="zh-CN"/>
              </w:rPr>
              <w:t>起</w:t>
            </w:r>
            <w:r>
              <w:rPr>
                <w:rFonts w:hint="default" w:ascii="Times New Roman" w:hAnsi="Times New Roman" w:cs="Times New Roman"/>
                <w:color w:val="000000"/>
                <w:highlight w:val="none"/>
              </w:rPr>
              <w:t>扬尘产生；</w:t>
            </w:r>
          </w:p>
          <w:p w14:paraId="6FF358FF">
            <w:pPr>
              <w:keepNext w:val="0"/>
              <w:keepLines w:val="0"/>
              <w:pageBreakBefore w:val="0"/>
              <w:widowControl w:val="0"/>
              <w:numPr>
                <w:ilvl w:val="0"/>
                <w:numId w:val="8"/>
              </w:numPr>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运输车辆和施工机械的运行速度对扬尘的产生量也很明显，速度高，扬尘产生量大。</w:t>
            </w:r>
          </w:p>
          <w:p w14:paraId="0BE72ABF">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③扬尘量计算</w:t>
            </w:r>
          </w:p>
          <w:p w14:paraId="774FE60B">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施工扬尘的排放源属于无组织的面源，地面上的粉尘在环境风速足够大时（大于颗粒土沙的起动速度时）就产生了扬尘，其源强大小与颗粒物的粒径大小、比重，以及环境的风速、湿度等因素有关，风速越大，颗粒越小，土沙的含水率越小，扬尘的含水率越小，扬尘的产生量就越大。扬尘量计算：</w:t>
            </w:r>
          </w:p>
          <w:p w14:paraId="139DFA48">
            <w:pPr>
              <w:ind w:left="0" w:leftChars="0" w:firstLine="0" w:firstLineChars="0"/>
              <w:jc w:val="center"/>
              <w:rPr>
                <w:rFonts w:hint="default" w:ascii="Times New Roman" w:hAnsi="Times New Roman" w:eastAsia="宋体" w:cs="Times New Roman"/>
                <w:color w:val="000000"/>
                <w:highlight w:val="none"/>
                <w:lang w:eastAsia="zh-CN"/>
              </w:rPr>
            </w:pPr>
            <w:r>
              <w:rPr>
                <w:rFonts w:hint="default" w:ascii="Times New Roman" w:hAnsi="Times New Roman" w:eastAsia="宋体" w:cs="Times New Roman"/>
                <w:color w:val="000000"/>
                <w:position w:val="-14"/>
                <w:highlight w:val="none"/>
                <w:lang w:eastAsia="zh-CN"/>
              </w:rPr>
              <w:object>
                <v:shape id="_x0000_i1075" o:spt="75" type="#_x0000_t75" style="height:20pt;width:249pt;" o:ole="t" filled="f" o:preferrelative="t" stroked="f" coordsize="21600,21600">
                  <v:path/>
                  <v:fill on="f" focussize="0,0"/>
                  <v:stroke on="f"/>
                  <v:imagedata r:id="rId131" o:title=""/>
                  <o:lock v:ext="edit" aspectratio="t"/>
                  <w10:wrap type="none"/>
                  <w10:anchorlock/>
                </v:shape>
                <o:OLEObject Type="Embed" ProgID="Equation.KSEE3" ShapeID="_x0000_i1075" DrawAspect="Content" ObjectID="_1468075776" r:id="rId130">
                  <o:LockedField>false</o:LockedField>
                </o:OLEObject>
              </w:object>
            </w:r>
          </w:p>
          <w:p w14:paraId="53AD7220">
            <w:pPr>
              <w:bidi w:val="0"/>
              <w:ind w:firstLine="480" w:firstLineChars="20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式中：Q——施工的扬尘量，g/h；</w:t>
            </w:r>
          </w:p>
          <w:p w14:paraId="7A2E85CE">
            <w:pPr>
              <w:keepNext w:val="0"/>
              <w:keepLines w:val="0"/>
              <w:pageBreakBefore w:val="0"/>
              <w:widowControl w:val="0"/>
              <w:kinsoku/>
              <w:wordWrap/>
              <w:overflowPunct/>
              <w:topLinePunct w:val="0"/>
              <w:autoSpaceDE/>
              <w:autoSpaceDN/>
              <w:bidi w:val="0"/>
              <w:adjustRightInd/>
              <w:snapToGrid/>
              <w:ind w:firstLine="1200" w:firstLineChars="500"/>
              <w:textAlignment w:val="auto"/>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Ki——i等级粒径土壤组分的飞扬系数；</w:t>
            </w:r>
          </w:p>
          <w:p w14:paraId="2E47998D">
            <w:pPr>
              <w:keepNext w:val="0"/>
              <w:keepLines w:val="0"/>
              <w:pageBreakBefore w:val="0"/>
              <w:widowControl w:val="0"/>
              <w:kinsoku/>
              <w:wordWrap/>
              <w:overflowPunct/>
              <w:topLinePunct w:val="0"/>
              <w:autoSpaceDE/>
              <w:autoSpaceDN/>
              <w:bidi w:val="0"/>
              <w:adjustRightInd/>
              <w:snapToGrid/>
              <w:ind w:firstLine="1200" w:firstLineChars="500"/>
              <w:textAlignment w:val="auto"/>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Pi——i等级粒径组分在土壤中的含量 T－土方工程量，t/h；</w:t>
            </w:r>
          </w:p>
          <w:p w14:paraId="68048787">
            <w:pPr>
              <w:keepNext w:val="0"/>
              <w:keepLines w:val="0"/>
              <w:pageBreakBefore w:val="0"/>
              <w:widowControl w:val="0"/>
              <w:kinsoku/>
              <w:wordWrap/>
              <w:overflowPunct/>
              <w:topLinePunct w:val="0"/>
              <w:autoSpaceDE/>
              <w:autoSpaceDN/>
              <w:bidi w:val="0"/>
              <w:adjustRightInd/>
              <w:snapToGrid/>
              <w:ind w:firstLine="1200" w:firstLineChars="500"/>
              <w:textAlignment w:val="auto"/>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U——风速，m/s ，风速小于扬尘启动风速时，取启动风速 Uo；</w:t>
            </w:r>
          </w:p>
          <w:p w14:paraId="30E8A712">
            <w:pPr>
              <w:keepNext w:val="0"/>
              <w:keepLines w:val="0"/>
              <w:pageBreakBefore w:val="0"/>
              <w:widowControl w:val="0"/>
              <w:kinsoku/>
              <w:wordWrap/>
              <w:overflowPunct/>
              <w:topLinePunct w:val="0"/>
              <w:autoSpaceDE/>
              <w:autoSpaceDN/>
              <w:bidi w:val="0"/>
              <w:adjustRightInd/>
              <w:snapToGrid/>
              <w:ind w:firstLine="1200" w:firstLineChars="500"/>
              <w:textAlignment w:val="auto"/>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Uo——i等级粒径土壤颗粒的扬尘启动风速，m/s；</w:t>
            </w:r>
          </w:p>
          <w:p w14:paraId="396A2EE5">
            <w:pPr>
              <w:keepNext w:val="0"/>
              <w:keepLines w:val="0"/>
              <w:pageBreakBefore w:val="0"/>
              <w:widowControl w:val="0"/>
              <w:kinsoku/>
              <w:wordWrap/>
              <w:overflowPunct/>
              <w:topLinePunct w:val="0"/>
              <w:autoSpaceDE/>
              <w:autoSpaceDN/>
              <w:bidi w:val="0"/>
              <w:adjustRightInd/>
              <w:snapToGrid/>
              <w:ind w:firstLine="1200" w:firstLineChars="500"/>
              <w:textAlignment w:val="auto"/>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n——风速指数；</w:t>
            </w:r>
          </w:p>
          <w:p w14:paraId="5BD02E47">
            <w:pPr>
              <w:keepNext w:val="0"/>
              <w:keepLines w:val="0"/>
              <w:pageBreakBefore w:val="0"/>
              <w:widowControl w:val="0"/>
              <w:kinsoku/>
              <w:wordWrap/>
              <w:overflowPunct/>
              <w:topLinePunct w:val="0"/>
              <w:autoSpaceDE/>
              <w:autoSpaceDN/>
              <w:bidi w:val="0"/>
              <w:adjustRightInd/>
              <w:snapToGrid/>
              <w:ind w:firstLine="1200" w:firstLineChars="500"/>
              <w:textAlignment w:val="auto"/>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D——土壤密度，g/cm</w:t>
            </w:r>
            <w:r>
              <w:rPr>
                <w:rFonts w:hint="default" w:ascii="Times New Roman" w:hAnsi="Times New Roman" w:cs="Times New Roman"/>
                <w:color w:val="000000"/>
                <w:highlight w:val="none"/>
                <w:vertAlign w:val="superscript"/>
                <w:lang w:eastAsia="zh-CN"/>
              </w:rPr>
              <w:t>3；</w:t>
            </w:r>
          </w:p>
          <w:p w14:paraId="7BE79526">
            <w:pPr>
              <w:keepNext w:val="0"/>
              <w:keepLines w:val="0"/>
              <w:pageBreakBefore w:val="0"/>
              <w:widowControl w:val="0"/>
              <w:kinsoku/>
              <w:wordWrap/>
              <w:overflowPunct/>
              <w:topLinePunct w:val="0"/>
              <w:autoSpaceDE/>
              <w:autoSpaceDN/>
              <w:bidi w:val="0"/>
              <w:adjustRightInd/>
              <w:snapToGrid/>
              <w:ind w:firstLine="1200" w:firstLineChars="500"/>
              <w:textAlignment w:val="auto"/>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C——常数；</w:t>
            </w:r>
          </w:p>
          <w:p w14:paraId="7F67169A">
            <w:pPr>
              <w:keepNext w:val="0"/>
              <w:keepLines w:val="0"/>
              <w:pageBreakBefore w:val="0"/>
              <w:widowControl w:val="0"/>
              <w:kinsoku/>
              <w:wordWrap/>
              <w:overflowPunct/>
              <w:topLinePunct w:val="0"/>
              <w:autoSpaceDE/>
              <w:autoSpaceDN/>
              <w:bidi w:val="0"/>
              <w:adjustRightInd/>
              <w:snapToGrid/>
              <w:ind w:firstLine="1200" w:firstLineChars="500"/>
              <w:textAlignment w:val="auto"/>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Wo——标准土壤含水率；</w:t>
            </w:r>
          </w:p>
          <w:p w14:paraId="41127070">
            <w:pPr>
              <w:keepNext w:val="0"/>
              <w:keepLines w:val="0"/>
              <w:pageBreakBefore w:val="0"/>
              <w:widowControl w:val="0"/>
              <w:kinsoku/>
              <w:wordWrap/>
              <w:overflowPunct/>
              <w:topLinePunct w:val="0"/>
              <w:autoSpaceDE/>
              <w:autoSpaceDN/>
              <w:bidi w:val="0"/>
              <w:adjustRightInd/>
              <w:snapToGrid/>
              <w:ind w:firstLine="1200" w:firstLineChars="500"/>
              <w:textAlignment w:val="auto"/>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W——土壤含水率。</w:t>
            </w:r>
          </w:p>
          <w:p w14:paraId="1E503419">
            <w:pPr>
              <w:bidi w:val="0"/>
              <w:ind w:firstLine="480" w:firstLineChars="20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施工期扬尘产生量的计算结果见</w:t>
            </w:r>
            <w:r>
              <w:rPr>
                <w:rFonts w:hint="default" w:ascii="Times New Roman" w:hAnsi="Times New Roman" w:cs="Times New Roman"/>
                <w:color w:val="000000"/>
                <w:highlight w:val="none"/>
                <w:lang w:eastAsia="zh-CN"/>
              </w:rPr>
              <w:fldChar w:fldCharType="begin"/>
            </w:r>
            <w:r>
              <w:rPr>
                <w:rFonts w:hint="default" w:ascii="Times New Roman" w:hAnsi="Times New Roman" w:cs="Times New Roman"/>
                <w:color w:val="000000"/>
                <w:highlight w:val="none"/>
                <w:lang w:eastAsia="zh-CN"/>
              </w:rPr>
              <w:instrText xml:space="preserve"> REF _Ref16232 \h </w:instrText>
            </w:r>
            <w:r>
              <w:rPr>
                <w:rFonts w:hint="default" w:ascii="Times New Roman" w:hAnsi="Times New Roman" w:cs="Times New Roman"/>
                <w:color w:val="000000"/>
                <w:highlight w:val="none"/>
                <w:lang w:eastAsia="zh-CN"/>
              </w:rPr>
              <w:fldChar w:fldCharType="separate"/>
            </w:r>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4.3</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10</w:t>
            </w:r>
            <w:r>
              <w:rPr>
                <w:rFonts w:hint="default" w:ascii="Times New Roman" w:hAnsi="Times New Roman" w:cs="Times New Roman"/>
                <w:color w:val="000000"/>
                <w:highlight w:val="none"/>
                <w:lang w:eastAsia="zh-CN"/>
              </w:rPr>
              <w:fldChar w:fldCharType="end"/>
            </w:r>
            <w:r>
              <w:rPr>
                <w:rFonts w:hint="default" w:ascii="Times New Roman" w:hAnsi="Times New Roman" w:cs="Times New Roman"/>
                <w:color w:val="000000"/>
                <w:highlight w:val="none"/>
                <w:lang w:eastAsia="zh-CN"/>
              </w:rPr>
              <w:t>。</w:t>
            </w:r>
          </w:p>
          <w:p w14:paraId="5EFB0B6E">
            <w:pPr>
              <w:pStyle w:val="30"/>
              <w:bidi w:val="0"/>
              <w:rPr>
                <w:rFonts w:hint="default" w:ascii="Times New Roman" w:hAnsi="Times New Roman" w:cs="Times New Roman"/>
                <w:color w:val="000000"/>
                <w:highlight w:val="none"/>
                <w:lang w:val="en-US" w:eastAsia="zh-CN"/>
              </w:rPr>
            </w:pPr>
            <w:bookmarkStart w:id="356" w:name="_Ref16232"/>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4.3</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表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10</w:t>
            </w:r>
            <w:r>
              <w:rPr>
                <w:rFonts w:hint="default" w:ascii="Times New Roman" w:hAnsi="Times New Roman" w:cs="Times New Roman"/>
                <w:color w:val="000000"/>
                <w:highlight w:val="none"/>
              </w:rPr>
              <w:fldChar w:fldCharType="end"/>
            </w:r>
            <w:bookmarkEnd w:id="356"/>
            <w:r>
              <w:rPr>
                <w:rFonts w:hint="default" w:ascii="Times New Roman" w:hAnsi="Times New Roman" w:cs="Times New Roman"/>
                <w:color w:val="000000"/>
                <w:highlight w:val="none"/>
                <w:lang w:val="en-US" w:eastAsia="zh-CN"/>
              </w:rPr>
              <w:t xml:space="preserve"> 工程施工期扬尘的产生量一览表</w:t>
            </w:r>
          </w:p>
          <w:tbl>
            <w:tblPr>
              <w:tblStyle w:val="32"/>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951"/>
              <w:gridCol w:w="1963"/>
              <w:gridCol w:w="1951"/>
              <w:gridCol w:w="2366"/>
            </w:tblGrid>
            <w:tr w14:paraId="60C0E2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1185" w:type="pct"/>
                  <w:vMerge w:val="restart"/>
                  <w:noWrap w:val="0"/>
                  <w:vAlign w:val="center"/>
                </w:tcPr>
                <w:p w14:paraId="52E53FFB">
                  <w:pPr>
                    <w:pStyle w:val="31"/>
                    <w:bidi w:val="0"/>
                    <w:rPr>
                      <w:rFonts w:hint="default" w:ascii="Times New Roman" w:hAnsi="Times New Roman" w:cs="Times New Roman"/>
                      <w:b/>
                      <w:bCs/>
                      <w:color w:val="000000"/>
                      <w:highlight w:val="none"/>
                      <w:lang w:eastAsia="zh-CN"/>
                    </w:rPr>
                  </w:pPr>
                  <w:r>
                    <w:rPr>
                      <w:rFonts w:hint="default" w:ascii="Times New Roman" w:hAnsi="Times New Roman" w:cs="Times New Roman"/>
                      <w:b/>
                      <w:bCs/>
                      <w:color w:val="000000"/>
                      <w:highlight w:val="none"/>
                      <w:lang w:eastAsia="zh-CN"/>
                    </w:rPr>
                    <w:t>产生源</w:t>
                  </w:r>
                </w:p>
              </w:tc>
              <w:tc>
                <w:tcPr>
                  <w:tcW w:w="3814" w:type="pct"/>
                  <w:gridSpan w:val="3"/>
                  <w:noWrap w:val="0"/>
                  <w:vAlign w:val="center"/>
                </w:tcPr>
                <w:p w14:paraId="4354F25C">
                  <w:pPr>
                    <w:pStyle w:val="31"/>
                    <w:bidi w:val="0"/>
                    <w:rPr>
                      <w:rFonts w:hint="default" w:ascii="Times New Roman" w:hAnsi="Times New Roman" w:cs="Times New Roman"/>
                      <w:b/>
                      <w:bCs/>
                      <w:color w:val="000000"/>
                      <w:highlight w:val="none"/>
                      <w:lang w:eastAsia="zh-CN"/>
                    </w:rPr>
                  </w:pPr>
                  <w:r>
                    <w:rPr>
                      <w:rFonts w:hint="default" w:ascii="Times New Roman" w:hAnsi="Times New Roman" w:cs="Times New Roman"/>
                      <w:b/>
                      <w:bCs/>
                      <w:color w:val="000000"/>
                      <w:highlight w:val="none"/>
                      <w:lang w:eastAsia="zh-CN"/>
                    </w:rPr>
                    <w:t>产生量（g/m</w:t>
                  </w:r>
                  <w:r>
                    <w:rPr>
                      <w:rFonts w:hint="default" w:ascii="Times New Roman" w:hAnsi="Times New Roman" w:cs="Times New Roman"/>
                      <w:b/>
                      <w:bCs/>
                      <w:color w:val="000000"/>
                      <w:highlight w:val="none"/>
                      <w:vertAlign w:val="superscript"/>
                      <w:lang w:eastAsia="zh-CN"/>
                    </w:rPr>
                    <w:t>3</w:t>
                  </w:r>
                  <w:r>
                    <w:rPr>
                      <w:rFonts w:hint="default" w:ascii="Times New Roman" w:hAnsi="Times New Roman" w:cs="Times New Roman"/>
                      <w:b/>
                      <w:bCs/>
                      <w:color w:val="000000"/>
                      <w:highlight w:val="none"/>
                      <w:lang w:eastAsia="zh-CN"/>
                    </w:rPr>
                    <w:t>土方）</w:t>
                  </w:r>
                </w:p>
              </w:tc>
            </w:tr>
            <w:tr w14:paraId="1C8BDC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1185" w:type="pct"/>
                  <w:vMerge w:val="continue"/>
                  <w:noWrap w:val="0"/>
                  <w:vAlign w:val="center"/>
                </w:tcPr>
                <w:p w14:paraId="10D81CB3">
                  <w:pPr>
                    <w:pStyle w:val="31"/>
                    <w:bidi w:val="0"/>
                    <w:rPr>
                      <w:rFonts w:hint="default" w:ascii="Times New Roman" w:hAnsi="Times New Roman" w:cs="Times New Roman"/>
                      <w:b/>
                      <w:bCs/>
                      <w:color w:val="000000"/>
                      <w:highlight w:val="none"/>
                      <w:lang w:eastAsia="zh-CN"/>
                    </w:rPr>
                  </w:pPr>
                </w:p>
              </w:tc>
              <w:tc>
                <w:tcPr>
                  <w:tcW w:w="1192" w:type="pct"/>
                  <w:noWrap w:val="0"/>
                  <w:vAlign w:val="center"/>
                </w:tcPr>
                <w:p w14:paraId="22AF76B8">
                  <w:pPr>
                    <w:pStyle w:val="31"/>
                    <w:bidi w:val="0"/>
                    <w:rPr>
                      <w:rFonts w:hint="default" w:ascii="Times New Roman" w:hAnsi="Times New Roman" w:cs="Times New Roman"/>
                      <w:b/>
                      <w:bCs/>
                      <w:color w:val="000000"/>
                      <w:highlight w:val="none"/>
                      <w:lang w:eastAsia="zh-CN"/>
                    </w:rPr>
                  </w:pPr>
                  <w:r>
                    <w:rPr>
                      <w:rFonts w:hint="default" w:ascii="Times New Roman" w:hAnsi="Times New Roman" w:cs="Times New Roman"/>
                      <w:b/>
                      <w:bCs/>
                      <w:color w:val="000000"/>
                      <w:highlight w:val="none"/>
                      <w:lang w:eastAsia="zh-CN"/>
                    </w:rPr>
                    <w:t>风速＜3m/s</w:t>
                  </w:r>
                </w:p>
              </w:tc>
              <w:tc>
                <w:tcPr>
                  <w:tcW w:w="1185" w:type="pct"/>
                  <w:noWrap w:val="0"/>
                  <w:vAlign w:val="center"/>
                </w:tcPr>
                <w:p w14:paraId="21D289F1">
                  <w:pPr>
                    <w:pStyle w:val="31"/>
                    <w:bidi w:val="0"/>
                    <w:rPr>
                      <w:rFonts w:hint="default" w:ascii="Times New Roman" w:hAnsi="Times New Roman" w:cs="Times New Roman"/>
                      <w:b/>
                      <w:bCs/>
                      <w:color w:val="000000"/>
                      <w:highlight w:val="none"/>
                      <w:lang w:eastAsia="zh-CN"/>
                    </w:rPr>
                  </w:pPr>
                  <w:r>
                    <w:rPr>
                      <w:rFonts w:hint="default" w:ascii="Times New Roman" w:hAnsi="Times New Roman" w:cs="Times New Roman"/>
                      <w:b/>
                      <w:bCs/>
                      <w:color w:val="000000"/>
                      <w:highlight w:val="none"/>
                      <w:lang w:eastAsia="zh-CN"/>
                    </w:rPr>
                    <w:t>风速3～5m/s</w:t>
                  </w:r>
                </w:p>
              </w:tc>
              <w:tc>
                <w:tcPr>
                  <w:tcW w:w="1437" w:type="pct"/>
                  <w:noWrap w:val="0"/>
                  <w:vAlign w:val="center"/>
                </w:tcPr>
                <w:p w14:paraId="1D2768E1">
                  <w:pPr>
                    <w:pStyle w:val="31"/>
                    <w:bidi w:val="0"/>
                    <w:rPr>
                      <w:rFonts w:hint="default" w:ascii="Times New Roman" w:hAnsi="Times New Roman" w:cs="Times New Roman"/>
                      <w:b/>
                      <w:bCs/>
                      <w:color w:val="000000"/>
                      <w:highlight w:val="none"/>
                      <w:lang w:eastAsia="zh-CN"/>
                    </w:rPr>
                  </w:pPr>
                  <w:r>
                    <w:rPr>
                      <w:rFonts w:hint="default" w:ascii="Times New Roman" w:hAnsi="Times New Roman" w:cs="Times New Roman"/>
                      <w:b/>
                      <w:bCs/>
                      <w:color w:val="000000"/>
                      <w:highlight w:val="none"/>
                      <w:lang w:eastAsia="zh-CN"/>
                    </w:rPr>
                    <w:t>风速5～8m/s</w:t>
                  </w:r>
                </w:p>
              </w:tc>
            </w:tr>
            <w:tr w14:paraId="378DD1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1185" w:type="pct"/>
                  <w:noWrap w:val="0"/>
                  <w:vAlign w:val="center"/>
                </w:tcPr>
                <w:p w14:paraId="2A616D57">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风扬尘</w:t>
                  </w:r>
                </w:p>
              </w:tc>
              <w:tc>
                <w:tcPr>
                  <w:tcW w:w="1192" w:type="pct"/>
                  <w:noWrap w:val="0"/>
                  <w:vAlign w:val="center"/>
                </w:tcPr>
                <w:p w14:paraId="0C7CFAB4">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4</w:t>
                  </w:r>
                </w:p>
              </w:tc>
              <w:tc>
                <w:tcPr>
                  <w:tcW w:w="1185" w:type="pct"/>
                  <w:noWrap w:val="0"/>
                  <w:vAlign w:val="center"/>
                </w:tcPr>
                <w:p w14:paraId="04287B3E">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4～48</w:t>
                  </w:r>
                </w:p>
              </w:tc>
              <w:tc>
                <w:tcPr>
                  <w:tcW w:w="1437" w:type="pct"/>
                  <w:noWrap w:val="0"/>
                  <w:vAlign w:val="center"/>
                </w:tcPr>
                <w:p w14:paraId="556E8350">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48～180</w:t>
                  </w:r>
                </w:p>
              </w:tc>
            </w:tr>
          </w:tbl>
          <w:p w14:paraId="60B7086E">
            <w:pPr>
              <w:bidi w:val="0"/>
              <w:ind w:firstLine="480" w:firstLineChars="20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由于建设项目所在区域的空气湿度比较大，填土方的砂土颗粒粗，扬尘的产生量低，影响范围也比较小，受到施工扬尘影响的区域，主要是在施工场地的范围内，场地下风向也将受到一定的影响。但影响范围不超过下风向100m，不会造成TSP浓度的明显超标。影响预测结果见</w:t>
            </w:r>
            <w:r>
              <w:rPr>
                <w:rFonts w:hint="default" w:ascii="Times New Roman" w:hAnsi="Times New Roman" w:cs="Times New Roman"/>
                <w:color w:val="000000"/>
                <w:highlight w:val="none"/>
                <w:lang w:eastAsia="zh-CN"/>
              </w:rPr>
              <w:fldChar w:fldCharType="begin"/>
            </w:r>
            <w:r>
              <w:rPr>
                <w:rFonts w:hint="default" w:ascii="Times New Roman" w:hAnsi="Times New Roman" w:cs="Times New Roman"/>
                <w:color w:val="000000"/>
                <w:highlight w:val="none"/>
                <w:lang w:eastAsia="zh-CN"/>
              </w:rPr>
              <w:instrText xml:space="preserve"> REF _Ref25030 \h </w:instrText>
            </w:r>
            <w:r>
              <w:rPr>
                <w:rFonts w:hint="default" w:ascii="Times New Roman" w:hAnsi="Times New Roman" w:cs="Times New Roman"/>
                <w:color w:val="000000"/>
                <w:highlight w:val="none"/>
                <w:lang w:eastAsia="zh-CN"/>
              </w:rPr>
              <w:fldChar w:fldCharType="separate"/>
            </w:r>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4.3</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11</w:t>
            </w:r>
            <w:r>
              <w:rPr>
                <w:rFonts w:hint="default" w:ascii="Times New Roman" w:hAnsi="Times New Roman" w:cs="Times New Roman"/>
                <w:color w:val="000000"/>
                <w:highlight w:val="none"/>
                <w:lang w:eastAsia="zh-CN"/>
              </w:rPr>
              <w:fldChar w:fldCharType="end"/>
            </w:r>
            <w:r>
              <w:rPr>
                <w:rFonts w:hint="default" w:ascii="Times New Roman" w:hAnsi="Times New Roman" w:cs="Times New Roman"/>
                <w:color w:val="000000"/>
                <w:highlight w:val="none"/>
                <w:lang w:eastAsia="zh-CN"/>
              </w:rPr>
              <w:t>。</w:t>
            </w:r>
          </w:p>
          <w:p w14:paraId="64A42FCC">
            <w:pPr>
              <w:pStyle w:val="30"/>
              <w:bidi w:val="0"/>
              <w:rPr>
                <w:rFonts w:hint="default" w:ascii="Times New Roman" w:hAnsi="Times New Roman" w:cs="Times New Roman"/>
                <w:color w:val="000000"/>
                <w:highlight w:val="none"/>
                <w:lang w:val="en-US" w:eastAsia="zh-CN"/>
              </w:rPr>
            </w:pPr>
            <w:bookmarkStart w:id="357" w:name="_Ref25030"/>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4.3</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表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11</w:t>
            </w:r>
            <w:r>
              <w:rPr>
                <w:rFonts w:hint="default" w:ascii="Times New Roman" w:hAnsi="Times New Roman" w:cs="Times New Roman"/>
                <w:color w:val="000000"/>
                <w:highlight w:val="none"/>
              </w:rPr>
              <w:fldChar w:fldCharType="end"/>
            </w:r>
            <w:bookmarkEnd w:id="357"/>
            <w:r>
              <w:rPr>
                <w:rFonts w:hint="default" w:ascii="Times New Roman" w:hAnsi="Times New Roman" w:cs="Times New Roman"/>
                <w:color w:val="000000"/>
                <w:highlight w:val="none"/>
                <w:lang w:val="en-US" w:eastAsia="zh-CN"/>
              </w:rPr>
              <w:t xml:space="preserve"> 施工扬尘对周围环境的影响一览表（TSP 浓度单位mg/m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w:t>
            </w:r>
          </w:p>
          <w:tbl>
            <w:tblPr>
              <w:tblStyle w:val="3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950"/>
              <w:gridCol w:w="1961"/>
              <w:gridCol w:w="1953"/>
              <w:gridCol w:w="2366"/>
            </w:tblGrid>
            <w:tr w14:paraId="1BB441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9" w:hRule="atLeast"/>
                <w:tblHeader/>
                <w:jc w:val="center"/>
              </w:trPr>
              <w:tc>
                <w:tcPr>
                  <w:tcW w:w="1185" w:type="pct"/>
                  <w:noWrap w:val="0"/>
                  <w:vAlign w:val="center"/>
                </w:tcPr>
                <w:p w14:paraId="30192EFE">
                  <w:pPr>
                    <w:pStyle w:val="31"/>
                    <w:bidi w:val="0"/>
                    <w:rPr>
                      <w:rFonts w:hint="default" w:ascii="Times New Roman" w:hAnsi="Times New Roman" w:cs="Times New Roman"/>
                      <w:b/>
                      <w:bCs/>
                      <w:color w:val="000000"/>
                      <w:highlight w:val="none"/>
                      <w:lang w:eastAsia="zh-CN"/>
                    </w:rPr>
                  </w:pPr>
                  <w:r>
                    <w:rPr>
                      <w:rFonts w:hint="default" w:ascii="Times New Roman" w:hAnsi="Times New Roman" w:cs="Times New Roman"/>
                      <w:b/>
                      <w:bCs/>
                      <w:color w:val="000000"/>
                      <w:highlight w:val="none"/>
                      <w:lang w:eastAsia="zh-CN"/>
                    </w:rPr>
                    <w:t>下风距离（m）</w:t>
                  </w:r>
                </w:p>
              </w:tc>
              <w:tc>
                <w:tcPr>
                  <w:tcW w:w="1191" w:type="pct"/>
                  <w:noWrap w:val="0"/>
                  <w:vAlign w:val="center"/>
                </w:tcPr>
                <w:p w14:paraId="177748F5">
                  <w:pPr>
                    <w:pStyle w:val="31"/>
                    <w:bidi w:val="0"/>
                    <w:rPr>
                      <w:rFonts w:hint="default" w:ascii="Times New Roman" w:hAnsi="Times New Roman" w:cs="Times New Roman"/>
                      <w:b/>
                      <w:bCs/>
                      <w:color w:val="000000"/>
                      <w:highlight w:val="none"/>
                      <w:lang w:eastAsia="zh-CN"/>
                    </w:rPr>
                  </w:pPr>
                  <w:r>
                    <w:rPr>
                      <w:rFonts w:hint="default" w:ascii="Times New Roman" w:hAnsi="Times New Roman" w:cs="Times New Roman"/>
                      <w:b/>
                      <w:bCs/>
                      <w:color w:val="000000"/>
                      <w:highlight w:val="none"/>
                      <w:lang w:eastAsia="zh-CN"/>
                    </w:rPr>
                    <w:t>风速&lt;3（m/s）</w:t>
                  </w:r>
                </w:p>
              </w:tc>
              <w:tc>
                <w:tcPr>
                  <w:tcW w:w="1186" w:type="pct"/>
                  <w:noWrap w:val="0"/>
                  <w:vAlign w:val="center"/>
                </w:tcPr>
                <w:p w14:paraId="7AF2D6DB">
                  <w:pPr>
                    <w:pStyle w:val="31"/>
                    <w:bidi w:val="0"/>
                    <w:rPr>
                      <w:rFonts w:hint="default" w:ascii="Times New Roman" w:hAnsi="Times New Roman" w:cs="Times New Roman"/>
                      <w:b/>
                      <w:bCs/>
                      <w:color w:val="000000"/>
                      <w:highlight w:val="none"/>
                      <w:lang w:eastAsia="zh-CN"/>
                    </w:rPr>
                  </w:pPr>
                  <w:r>
                    <w:rPr>
                      <w:rFonts w:hint="default" w:ascii="Times New Roman" w:hAnsi="Times New Roman" w:cs="Times New Roman"/>
                      <w:b/>
                      <w:bCs/>
                      <w:color w:val="000000"/>
                      <w:highlight w:val="none"/>
                      <w:lang w:eastAsia="zh-CN"/>
                    </w:rPr>
                    <w:t>风速3～5（m/s）</w:t>
                  </w:r>
                </w:p>
              </w:tc>
              <w:tc>
                <w:tcPr>
                  <w:tcW w:w="1437" w:type="pct"/>
                  <w:noWrap w:val="0"/>
                  <w:vAlign w:val="center"/>
                </w:tcPr>
                <w:p w14:paraId="00FF43DF">
                  <w:pPr>
                    <w:pStyle w:val="31"/>
                    <w:bidi w:val="0"/>
                    <w:rPr>
                      <w:rFonts w:hint="default" w:ascii="Times New Roman" w:hAnsi="Times New Roman" w:cs="Times New Roman"/>
                      <w:b/>
                      <w:bCs/>
                      <w:color w:val="000000"/>
                      <w:highlight w:val="none"/>
                      <w:lang w:eastAsia="zh-CN"/>
                    </w:rPr>
                  </w:pPr>
                  <w:r>
                    <w:rPr>
                      <w:rFonts w:hint="default" w:ascii="Times New Roman" w:hAnsi="Times New Roman" w:cs="Times New Roman"/>
                      <w:b/>
                      <w:bCs/>
                      <w:color w:val="000000"/>
                      <w:highlight w:val="none"/>
                      <w:lang w:eastAsia="zh-CN"/>
                    </w:rPr>
                    <w:t>风速5～8（m/s）</w:t>
                  </w:r>
                </w:p>
              </w:tc>
            </w:tr>
            <w:tr w14:paraId="769470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1185" w:type="pct"/>
                  <w:noWrap w:val="0"/>
                  <w:vAlign w:val="center"/>
                </w:tcPr>
                <w:p w14:paraId="450FA8F5">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20</w:t>
                  </w:r>
                </w:p>
              </w:tc>
              <w:tc>
                <w:tcPr>
                  <w:tcW w:w="1191" w:type="pct"/>
                  <w:noWrap w:val="0"/>
                  <w:vAlign w:val="center"/>
                </w:tcPr>
                <w:p w14:paraId="713E5DB2">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0.20</w:t>
                  </w:r>
                </w:p>
              </w:tc>
              <w:tc>
                <w:tcPr>
                  <w:tcW w:w="1186" w:type="pct"/>
                  <w:noWrap w:val="0"/>
                  <w:vAlign w:val="center"/>
                </w:tcPr>
                <w:p w14:paraId="391A69BB">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0.44</w:t>
                  </w:r>
                </w:p>
              </w:tc>
              <w:tc>
                <w:tcPr>
                  <w:tcW w:w="1437" w:type="pct"/>
                  <w:noWrap w:val="0"/>
                  <w:vAlign w:val="center"/>
                </w:tcPr>
                <w:p w14:paraId="05BCA512">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0.65</w:t>
                  </w:r>
                </w:p>
              </w:tc>
            </w:tr>
            <w:tr w14:paraId="15D25B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1185" w:type="pct"/>
                  <w:noWrap w:val="0"/>
                  <w:vAlign w:val="center"/>
                </w:tcPr>
                <w:p w14:paraId="420DE217">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50</w:t>
                  </w:r>
                </w:p>
              </w:tc>
              <w:tc>
                <w:tcPr>
                  <w:tcW w:w="1191" w:type="pct"/>
                  <w:noWrap w:val="0"/>
                  <w:vAlign w:val="center"/>
                </w:tcPr>
                <w:p w14:paraId="7DBE1075">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0.16</w:t>
                  </w:r>
                </w:p>
              </w:tc>
              <w:tc>
                <w:tcPr>
                  <w:tcW w:w="1186" w:type="pct"/>
                  <w:noWrap w:val="0"/>
                  <w:vAlign w:val="center"/>
                </w:tcPr>
                <w:p w14:paraId="40D5F4B7">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0.38</w:t>
                  </w:r>
                </w:p>
              </w:tc>
              <w:tc>
                <w:tcPr>
                  <w:tcW w:w="1437" w:type="pct"/>
                  <w:noWrap w:val="0"/>
                  <w:vAlign w:val="center"/>
                </w:tcPr>
                <w:p w14:paraId="7E64D6D5">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0.42</w:t>
                  </w:r>
                </w:p>
              </w:tc>
            </w:tr>
            <w:tr w14:paraId="1A53B6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2139" w:type="dxa"/>
                  <w:noWrap w:val="0"/>
                  <w:vAlign w:val="center"/>
                </w:tcPr>
                <w:p w14:paraId="0F2BC526">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rPr>
                    <w:t>100</w:t>
                  </w:r>
                </w:p>
              </w:tc>
              <w:tc>
                <w:tcPr>
                  <w:tcW w:w="2150" w:type="dxa"/>
                  <w:noWrap w:val="0"/>
                  <w:vAlign w:val="center"/>
                </w:tcPr>
                <w:p w14:paraId="3AB84EEB">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rPr>
                    <w:t>0.12</w:t>
                  </w:r>
                </w:p>
              </w:tc>
              <w:tc>
                <w:tcPr>
                  <w:tcW w:w="2140" w:type="dxa"/>
                  <w:noWrap w:val="0"/>
                  <w:vAlign w:val="center"/>
                </w:tcPr>
                <w:p w14:paraId="4E038F02">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rPr>
                    <w:t>0.20</w:t>
                  </w:r>
                </w:p>
              </w:tc>
              <w:tc>
                <w:tcPr>
                  <w:tcW w:w="2593" w:type="dxa"/>
                  <w:noWrap w:val="0"/>
                  <w:vAlign w:val="center"/>
                </w:tcPr>
                <w:p w14:paraId="5C302664">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rPr>
                    <w:t>0.28</w:t>
                  </w:r>
                </w:p>
              </w:tc>
            </w:tr>
            <w:tr w14:paraId="49FBB1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2139" w:type="dxa"/>
                  <w:noWrap w:val="0"/>
                  <w:vAlign w:val="center"/>
                </w:tcPr>
                <w:p w14:paraId="4F878319">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rPr>
                    <w:t>200</w:t>
                  </w:r>
                </w:p>
              </w:tc>
              <w:tc>
                <w:tcPr>
                  <w:tcW w:w="2150" w:type="dxa"/>
                  <w:noWrap w:val="0"/>
                  <w:vAlign w:val="center"/>
                </w:tcPr>
                <w:p w14:paraId="190B35AA">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rPr>
                    <w:t>0.06</w:t>
                  </w:r>
                </w:p>
              </w:tc>
              <w:tc>
                <w:tcPr>
                  <w:tcW w:w="2140" w:type="dxa"/>
                  <w:noWrap w:val="0"/>
                  <w:vAlign w:val="center"/>
                </w:tcPr>
                <w:p w14:paraId="5E9BE32D">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rPr>
                    <w:t>0.10</w:t>
                  </w:r>
                </w:p>
              </w:tc>
              <w:tc>
                <w:tcPr>
                  <w:tcW w:w="2593" w:type="dxa"/>
                  <w:noWrap w:val="0"/>
                  <w:vAlign w:val="center"/>
                </w:tcPr>
                <w:p w14:paraId="169107B0">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rPr>
                    <w:t>0.12</w:t>
                  </w:r>
                </w:p>
              </w:tc>
            </w:tr>
          </w:tbl>
          <w:p w14:paraId="4838EEFF">
            <w:pPr>
              <w:bidi w:val="0"/>
              <w:ind w:firstLine="480" w:firstLineChars="20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上表的计算结果是小时平均浓度的贡献值，采用D类稳定度进行计算，计算公式如下：</w:t>
            </w:r>
          </w:p>
          <w:p w14:paraId="65F77387">
            <w:pPr>
              <w:bidi w:val="0"/>
              <w:ind w:left="0" w:leftChars="0" w:firstLine="0" w:firstLineChars="0"/>
              <w:jc w:val="center"/>
              <w:rPr>
                <w:rFonts w:hint="default" w:ascii="Times New Roman" w:hAnsi="Times New Roman" w:cs="Times New Roman"/>
                <w:color w:val="000000"/>
                <w:highlight w:val="none"/>
                <w:lang w:eastAsia="zh-CN"/>
              </w:rPr>
            </w:pPr>
            <w:r>
              <w:rPr>
                <w:rFonts w:hint="default" w:ascii="Times New Roman" w:hAnsi="Times New Roman" w:cs="Times New Roman"/>
                <w:color w:val="000000"/>
                <w:position w:val="-6"/>
                <w:highlight w:val="none"/>
                <w:lang w:eastAsia="zh-CN"/>
              </w:rPr>
              <w:object>
                <v:shape id="_x0000_i1076" o:spt="75" type="#_x0000_t75" style="height:18pt;width:224pt;" o:ole="t" filled="f" o:preferrelative="t" stroked="f" coordsize="21600,21600">
                  <v:path/>
                  <v:fill on="f" focussize="0,0"/>
                  <v:stroke on="f"/>
                  <v:imagedata r:id="rId133" o:title=""/>
                  <o:lock v:ext="edit" aspectratio="t"/>
                  <w10:wrap type="none"/>
                  <w10:anchorlock/>
                </v:shape>
                <o:OLEObject Type="Embed" ProgID="Equation.KSEE3" ShapeID="_x0000_i1076" DrawAspect="Content" ObjectID="_1468075777" r:id="rId132">
                  <o:LockedField>false</o:LockedField>
                </o:OLEObject>
              </w:object>
            </w:r>
          </w:p>
          <w:p w14:paraId="495453F0">
            <w:pPr>
              <w:bidi w:val="0"/>
              <w:ind w:left="0" w:leftChars="0" w:firstLine="0" w:firstLineChars="0"/>
              <w:jc w:val="center"/>
              <w:rPr>
                <w:rFonts w:hint="default" w:ascii="Times New Roman" w:hAnsi="Times New Roman" w:cs="Times New Roman"/>
                <w:color w:val="000000"/>
                <w:highlight w:val="none"/>
                <w:lang w:eastAsia="zh-CN"/>
              </w:rPr>
            </w:pPr>
            <w:r>
              <w:rPr>
                <w:rFonts w:hint="default" w:ascii="Times New Roman" w:hAnsi="Times New Roman" w:cs="Times New Roman"/>
                <w:color w:val="000000"/>
                <w:position w:val="-38"/>
                <w:highlight w:val="none"/>
                <w:lang w:eastAsia="zh-CN"/>
              </w:rPr>
              <w:object>
                <v:shape id="_x0000_i1077" o:spt="75" type="#_x0000_t75" style="height:44pt;width:144pt;" o:ole="t" filled="f" o:preferrelative="t" stroked="f" coordsize="21600,21600">
                  <v:path/>
                  <v:fill on="f" focussize="0,0"/>
                  <v:stroke on="f"/>
                  <v:imagedata r:id="rId135" o:title=""/>
                  <o:lock v:ext="edit" aspectratio="t"/>
                  <w10:wrap type="none"/>
                  <w10:anchorlock/>
                </v:shape>
                <o:OLEObject Type="Embed" ProgID="Equation.KSEE3" ShapeID="_x0000_i1077" DrawAspect="Content" ObjectID="_1468075778" r:id="rId134">
                  <o:LockedField>false</o:LockedField>
                </o:OLEObject>
              </w:object>
            </w:r>
          </w:p>
          <w:p w14:paraId="64EE22FD">
            <w:pPr>
              <w:bidi w:val="0"/>
              <w:ind w:left="0" w:leftChars="0"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a</w:t>
            </w:r>
            <w:r>
              <w:rPr>
                <w:rFonts w:hint="default" w:ascii="Times New Roman" w:hAnsi="Times New Roman" w:cs="Times New Roman"/>
                <w:color w:val="000000"/>
                <w:highlight w:val="none"/>
                <w:vertAlign w:val="subscript"/>
                <w:lang w:val="en-US" w:eastAsia="zh-CN"/>
              </w:rPr>
              <w:t>1</w:t>
            </w:r>
            <w:r>
              <w:rPr>
                <w:rFonts w:hint="default" w:ascii="Times New Roman" w:hAnsi="Times New Roman" w:cs="Times New Roman"/>
                <w:color w:val="000000"/>
                <w:highlight w:val="none"/>
                <w:lang w:val="en-US" w:eastAsia="zh-CN"/>
              </w:rPr>
              <w:t>=0.929   a</w:t>
            </w:r>
            <w:r>
              <w:rPr>
                <w:rFonts w:hint="default" w:ascii="Times New Roman" w:hAnsi="Times New Roman" w:cs="Times New Roman"/>
                <w:color w:val="000000"/>
                <w:highlight w:val="none"/>
                <w:vertAlign w:val="subscript"/>
                <w:lang w:val="en-US" w:eastAsia="zh-CN"/>
              </w:rPr>
              <w:t>2</w:t>
            </w:r>
            <w:r>
              <w:rPr>
                <w:rFonts w:hint="default" w:ascii="Times New Roman" w:hAnsi="Times New Roman" w:cs="Times New Roman"/>
                <w:color w:val="000000"/>
                <w:highlight w:val="none"/>
                <w:lang w:val="en-US" w:eastAsia="zh-CN"/>
              </w:rPr>
              <w:t>=0.826   Y</w:t>
            </w:r>
            <w:r>
              <w:rPr>
                <w:rFonts w:hint="default" w:ascii="Times New Roman" w:hAnsi="Times New Roman" w:cs="Times New Roman"/>
                <w:color w:val="000000"/>
                <w:highlight w:val="none"/>
                <w:vertAlign w:val="subscript"/>
                <w:lang w:val="en-US" w:eastAsia="zh-CN"/>
              </w:rPr>
              <w:t>1</w:t>
            </w:r>
            <w:r>
              <w:rPr>
                <w:rFonts w:hint="default" w:ascii="Times New Roman" w:hAnsi="Times New Roman" w:cs="Times New Roman"/>
                <w:color w:val="000000"/>
                <w:highlight w:val="none"/>
                <w:lang w:val="en-US" w:eastAsia="zh-CN"/>
              </w:rPr>
              <w:t>=0.1107   Y</w:t>
            </w:r>
            <w:r>
              <w:rPr>
                <w:rFonts w:hint="default" w:ascii="Times New Roman" w:hAnsi="Times New Roman" w:cs="Times New Roman"/>
                <w:color w:val="000000"/>
                <w:highlight w:val="none"/>
                <w:vertAlign w:val="subscript"/>
                <w:lang w:val="en-US" w:eastAsia="zh-CN"/>
              </w:rPr>
              <w:t>2</w:t>
            </w:r>
            <w:r>
              <w:rPr>
                <w:rFonts w:hint="default" w:ascii="Times New Roman" w:hAnsi="Times New Roman" w:cs="Times New Roman"/>
                <w:color w:val="000000"/>
                <w:highlight w:val="none"/>
                <w:lang w:val="en-US" w:eastAsia="zh-CN"/>
              </w:rPr>
              <w:t>=0.105</w:t>
            </w:r>
          </w:p>
          <w:p w14:paraId="263692F6">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从推算类比结果来看，一般情况下施工扬尘的影响范围在200m以内。在扬尘点下风向0～50m为较重污染带、50～100m为污染带、100～200m为轻污染带，200m以外对大气影响甚微。</w:t>
            </w:r>
          </w:p>
          <w:p w14:paraId="37BB351F">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为控制运输车辆扬尘污染，要求施工队伍在施工道路勤洒水，提高粉尘含水率，增加粉尘颗粒物之间的凝结力，克服外界扰动，降低动力起尘和风致起尘；同时限制运输车辆行驶速度，严禁超载，对运输砂料等易产生扬尘的车辆要采用封闭车厢，避免沿途散落；此外要配备道路清扫队伍和设施，及时清扫散落在路面的砂土石等建筑材料，每天在运输道路上洒水2～3次，视道路扬尘影响程度适当增加喷洒水次数尽可能减少道路扬尘；最后，工地运输出入口应当设置洗车台，将驶出工地的车辆轮胎冲洗干净，进一步减少车辆扬尘，减轻对施工场地及道路沿线周边环境的影响。</w:t>
            </w:r>
          </w:p>
          <w:p w14:paraId="3863E1D5">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eastAsia="zh-CN"/>
              </w:rPr>
              <w:t>（2）</w:t>
            </w:r>
            <w:r>
              <w:rPr>
                <w:rFonts w:hint="default" w:ascii="Times New Roman" w:hAnsi="Times New Roman" w:cs="Times New Roman"/>
                <w:b/>
                <w:bCs/>
                <w:color w:val="000000"/>
                <w:highlight w:val="none"/>
                <w:lang w:val="en-US" w:eastAsia="zh-CN"/>
              </w:rPr>
              <w:t>施工期机械、车辆燃油废气</w:t>
            </w:r>
          </w:p>
          <w:p w14:paraId="0867CD36">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施工期运输车辆、施工船舶等各种燃油机械设备运转过程中产生的SO</w:t>
            </w:r>
            <w:r>
              <w:rPr>
                <w:rFonts w:hint="default" w:ascii="Times New Roman" w:hAnsi="Times New Roman" w:cs="Times New Roman"/>
                <w:color w:val="000000"/>
                <w:highlight w:val="none"/>
                <w:vertAlign w:val="subscript"/>
                <w:lang w:eastAsia="zh-CN"/>
              </w:rPr>
              <w:t>2</w:t>
            </w:r>
            <w:r>
              <w:rPr>
                <w:rFonts w:hint="default" w:ascii="Times New Roman" w:hAnsi="Times New Roman" w:cs="Times New Roman"/>
                <w:color w:val="000000"/>
                <w:highlight w:val="none"/>
                <w:lang w:eastAsia="zh-CN"/>
              </w:rPr>
              <w:t>、NO</w:t>
            </w:r>
            <w:r>
              <w:rPr>
                <w:rFonts w:hint="default" w:ascii="Times New Roman" w:hAnsi="Times New Roman" w:cs="Times New Roman"/>
                <w:color w:val="000000"/>
                <w:highlight w:val="none"/>
                <w:vertAlign w:val="subscript"/>
                <w:lang w:eastAsia="zh-CN"/>
              </w:rPr>
              <w:t>2</w:t>
            </w:r>
            <w:r>
              <w:rPr>
                <w:rFonts w:hint="default" w:ascii="Times New Roman" w:hAnsi="Times New Roman" w:cs="Times New Roman"/>
                <w:color w:val="000000"/>
                <w:highlight w:val="none"/>
                <w:lang w:eastAsia="zh-CN"/>
              </w:rPr>
              <w:t>、CO、烃类等污染物对大气环境也将有所影响，但此类污染物数量不多</w:t>
            </w:r>
            <w:r>
              <w:rPr>
                <w:rFonts w:hint="eastAsia" w:cs="Times New Roman"/>
                <w:color w:val="000000"/>
                <w:highlight w:val="none"/>
                <w:lang w:eastAsia="zh-CN"/>
              </w:rPr>
              <w:t>且</w:t>
            </w:r>
            <w:r>
              <w:rPr>
                <w:rFonts w:hint="default" w:ascii="Times New Roman" w:hAnsi="Times New Roman" w:cs="Times New Roman"/>
                <w:color w:val="000000"/>
                <w:highlight w:val="none"/>
                <w:lang w:eastAsia="zh-CN"/>
              </w:rPr>
              <w:t>表现为断续特征</w:t>
            </w:r>
            <w:r>
              <w:rPr>
                <w:rFonts w:hint="eastAsia" w:cs="Times New Roman"/>
                <w:color w:val="000000"/>
                <w:highlight w:val="none"/>
                <w:lang w:eastAsia="zh-CN"/>
              </w:rPr>
              <w:t>且</w:t>
            </w:r>
            <w:r>
              <w:rPr>
                <w:rFonts w:hint="default" w:ascii="Times New Roman" w:hAnsi="Times New Roman" w:cs="Times New Roman"/>
                <w:color w:val="000000"/>
                <w:highlight w:val="none"/>
                <w:lang w:eastAsia="zh-CN"/>
              </w:rPr>
              <w:t>由于施工海域宽阔，港区空气流动性大，扩散能力强，施工船舶和车辆运输过程中产生的尾气难以聚集，很快便会扩散，对环境空气质量影响不大。</w:t>
            </w:r>
          </w:p>
          <w:p w14:paraId="5579CA67">
            <w:pPr>
              <w:pStyle w:val="4"/>
              <w:bidi w:val="0"/>
              <w:rPr>
                <w:rFonts w:hint="default" w:ascii="Times New Roman" w:hAnsi="Times New Roman" w:cs="Times New Roman"/>
                <w:color w:val="000000"/>
                <w:highlight w:val="none"/>
              </w:rPr>
            </w:pPr>
            <w:bookmarkStart w:id="358" w:name="_Toc12394"/>
            <w:bookmarkStart w:id="359" w:name="_Toc2568"/>
            <w:r>
              <w:rPr>
                <w:rFonts w:hint="default" w:ascii="Times New Roman" w:hAnsi="Times New Roman" w:cs="Times New Roman"/>
                <w:color w:val="000000"/>
                <w:highlight w:val="none"/>
              </w:rPr>
              <w:t>施工期声环境影响</w:t>
            </w:r>
            <w:bookmarkEnd w:id="358"/>
            <w:r>
              <w:rPr>
                <w:rFonts w:hint="default" w:ascii="Times New Roman" w:hAnsi="Times New Roman" w:cs="Times New Roman"/>
                <w:color w:val="000000"/>
                <w:highlight w:val="none"/>
                <w:lang w:val="en-US" w:eastAsia="zh-CN"/>
              </w:rPr>
              <w:t>分析</w:t>
            </w:r>
            <w:bookmarkEnd w:id="359"/>
          </w:p>
          <w:p w14:paraId="64FB02E1">
            <w:pPr>
              <w:keepNext w:val="0"/>
              <w:keepLines w:val="0"/>
              <w:pageBreakBefore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根据《环境影响评价技术导则 声环境》（HJ2.4-2021），本项目主要噪声源预测按照点声源A声级衰减方法进行。根据点声源噪声衰减模式，估算出离声源不同距离处的噪声值，预测模式如下：</w:t>
            </w:r>
          </w:p>
          <w:p w14:paraId="318DF30C">
            <w:pPr>
              <w:keepNext w:val="0"/>
              <w:keepLines w:val="0"/>
              <w:pageBreakBefore w:val="0"/>
              <w:widowControl/>
              <w:suppressLineNumbers w:val="0"/>
              <w:kinsoku/>
              <w:wordWrap/>
              <w:overflowPunct/>
              <w:topLinePunct w:val="0"/>
              <w:autoSpaceDE/>
              <w:autoSpaceDN/>
              <w:bidi w:val="0"/>
              <w:adjustRightInd/>
              <w:snapToGrid/>
              <w:ind w:firstLine="480" w:firstLineChars="200"/>
              <w:jc w:val="left"/>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LA（r）=LA</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r</w:t>
            </w:r>
            <w:r>
              <w:rPr>
                <w:rFonts w:hint="default" w:ascii="Times New Roman" w:hAnsi="Times New Roman" w:cs="Times New Roman"/>
                <w:color w:val="000000"/>
                <w:highlight w:val="none"/>
                <w:vertAlign w:val="subscript"/>
                <w:lang w:val="en-US" w:eastAsia="zh-CN"/>
              </w:rPr>
              <w:t>0</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-20lg（r/r</w:t>
            </w:r>
            <w:r>
              <w:rPr>
                <w:rFonts w:hint="default" w:ascii="Times New Roman" w:hAnsi="Times New Roman" w:cs="Times New Roman"/>
                <w:color w:val="000000"/>
                <w:highlight w:val="none"/>
                <w:vertAlign w:val="subscript"/>
                <w:lang w:val="en-US" w:eastAsia="zh-CN"/>
              </w:rPr>
              <w:t>0</w:t>
            </w:r>
            <w:r>
              <w:rPr>
                <w:rFonts w:hint="default" w:ascii="Times New Roman" w:hAnsi="Times New Roman" w:cs="Times New Roman"/>
                <w:color w:val="000000"/>
                <w:highlight w:val="none"/>
                <w:lang w:val="en-US" w:eastAsia="zh-CN"/>
              </w:rPr>
              <w:t>）-</w:t>
            </w:r>
            <w:r>
              <w:rPr>
                <w:rFonts w:hint="default" w:ascii="Times New Roman" w:hAnsi="Times New Roman" w:eastAsia="宋体" w:cs="Times New Roman"/>
                <w:color w:val="000000"/>
                <w:kern w:val="0"/>
                <w:sz w:val="24"/>
                <w:szCs w:val="24"/>
                <w:highlight w:val="none"/>
                <w:lang w:val="en-US" w:eastAsia="zh-CN" w:bidi="ar"/>
              </w:rPr>
              <w:t>△L</w:t>
            </w:r>
          </w:p>
          <w:p w14:paraId="29272C60">
            <w:pPr>
              <w:keepNext w:val="0"/>
              <w:keepLines w:val="0"/>
              <w:pageBreakBefore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eastAsia="宋体" w:cs="Times New Roman"/>
                <w:color w:val="000000"/>
                <w:highlight w:val="none"/>
                <w:lang w:val="en-US" w:eastAsia="zh-CN"/>
              </w:rPr>
              <w:t>式中：</w:t>
            </w:r>
            <w:r>
              <w:rPr>
                <w:rFonts w:hint="default" w:ascii="Times New Roman" w:hAnsi="Times New Roman" w:cs="Times New Roman"/>
                <w:color w:val="000000"/>
                <w:highlight w:val="none"/>
              </w:rPr>
              <w:t>LA（r）—距离某设备 r 处时设备的辐射声级 dB（A）；</w:t>
            </w:r>
          </w:p>
          <w:p w14:paraId="08075048">
            <w:pPr>
              <w:keepNext w:val="0"/>
              <w:keepLines w:val="0"/>
              <w:pageBreakBefore w:val="0"/>
              <w:kinsoku/>
              <w:wordWrap/>
              <w:overflowPunct/>
              <w:topLinePunct w:val="0"/>
              <w:autoSpaceDE/>
              <w:autoSpaceDN/>
              <w:bidi w:val="0"/>
              <w:adjustRightInd/>
              <w:snapToGrid/>
              <w:ind w:firstLine="1200" w:firstLineChars="5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LA</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r</w:t>
            </w:r>
            <w:r>
              <w:rPr>
                <w:rFonts w:hint="default" w:ascii="Times New Roman" w:hAnsi="Times New Roman" w:cs="Times New Roman"/>
                <w:color w:val="000000"/>
                <w:highlight w:val="none"/>
                <w:vertAlign w:val="subscript"/>
                <w:lang w:val="en-US" w:eastAsia="zh-CN"/>
              </w:rPr>
              <w:t>0</w:t>
            </w:r>
            <w:r>
              <w:rPr>
                <w:rFonts w:hint="default" w:ascii="Times New Roman" w:hAnsi="Times New Roman" w:cs="Times New Roman"/>
                <w:color w:val="000000"/>
                <w:highlight w:val="none"/>
                <w:lang w:eastAsia="zh-CN"/>
              </w:rPr>
              <w:t xml:space="preserve">）—距离某设备 </w:t>
            </w:r>
            <w:r>
              <w:rPr>
                <w:rFonts w:hint="default" w:ascii="Times New Roman" w:hAnsi="Times New Roman" w:eastAsia="宋体" w:cs="Times New Roman"/>
                <w:color w:val="000000"/>
                <w:highlight w:val="none"/>
                <w:lang w:val="en-US" w:eastAsia="zh-CN"/>
              </w:rPr>
              <w:t>r</w:t>
            </w:r>
            <w:r>
              <w:rPr>
                <w:rFonts w:hint="default" w:ascii="Times New Roman" w:hAnsi="Times New Roman" w:eastAsia="宋体" w:cs="Times New Roman"/>
                <w:color w:val="000000"/>
                <w:highlight w:val="none"/>
                <w:vertAlign w:val="subscript"/>
                <w:lang w:val="en-US" w:eastAsia="zh-CN"/>
              </w:rPr>
              <w:t>0</w:t>
            </w:r>
            <w:r>
              <w:rPr>
                <w:rFonts w:hint="default" w:ascii="Times New Roman" w:hAnsi="Times New Roman" w:cs="Times New Roman"/>
                <w:color w:val="000000"/>
                <w:highlight w:val="none"/>
                <w:lang w:eastAsia="zh-CN"/>
              </w:rPr>
              <w:t xml:space="preserve"> 处测得的设备辐射声级 dB（A）；</w:t>
            </w:r>
          </w:p>
          <w:p w14:paraId="59D680E3">
            <w:pPr>
              <w:keepNext w:val="0"/>
              <w:keepLines w:val="0"/>
              <w:pageBreakBefore w:val="0"/>
              <w:kinsoku/>
              <w:wordWrap/>
              <w:overflowPunct/>
              <w:topLinePunct w:val="0"/>
              <w:autoSpaceDE/>
              <w:autoSpaceDN/>
              <w:bidi w:val="0"/>
              <w:adjustRightInd/>
              <w:snapToGrid/>
              <w:ind w:firstLine="1200" w:firstLineChars="500"/>
              <w:textAlignment w:val="auto"/>
              <w:rPr>
                <w:rFonts w:hint="default" w:ascii="Times New Roman" w:hAnsi="Times New Roman" w:eastAsia="宋体" w:cs="Times New Roman"/>
                <w:color w:val="000000"/>
                <w:highlight w:val="none"/>
                <w:lang w:val="en-US" w:eastAsia="zh-CN"/>
              </w:rPr>
            </w:pPr>
            <w:r>
              <w:rPr>
                <w:rFonts w:hint="default" w:ascii="Times New Roman" w:hAnsi="Times New Roman" w:eastAsia="宋体" w:cs="Times New Roman"/>
                <w:color w:val="000000"/>
                <w:highlight w:val="none"/>
                <w:lang w:val="en-US" w:eastAsia="zh-CN"/>
              </w:rPr>
              <w:t>r—预测点到声源的距离</w:t>
            </w:r>
            <w:r>
              <w:rPr>
                <w:rFonts w:hint="default" w:ascii="Times New Roman" w:hAnsi="Times New Roman" w:cs="Times New Roman"/>
                <w:color w:val="000000"/>
                <w:highlight w:val="none"/>
                <w:lang w:val="en-US" w:eastAsia="zh-CN"/>
              </w:rPr>
              <w:t>；</w:t>
            </w:r>
          </w:p>
          <w:p w14:paraId="790A366E">
            <w:pPr>
              <w:keepNext w:val="0"/>
              <w:keepLines w:val="0"/>
              <w:pageBreakBefore w:val="0"/>
              <w:kinsoku/>
              <w:wordWrap/>
              <w:overflowPunct/>
              <w:topLinePunct w:val="0"/>
              <w:autoSpaceDE/>
              <w:autoSpaceDN/>
              <w:bidi w:val="0"/>
              <w:adjustRightInd/>
              <w:snapToGrid/>
              <w:ind w:firstLine="1200" w:firstLineChars="500"/>
              <w:textAlignment w:val="auto"/>
              <w:rPr>
                <w:rFonts w:hint="default" w:ascii="Times New Roman" w:hAnsi="Times New Roman" w:cs="Times New Roman"/>
                <w:color w:val="000000"/>
                <w:highlight w:val="none"/>
                <w:lang w:eastAsia="zh-CN"/>
              </w:rPr>
            </w:pPr>
            <w:r>
              <w:rPr>
                <w:rFonts w:hint="default" w:ascii="Times New Roman" w:hAnsi="Times New Roman" w:eastAsia="宋体" w:cs="Times New Roman"/>
                <w:color w:val="000000"/>
                <w:highlight w:val="none"/>
                <w:lang w:val="en-US" w:eastAsia="zh-CN"/>
              </w:rPr>
              <w:t>r</w:t>
            </w:r>
            <w:r>
              <w:rPr>
                <w:rFonts w:hint="default" w:ascii="Times New Roman" w:hAnsi="Times New Roman" w:eastAsia="宋体" w:cs="Times New Roman"/>
                <w:color w:val="000000"/>
                <w:highlight w:val="none"/>
                <w:vertAlign w:val="subscript"/>
                <w:lang w:val="en-US" w:eastAsia="zh-CN"/>
              </w:rPr>
              <w:t>0</w:t>
            </w:r>
            <w:r>
              <w:rPr>
                <w:rFonts w:hint="default" w:ascii="Times New Roman" w:hAnsi="Times New Roman" w:eastAsia="宋体" w:cs="Times New Roman"/>
                <w:color w:val="000000"/>
                <w:highlight w:val="none"/>
                <w:lang w:eastAsia="zh-CN"/>
              </w:rPr>
              <w:t>—LA（</w:t>
            </w:r>
            <w:r>
              <w:rPr>
                <w:rFonts w:hint="default" w:ascii="Times New Roman" w:hAnsi="Times New Roman" w:eastAsia="宋体" w:cs="Times New Roman"/>
                <w:color w:val="000000"/>
                <w:highlight w:val="none"/>
                <w:lang w:val="en-US" w:eastAsia="zh-CN"/>
              </w:rPr>
              <w:t>r</w:t>
            </w:r>
            <w:r>
              <w:rPr>
                <w:rFonts w:hint="default" w:ascii="Times New Roman" w:hAnsi="Times New Roman" w:eastAsia="宋体" w:cs="Times New Roman"/>
                <w:color w:val="000000"/>
                <w:highlight w:val="none"/>
                <w:vertAlign w:val="subscript"/>
                <w:lang w:val="en-US" w:eastAsia="zh-CN"/>
              </w:rPr>
              <w:t>0</w:t>
            </w:r>
            <w:r>
              <w:rPr>
                <w:rFonts w:hint="default" w:ascii="Times New Roman" w:hAnsi="Times New Roman" w:eastAsia="宋体" w:cs="Times New Roman"/>
                <w:color w:val="000000"/>
                <w:highlight w:val="none"/>
                <w:lang w:eastAsia="zh-CN"/>
              </w:rPr>
              <w:t>）的监测距离</w:t>
            </w:r>
            <w:r>
              <w:rPr>
                <w:rFonts w:hint="default" w:ascii="Times New Roman" w:hAnsi="Times New Roman" w:cs="Times New Roman"/>
                <w:color w:val="000000"/>
                <w:highlight w:val="none"/>
                <w:lang w:eastAsia="zh-CN"/>
              </w:rPr>
              <w:t>；</w:t>
            </w:r>
          </w:p>
          <w:p w14:paraId="04E3E97E">
            <w:pPr>
              <w:keepNext w:val="0"/>
              <w:keepLines w:val="0"/>
              <w:pageBreakBefore w:val="0"/>
              <w:kinsoku/>
              <w:wordWrap/>
              <w:overflowPunct/>
              <w:topLinePunct w:val="0"/>
              <w:autoSpaceDE/>
              <w:autoSpaceDN/>
              <w:bidi w:val="0"/>
              <w:adjustRightInd/>
              <w:snapToGrid/>
              <w:ind w:firstLine="1200" w:firstLineChars="500"/>
              <w:textAlignment w:val="auto"/>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lang w:val="en-US" w:eastAsia="zh-CN"/>
              </w:rPr>
              <w:t>△L—</w:t>
            </w:r>
            <w:r>
              <w:rPr>
                <w:rFonts w:hint="default" w:ascii="Times New Roman" w:hAnsi="Times New Roman" w:eastAsia="宋体" w:cs="Times New Roman"/>
                <w:color w:val="000000"/>
                <w:highlight w:val="none"/>
                <w:lang w:val="en-US" w:eastAsia="zh-CN"/>
              </w:rPr>
              <w:t>r</w:t>
            </w:r>
            <w:r>
              <w:rPr>
                <w:rFonts w:hint="default" w:ascii="Times New Roman" w:hAnsi="Times New Roman" w:eastAsia="宋体" w:cs="Times New Roman"/>
                <w:color w:val="000000"/>
                <w:highlight w:val="none"/>
                <w:vertAlign w:val="subscript"/>
                <w:lang w:val="en-US" w:eastAsia="zh-CN"/>
              </w:rPr>
              <w:t>0</w:t>
            </w:r>
            <w:r>
              <w:rPr>
                <w:rFonts w:hint="default" w:ascii="Times New Roman" w:hAnsi="Times New Roman" w:cs="Times New Roman"/>
                <w:color w:val="000000"/>
                <w:highlight w:val="none"/>
                <w:vertAlign w:val="baseline"/>
                <w:lang w:val="en-US" w:eastAsia="zh-CN"/>
              </w:rPr>
              <w:t>与r间，墙体、屏障及其他因素引起的衰减量dB（A），包括由于气、雾、温度梯度、风等引起的声能量衰减，地面效应引起的声能量衰减，以及空气吸收引起的衰减。</w:t>
            </w:r>
          </w:p>
          <w:p w14:paraId="7771A035">
            <w:pPr>
              <w:keepNext w:val="0"/>
              <w:keepLines w:val="0"/>
              <w:pageBreakBefore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为简化计算工作，预测计算中只考虑噪声源距预测点的距离衰减。各声源由于空气吸收引起的衰减，以及由于云、雾、温度梯度、风和海面其他效应引起的衰减，取值范围难以确定，加之附近比较空旷，建筑物少，所引起的衰减量不大，在计算中忽略不计。</w:t>
            </w:r>
          </w:p>
          <w:p w14:paraId="5B59928E">
            <w:pPr>
              <w:keepNext w:val="0"/>
              <w:keepLines w:val="0"/>
              <w:pageBreakBefore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本项目施工期主要噪声声源采用上述点源衰减模式预测声环境影响，计算结果见</w:t>
            </w:r>
            <w:r>
              <w:rPr>
                <w:rFonts w:hint="default" w:ascii="Times New Roman" w:hAnsi="Times New Roman" w:cs="Times New Roman"/>
                <w:color w:val="000000"/>
                <w:highlight w:val="none"/>
                <w:lang w:eastAsia="zh-CN"/>
              </w:rPr>
              <w:fldChar w:fldCharType="begin"/>
            </w:r>
            <w:r>
              <w:rPr>
                <w:rFonts w:hint="default" w:ascii="Times New Roman" w:hAnsi="Times New Roman" w:cs="Times New Roman"/>
                <w:color w:val="000000"/>
                <w:highlight w:val="none"/>
                <w:lang w:eastAsia="zh-CN"/>
              </w:rPr>
              <w:instrText xml:space="preserve"> REF _Ref4060 \h </w:instrText>
            </w:r>
            <w:r>
              <w:rPr>
                <w:rFonts w:hint="default" w:ascii="Times New Roman" w:hAnsi="Times New Roman" w:cs="Times New Roman"/>
                <w:color w:val="000000"/>
                <w:highlight w:val="none"/>
                <w:lang w:eastAsia="zh-CN"/>
              </w:rPr>
              <w:fldChar w:fldCharType="separate"/>
            </w:r>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4.3</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12</w:t>
            </w:r>
            <w:r>
              <w:rPr>
                <w:rFonts w:hint="default" w:ascii="Times New Roman" w:hAnsi="Times New Roman" w:cs="Times New Roman"/>
                <w:color w:val="000000"/>
                <w:highlight w:val="none"/>
                <w:lang w:eastAsia="zh-CN"/>
              </w:rPr>
              <w:fldChar w:fldCharType="end"/>
            </w:r>
            <w:r>
              <w:rPr>
                <w:rFonts w:hint="default" w:ascii="Times New Roman" w:hAnsi="Times New Roman" w:cs="Times New Roman"/>
                <w:color w:val="000000"/>
                <w:highlight w:val="none"/>
                <w:lang w:eastAsia="zh-CN"/>
              </w:rPr>
              <w:t>。</w:t>
            </w:r>
          </w:p>
          <w:p w14:paraId="4727D246">
            <w:pPr>
              <w:pStyle w:val="30"/>
              <w:bidi w:val="0"/>
              <w:rPr>
                <w:rFonts w:hint="default" w:ascii="Times New Roman" w:hAnsi="Times New Roman" w:cs="Times New Roman"/>
                <w:color w:val="000000"/>
                <w:highlight w:val="none"/>
                <w:lang w:val="en-US" w:eastAsia="zh-CN"/>
              </w:rPr>
            </w:pPr>
            <w:bookmarkStart w:id="360" w:name="_Ref4060"/>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4.3</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表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12</w:t>
            </w:r>
            <w:r>
              <w:rPr>
                <w:rFonts w:hint="default" w:ascii="Times New Roman" w:hAnsi="Times New Roman" w:cs="Times New Roman"/>
                <w:color w:val="000000"/>
                <w:highlight w:val="none"/>
              </w:rPr>
              <w:fldChar w:fldCharType="end"/>
            </w:r>
            <w:bookmarkEnd w:id="360"/>
            <w:r>
              <w:rPr>
                <w:rFonts w:hint="default" w:ascii="Times New Roman" w:hAnsi="Times New Roman" w:cs="Times New Roman"/>
                <w:color w:val="000000"/>
                <w:highlight w:val="none"/>
                <w:lang w:val="en-US" w:eastAsia="zh-CN"/>
              </w:rPr>
              <w:t xml:space="preserve"> 施工期主要机械噪声影响预测结果  单位：dB(A)</w:t>
            </w:r>
          </w:p>
          <w:tbl>
            <w:tblPr>
              <w:tblStyle w:val="32"/>
              <w:tblW w:w="83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389"/>
              <w:gridCol w:w="988"/>
              <w:gridCol w:w="950"/>
              <w:gridCol w:w="709"/>
              <w:gridCol w:w="533"/>
              <w:gridCol w:w="533"/>
              <w:gridCol w:w="533"/>
              <w:gridCol w:w="533"/>
              <w:gridCol w:w="535"/>
              <w:gridCol w:w="535"/>
              <w:gridCol w:w="535"/>
              <w:gridCol w:w="565"/>
            </w:tblGrid>
            <w:tr w14:paraId="1A3F63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1" w:hRule="atLeast"/>
                <w:jc w:val="center"/>
              </w:trPr>
              <w:tc>
                <w:tcPr>
                  <w:tcW w:w="1389" w:type="dxa"/>
                  <w:vMerge w:val="restart"/>
                  <w:noWrap w:val="0"/>
                  <w:vAlign w:val="center"/>
                </w:tcPr>
                <w:p w14:paraId="15D5EA2C">
                  <w:pPr>
                    <w:pStyle w:val="31"/>
                    <w:bidi w:val="0"/>
                    <w:rPr>
                      <w:rFonts w:hint="default" w:ascii="Times New Roman" w:hAnsi="Times New Roman" w:cs="Times New Roman"/>
                      <w:b/>
                      <w:bCs/>
                      <w:color w:val="000000"/>
                      <w:highlight w:val="none"/>
                      <w:lang w:eastAsia="zh-CN"/>
                    </w:rPr>
                  </w:pPr>
                  <w:r>
                    <w:rPr>
                      <w:rFonts w:hint="default" w:ascii="Times New Roman" w:hAnsi="Times New Roman" w:cs="Times New Roman"/>
                      <w:b/>
                      <w:bCs/>
                      <w:color w:val="000000"/>
                      <w:highlight w:val="none"/>
                      <w:lang w:eastAsia="zh-CN"/>
                    </w:rPr>
                    <w:t>噪声源</w:t>
                  </w:r>
                </w:p>
              </w:tc>
              <w:tc>
                <w:tcPr>
                  <w:tcW w:w="988" w:type="dxa"/>
                  <w:vMerge w:val="restart"/>
                  <w:noWrap w:val="0"/>
                  <w:vAlign w:val="center"/>
                </w:tcPr>
                <w:p w14:paraId="61B58FA9">
                  <w:pPr>
                    <w:pStyle w:val="31"/>
                    <w:bidi w:val="0"/>
                    <w:rPr>
                      <w:rFonts w:hint="default" w:ascii="Times New Roman" w:hAnsi="Times New Roman" w:cs="Times New Roman"/>
                      <w:b/>
                      <w:bCs/>
                      <w:color w:val="000000"/>
                      <w:highlight w:val="none"/>
                      <w:lang w:eastAsia="zh-CN"/>
                    </w:rPr>
                  </w:pPr>
                  <w:r>
                    <w:rPr>
                      <w:rFonts w:hint="default" w:ascii="Times New Roman" w:hAnsi="Times New Roman" w:cs="Times New Roman"/>
                      <w:b/>
                      <w:bCs/>
                      <w:color w:val="000000"/>
                      <w:highlight w:val="none"/>
                      <w:lang w:eastAsia="zh-CN"/>
                    </w:rPr>
                    <w:t>监测距离r</w:t>
                  </w:r>
                  <w:r>
                    <w:rPr>
                      <w:rFonts w:hint="default" w:ascii="Times New Roman" w:hAnsi="Times New Roman" w:cs="Times New Roman"/>
                      <w:b/>
                      <w:bCs/>
                      <w:color w:val="000000"/>
                      <w:highlight w:val="none"/>
                      <w:vertAlign w:val="subscript"/>
                      <w:lang w:eastAsia="zh-CN"/>
                    </w:rPr>
                    <w:t>0</w:t>
                  </w:r>
                  <w:r>
                    <w:rPr>
                      <w:rFonts w:hint="default" w:ascii="Times New Roman" w:hAnsi="Times New Roman" w:cs="Times New Roman"/>
                      <w:b/>
                      <w:bCs/>
                      <w:color w:val="000000"/>
                      <w:highlight w:val="none"/>
                      <w:lang w:eastAsia="zh-CN"/>
                    </w:rPr>
                    <w:t>(m)</w:t>
                  </w:r>
                </w:p>
              </w:tc>
              <w:tc>
                <w:tcPr>
                  <w:tcW w:w="950" w:type="dxa"/>
                  <w:vMerge w:val="restart"/>
                  <w:noWrap w:val="0"/>
                  <w:vAlign w:val="center"/>
                </w:tcPr>
                <w:p w14:paraId="095F14AB">
                  <w:pPr>
                    <w:pStyle w:val="31"/>
                    <w:bidi w:val="0"/>
                    <w:rPr>
                      <w:rFonts w:hint="default" w:ascii="Times New Roman" w:hAnsi="Times New Roman" w:cs="Times New Roman"/>
                      <w:b/>
                      <w:bCs/>
                      <w:color w:val="000000"/>
                      <w:highlight w:val="none"/>
                      <w:lang w:eastAsia="zh-CN"/>
                    </w:rPr>
                  </w:pPr>
                  <w:r>
                    <w:rPr>
                      <w:rFonts w:hint="default" w:ascii="Times New Roman" w:hAnsi="Times New Roman" w:cs="Times New Roman"/>
                      <w:b/>
                      <w:bCs/>
                      <w:color w:val="000000"/>
                      <w:highlight w:val="none"/>
                      <w:lang w:eastAsia="zh-CN"/>
                    </w:rPr>
                    <w:t>LA（r</w:t>
                  </w:r>
                  <w:r>
                    <w:rPr>
                      <w:rFonts w:hint="default" w:ascii="Times New Roman" w:hAnsi="Times New Roman" w:cs="Times New Roman"/>
                      <w:b/>
                      <w:bCs/>
                      <w:color w:val="000000"/>
                      <w:highlight w:val="none"/>
                      <w:vertAlign w:val="subscript"/>
                      <w:lang w:eastAsia="zh-CN"/>
                    </w:rPr>
                    <w:t>0</w:t>
                  </w:r>
                  <w:r>
                    <w:rPr>
                      <w:rFonts w:hint="default" w:ascii="Times New Roman" w:hAnsi="Times New Roman" w:cs="Times New Roman"/>
                      <w:b/>
                      <w:bCs/>
                      <w:color w:val="000000"/>
                      <w:highlight w:val="none"/>
                      <w:lang w:eastAsia="zh-CN"/>
                    </w:rPr>
                    <w:t>）</w:t>
                  </w:r>
                </w:p>
              </w:tc>
              <w:tc>
                <w:tcPr>
                  <w:tcW w:w="5011" w:type="dxa"/>
                  <w:gridSpan w:val="9"/>
                  <w:noWrap w:val="0"/>
                  <w:vAlign w:val="center"/>
                </w:tcPr>
                <w:p w14:paraId="638111FF">
                  <w:pPr>
                    <w:pStyle w:val="31"/>
                    <w:bidi w:val="0"/>
                    <w:rPr>
                      <w:rFonts w:hint="default" w:ascii="Times New Roman" w:hAnsi="Times New Roman" w:cs="Times New Roman"/>
                      <w:b/>
                      <w:bCs/>
                      <w:color w:val="000000"/>
                      <w:highlight w:val="none"/>
                      <w:lang w:eastAsia="zh-CN"/>
                    </w:rPr>
                  </w:pPr>
                  <w:r>
                    <w:rPr>
                      <w:rFonts w:hint="default" w:ascii="Times New Roman" w:hAnsi="Times New Roman" w:cs="Times New Roman"/>
                      <w:b/>
                      <w:bCs/>
                      <w:color w:val="000000"/>
                      <w:highlight w:val="none"/>
                      <w:lang w:eastAsia="zh-CN"/>
                    </w:rPr>
                    <w:t>预测结果（m）</w:t>
                  </w:r>
                </w:p>
              </w:tc>
            </w:tr>
            <w:tr w14:paraId="3DE353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4" w:hRule="atLeast"/>
                <w:jc w:val="center"/>
              </w:trPr>
              <w:tc>
                <w:tcPr>
                  <w:tcW w:w="1389" w:type="dxa"/>
                  <w:vMerge w:val="continue"/>
                  <w:noWrap w:val="0"/>
                  <w:vAlign w:val="center"/>
                </w:tcPr>
                <w:p w14:paraId="174F5FD4">
                  <w:pPr>
                    <w:pStyle w:val="31"/>
                    <w:bidi w:val="0"/>
                    <w:rPr>
                      <w:rFonts w:hint="default" w:ascii="Times New Roman" w:hAnsi="Times New Roman" w:cs="Times New Roman"/>
                      <w:b/>
                      <w:bCs/>
                      <w:color w:val="000000"/>
                      <w:highlight w:val="none"/>
                      <w:lang w:eastAsia="zh-CN"/>
                    </w:rPr>
                  </w:pPr>
                </w:p>
              </w:tc>
              <w:tc>
                <w:tcPr>
                  <w:tcW w:w="988" w:type="dxa"/>
                  <w:vMerge w:val="continue"/>
                  <w:noWrap w:val="0"/>
                  <w:vAlign w:val="center"/>
                </w:tcPr>
                <w:p w14:paraId="2C4A215B">
                  <w:pPr>
                    <w:pStyle w:val="31"/>
                    <w:bidi w:val="0"/>
                    <w:rPr>
                      <w:rFonts w:hint="default" w:ascii="Times New Roman" w:hAnsi="Times New Roman" w:cs="Times New Roman"/>
                      <w:b/>
                      <w:bCs/>
                      <w:color w:val="000000"/>
                      <w:highlight w:val="none"/>
                      <w:lang w:eastAsia="zh-CN"/>
                    </w:rPr>
                  </w:pPr>
                </w:p>
              </w:tc>
              <w:tc>
                <w:tcPr>
                  <w:tcW w:w="950" w:type="dxa"/>
                  <w:vMerge w:val="continue"/>
                  <w:noWrap w:val="0"/>
                  <w:vAlign w:val="center"/>
                </w:tcPr>
                <w:p w14:paraId="5B9DEF34">
                  <w:pPr>
                    <w:pStyle w:val="31"/>
                    <w:bidi w:val="0"/>
                    <w:rPr>
                      <w:rFonts w:hint="default" w:ascii="Times New Roman" w:hAnsi="Times New Roman" w:cs="Times New Roman"/>
                      <w:b/>
                      <w:bCs/>
                      <w:color w:val="000000"/>
                      <w:highlight w:val="none"/>
                      <w:lang w:eastAsia="zh-CN"/>
                    </w:rPr>
                  </w:pPr>
                </w:p>
              </w:tc>
              <w:tc>
                <w:tcPr>
                  <w:tcW w:w="709" w:type="dxa"/>
                  <w:noWrap w:val="0"/>
                  <w:vAlign w:val="center"/>
                </w:tcPr>
                <w:p w14:paraId="13C1F922">
                  <w:pPr>
                    <w:pStyle w:val="31"/>
                    <w:bidi w:val="0"/>
                    <w:rPr>
                      <w:rFonts w:hint="default" w:ascii="Times New Roman" w:hAnsi="Times New Roman" w:cs="Times New Roman"/>
                      <w:b/>
                      <w:bCs/>
                      <w:color w:val="000000"/>
                      <w:highlight w:val="none"/>
                      <w:lang w:eastAsia="zh-CN"/>
                    </w:rPr>
                  </w:pPr>
                  <w:r>
                    <w:rPr>
                      <w:rFonts w:hint="default" w:ascii="Times New Roman" w:hAnsi="Times New Roman" w:cs="Times New Roman"/>
                      <w:b/>
                      <w:bCs/>
                      <w:color w:val="000000"/>
                      <w:highlight w:val="none"/>
                      <w:lang w:eastAsia="zh-CN"/>
                    </w:rPr>
                    <w:t>10</w:t>
                  </w:r>
                </w:p>
              </w:tc>
              <w:tc>
                <w:tcPr>
                  <w:tcW w:w="533" w:type="dxa"/>
                  <w:noWrap w:val="0"/>
                  <w:vAlign w:val="center"/>
                </w:tcPr>
                <w:p w14:paraId="23C95660">
                  <w:pPr>
                    <w:pStyle w:val="31"/>
                    <w:bidi w:val="0"/>
                    <w:rPr>
                      <w:rFonts w:hint="default" w:ascii="Times New Roman" w:hAnsi="Times New Roman" w:cs="Times New Roman"/>
                      <w:b/>
                      <w:bCs/>
                      <w:color w:val="000000"/>
                      <w:highlight w:val="none"/>
                      <w:lang w:eastAsia="zh-CN"/>
                    </w:rPr>
                  </w:pPr>
                  <w:r>
                    <w:rPr>
                      <w:rFonts w:hint="default" w:ascii="Times New Roman" w:hAnsi="Times New Roman" w:cs="Times New Roman"/>
                      <w:b/>
                      <w:bCs/>
                      <w:color w:val="000000"/>
                      <w:highlight w:val="none"/>
                      <w:lang w:eastAsia="zh-CN"/>
                    </w:rPr>
                    <w:t>20</w:t>
                  </w:r>
                </w:p>
              </w:tc>
              <w:tc>
                <w:tcPr>
                  <w:tcW w:w="533" w:type="dxa"/>
                  <w:noWrap w:val="0"/>
                  <w:vAlign w:val="center"/>
                </w:tcPr>
                <w:p w14:paraId="02A574D2">
                  <w:pPr>
                    <w:pStyle w:val="31"/>
                    <w:bidi w:val="0"/>
                    <w:rPr>
                      <w:rFonts w:hint="default" w:ascii="Times New Roman" w:hAnsi="Times New Roman" w:cs="Times New Roman"/>
                      <w:b/>
                      <w:bCs/>
                      <w:color w:val="000000"/>
                      <w:highlight w:val="none"/>
                      <w:lang w:eastAsia="zh-CN"/>
                    </w:rPr>
                  </w:pPr>
                  <w:r>
                    <w:rPr>
                      <w:rFonts w:hint="default" w:ascii="Times New Roman" w:hAnsi="Times New Roman" w:cs="Times New Roman"/>
                      <w:b/>
                      <w:bCs/>
                      <w:color w:val="000000"/>
                      <w:highlight w:val="none"/>
                      <w:lang w:eastAsia="zh-CN"/>
                    </w:rPr>
                    <w:t>40</w:t>
                  </w:r>
                </w:p>
              </w:tc>
              <w:tc>
                <w:tcPr>
                  <w:tcW w:w="533" w:type="dxa"/>
                  <w:noWrap w:val="0"/>
                  <w:vAlign w:val="center"/>
                </w:tcPr>
                <w:p w14:paraId="4286302C">
                  <w:pPr>
                    <w:pStyle w:val="31"/>
                    <w:bidi w:val="0"/>
                    <w:rPr>
                      <w:rFonts w:hint="default" w:ascii="Times New Roman" w:hAnsi="Times New Roman" w:cs="Times New Roman"/>
                      <w:b/>
                      <w:bCs/>
                      <w:color w:val="000000"/>
                      <w:highlight w:val="none"/>
                      <w:lang w:eastAsia="zh-CN"/>
                    </w:rPr>
                  </w:pPr>
                  <w:r>
                    <w:rPr>
                      <w:rFonts w:hint="default" w:ascii="Times New Roman" w:hAnsi="Times New Roman" w:cs="Times New Roman"/>
                      <w:b/>
                      <w:bCs/>
                      <w:color w:val="000000"/>
                      <w:highlight w:val="none"/>
                      <w:lang w:eastAsia="zh-CN"/>
                    </w:rPr>
                    <w:t>60</w:t>
                  </w:r>
                </w:p>
              </w:tc>
              <w:tc>
                <w:tcPr>
                  <w:tcW w:w="533" w:type="dxa"/>
                  <w:noWrap w:val="0"/>
                  <w:vAlign w:val="center"/>
                </w:tcPr>
                <w:p w14:paraId="3F0F410E">
                  <w:pPr>
                    <w:pStyle w:val="31"/>
                    <w:bidi w:val="0"/>
                    <w:rPr>
                      <w:rFonts w:hint="default" w:ascii="Times New Roman" w:hAnsi="Times New Roman" w:cs="Times New Roman"/>
                      <w:b/>
                      <w:bCs/>
                      <w:color w:val="000000"/>
                      <w:highlight w:val="none"/>
                      <w:lang w:eastAsia="zh-CN"/>
                    </w:rPr>
                  </w:pPr>
                  <w:r>
                    <w:rPr>
                      <w:rFonts w:hint="default" w:ascii="Times New Roman" w:hAnsi="Times New Roman" w:cs="Times New Roman"/>
                      <w:b/>
                      <w:bCs/>
                      <w:color w:val="000000"/>
                      <w:highlight w:val="none"/>
                      <w:lang w:eastAsia="zh-CN"/>
                    </w:rPr>
                    <w:t>80</w:t>
                  </w:r>
                </w:p>
              </w:tc>
              <w:tc>
                <w:tcPr>
                  <w:tcW w:w="535" w:type="dxa"/>
                  <w:noWrap w:val="0"/>
                  <w:vAlign w:val="center"/>
                </w:tcPr>
                <w:p w14:paraId="74E30833">
                  <w:pPr>
                    <w:pStyle w:val="31"/>
                    <w:bidi w:val="0"/>
                    <w:rPr>
                      <w:rFonts w:hint="default" w:ascii="Times New Roman" w:hAnsi="Times New Roman" w:cs="Times New Roman"/>
                      <w:b/>
                      <w:bCs/>
                      <w:color w:val="000000"/>
                      <w:highlight w:val="none"/>
                      <w:lang w:eastAsia="zh-CN"/>
                    </w:rPr>
                  </w:pPr>
                  <w:r>
                    <w:rPr>
                      <w:rFonts w:hint="default" w:ascii="Times New Roman" w:hAnsi="Times New Roman" w:cs="Times New Roman"/>
                      <w:b/>
                      <w:bCs/>
                      <w:color w:val="000000"/>
                      <w:highlight w:val="none"/>
                      <w:lang w:eastAsia="zh-CN"/>
                    </w:rPr>
                    <w:t>100</w:t>
                  </w:r>
                </w:p>
              </w:tc>
              <w:tc>
                <w:tcPr>
                  <w:tcW w:w="535" w:type="dxa"/>
                  <w:noWrap w:val="0"/>
                  <w:vAlign w:val="center"/>
                </w:tcPr>
                <w:p w14:paraId="7CA4EC53">
                  <w:pPr>
                    <w:pStyle w:val="31"/>
                    <w:bidi w:val="0"/>
                    <w:rPr>
                      <w:rFonts w:hint="default" w:ascii="Times New Roman" w:hAnsi="Times New Roman" w:cs="Times New Roman"/>
                      <w:b/>
                      <w:bCs/>
                      <w:color w:val="000000"/>
                      <w:highlight w:val="none"/>
                      <w:lang w:eastAsia="zh-CN"/>
                    </w:rPr>
                  </w:pPr>
                  <w:r>
                    <w:rPr>
                      <w:rFonts w:hint="default" w:ascii="Times New Roman" w:hAnsi="Times New Roman" w:cs="Times New Roman"/>
                      <w:b/>
                      <w:bCs/>
                      <w:color w:val="000000"/>
                      <w:highlight w:val="none"/>
                      <w:lang w:eastAsia="zh-CN"/>
                    </w:rPr>
                    <w:t>150</w:t>
                  </w:r>
                </w:p>
              </w:tc>
              <w:tc>
                <w:tcPr>
                  <w:tcW w:w="535" w:type="dxa"/>
                  <w:noWrap w:val="0"/>
                  <w:vAlign w:val="center"/>
                </w:tcPr>
                <w:p w14:paraId="288ED451">
                  <w:pPr>
                    <w:pStyle w:val="31"/>
                    <w:bidi w:val="0"/>
                    <w:rPr>
                      <w:rFonts w:hint="default" w:ascii="Times New Roman" w:hAnsi="Times New Roman" w:cs="Times New Roman"/>
                      <w:b/>
                      <w:bCs/>
                      <w:color w:val="000000"/>
                      <w:highlight w:val="none"/>
                      <w:lang w:eastAsia="zh-CN"/>
                    </w:rPr>
                  </w:pPr>
                  <w:r>
                    <w:rPr>
                      <w:rFonts w:hint="default" w:ascii="Times New Roman" w:hAnsi="Times New Roman" w:cs="Times New Roman"/>
                      <w:b/>
                      <w:bCs/>
                      <w:color w:val="000000"/>
                      <w:highlight w:val="none"/>
                      <w:lang w:eastAsia="zh-CN"/>
                    </w:rPr>
                    <w:t>300</w:t>
                  </w:r>
                </w:p>
              </w:tc>
              <w:tc>
                <w:tcPr>
                  <w:tcW w:w="565" w:type="dxa"/>
                  <w:noWrap w:val="0"/>
                  <w:vAlign w:val="center"/>
                </w:tcPr>
                <w:p w14:paraId="6378DB2B">
                  <w:pPr>
                    <w:pStyle w:val="31"/>
                    <w:bidi w:val="0"/>
                    <w:rPr>
                      <w:rFonts w:hint="default" w:ascii="Times New Roman" w:hAnsi="Times New Roman" w:cs="Times New Roman"/>
                      <w:b/>
                      <w:bCs/>
                      <w:color w:val="000000"/>
                      <w:highlight w:val="none"/>
                      <w:lang w:eastAsia="zh-CN"/>
                    </w:rPr>
                  </w:pPr>
                  <w:r>
                    <w:rPr>
                      <w:rFonts w:hint="default" w:ascii="Times New Roman" w:hAnsi="Times New Roman" w:cs="Times New Roman"/>
                      <w:b/>
                      <w:bCs/>
                      <w:color w:val="000000"/>
                      <w:highlight w:val="none"/>
                      <w:lang w:eastAsia="zh-CN"/>
                    </w:rPr>
                    <w:t>500</w:t>
                  </w:r>
                </w:p>
              </w:tc>
            </w:tr>
            <w:tr w14:paraId="3527D5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389" w:type="dxa"/>
                  <w:noWrap w:val="0"/>
                  <w:vAlign w:val="center"/>
                </w:tcPr>
                <w:p w14:paraId="237FDDFD">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施工船舶</w:t>
                  </w:r>
                </w:p>
              </w:tc>
              <w:tc>
                <w:tcPr>
                  <w:tcW w:w="988" w:type="dxa"/>
                  <w:noWrap w:val="0"/>
                  <w:vAlign w:val="center"/>
                </w:tcPr>
                <w:p w14:paraId="50BDF6B5">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5</w:t>
                  </w:r>
                </w:p>
              </w:tc>
              <w:tc>
                <w:tcPr>
                  <w:tcW w:w="950" w:type="dxa"/>
                  <w:noWrap w:val="0"/>
                  <w:vAlign w:val="center"/>
                </w:tcPr>
                <w:p w14:paraId="4E8101E2">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85</w:t>
                  </w:r>
                </w:p>
              </w:tc>
              <w:tc>
                <w:tcPr>
                  <w:tcW w:w="709" w:type="dxa"/>
                  <w:noWrap w:val="0"/>
                  <w:vAlign w:val="center"/>
                </w:tcPr>
                <w:p w14:paraId="39336616">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65</w:t>
                  </w:r>
                </w:p>
              </w:tc>
              <w:tc>
                <w:tcPr>
                  <w:tcW w:w="533" w:type="dxa"/>
                  <w:noWrap w:val="0"/>
                  <w:vAlign w:val="center"/>
                </w:tcPr>
                <w:p w14:paraId="3DF889C0">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59</w:t>
                  </w:r>
                </w:p>
              </w:tc>
              <w:tc>
                <w:tcPr>
                  <w:tcW w:w="533" w:type="dxa"/>
                  <w:noWrap w:val="0"/>
                  <w:vAlign w:val="center"/>
                </w:tcPr>
                <w:p w14:paraId="53F1CFC7">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53</w:t>
                  </w:r>
                </w:p>
              </w:tc>
              <w:tc>
                <w:tcPr>
                  <w:tcW w:w="533" w:type="dxa"/>
                  <w:noWrap w:val="0"/>
                  <w:vAlign w:val="center"/>
                </w:tcPr>
                <w:p w14:paraId="3CC5F604">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49</w:t>
                  </w:r>
                </w:p>
              </w:tc>
              <w:tc>
                <w:tcPr>
                  <w:tcW w:w="533" w:type="dxa"/>
                  <w:noWrap w:val="0"/>
                  <w:vAlign w:val="center"/>
                </w:tcPr>
                <w:p w14:paraId="742CD62F">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47</w:t>
                  </w:r>
                </w:p>
              </w:tc>
              <w:tc>
                <w:tcPr>
                  <w:tcW w:w="535" w:type="dxa"/>
                  <w:noWrap w:val="0"/>
                  <w:vAlign w:val="center"/>
                </w:tcPr>
                <w:p w14:paraId="70419E0C">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45</w:t>
                  </w:r>
                </w:p>
              </w:tc>
              <w:tc>
                <w:tcPr>
                  <w:tcW w:w="535" w:type="dxa"/>
                  <w:noWrap w:val="0"/>
                  <w:vAlign w:val="center"/>
                </w:tcPr>
                <w:p w14:paraId="2C0731F9">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41</w:t>
                  </w:r>
                </w:p>
              </w:tc>
              <w:tc>
                <w:tcPr>
                  <w:tcW w:w="535" w:type="dxa"/>
                  <w:noWrap w:val="0"/>
                  <w:vAlign w:val="center"/>
                </w:tcPr>
                <w:p w14:paraId="2E1195D7">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35</w:t>
                  </w:r>
                </w:p>
              </w:tc>
              <w:tc>
                <w:tcPr>
                  <w:tcW w:w="565" w:type="dxa"/>
                  <w:noWrap w:val="0"/>
                  <w:vAlign w:val="center"/>
                </w:tcPr>
                <w:p w14:paraId="7574F19E">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31</w:t>
                  </w:r>
                </w:p>
              </w:tc>
            </w:tr>
            <w:tr w14:paraId="6B2345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1389" w:type="dxa"/>
                  <w:noWrap w:val="0"/>
                  <w:vAlign w:val="center"/>
                </w:tcPr>
                <w:p w14:paraId="4FFB30EC">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钻机</w:t>
                  </w:r>
                </w:p>
              </w:tc>
              <w:tc>
                <w:tcPr>
                  <w:tcW w:w="988" w:type="dxa"/>
                  <w:noWrap w:val="0"/>
                  <w:vAlign w:val="center"/>
                </w:tcPr>
                <w:p w14:paraId="78B9961D">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5</w:t>
                  </w:r>
                </w:p>
              </w:tc>
              <w:tc>
                <w:tcPr>
                  <w:tcW w:w="950" w:type="dxa"/>
                  <w:noWrap w:val="0"/>
                  <w:vAlign w:val="center"/>
                </w:tcPr>
                <w:p w14:paraId="3EB5F31B">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81</w:t>
                  </w:r>
                </w:p>
              </w:tc>
              <w:tc>
                <w:tcPr>
                  <w:tcW w:w="709" w:type="dxa"/>
                  <w:noWrap w:val="0"/>
                  <w:vAlign w:val="center"/>
                </w:tcPr>
                <w:p w14:paraId="36406B7C">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75</w:t>
                  </w:r>
                </w:p>
              </w:tc>
              <w:tc>
                <w:tcPr>
                  <w:tcW w:w="533" w:type="dxa"/>
                  <w:noWrap w:val="0"/>
                  <w:vAlign w:val="center"/>
                </w:tcPr>
                <w:p w14:paraId="63B05E23">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69</w:t>
                  </w:r>
                </w:p>
              </w:tc>
              <w:tc>
                <w:tcPr>
                  <w:tcW w:w="533" w:type="dxa"/>
                  <w:noWrap w:val="0"/>
                  <w:vAlign w:val="center"/>
                </w:tcPr>
                <w:p w14:paraId="50C6F3AC">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63</w:t>
                  </w:r>
                </w:p>
              </w:tc>
              <w:tc>
                <w:tcPr>
                  <w:tcW w:w="533" w:type="dxa"/>
                  <w:noWrap w:val="0"/>
                  <w:vAlign w:val="center"/>
                </w:tcPr>
                <w:p w14:paraId="016A837B">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59</w:t>
                  </w:r>
                </w:p>
              </w:tc>
              <w:tc>
                <w:tcPr>
                  <w:tcW w:w="533" w:type="dxa"/>
                  <w:noWrap w:val="0"/>
                  <w:vAlign w:val="center"/>
                </w:tcPr>
                <w:p w14:paraId="7C0AD474">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57</w:t>
                  </w:r>
                </w:p>
              </w:tc>
              <w:tc>
                <w:tcPr>
                  <w:tcW w:w="535" w:type="dxa"/>
                  <w:noWrap w:val="0"/>
                  <w:vAlign w:val="center"/>
                </w:tcPr>
                <w:p w14:paraId="5EEE6F2A">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55</w:t>
                  </w:r>
                </w:p>
              </w:tc>
              <w:tc>
                <w:tcPr>
                  <w:tcW w:w="535" w:type="dxa"/>
                  <w:noWrap w:val="0"/>
                  <w:vAlign w:val="center"/>
                </w:tcPr>
                <w:p w14:paraId="5A9CC356">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51</w:t>
                  </w:r>
                </w:p>
              </w:tc>
              <w:tc>
                <w:tcPr>
                  <w:tcW w:w="535" w:type="dxa"/>
                  <w:noWrap w:val="0"/>
                  <w:vAlign w:val="center"/>
                </w:tcPr>
                <w:p w14:paraId="7F3C21FB">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45</w:t>
                  </w:r>
                </w:p>
              </w:tc>
              <w:tc>
                <w:tcPr>
                  <w:tcW w:w="565" w:type="dxa"/>
                  <w:noWrap w:val="0"/>
                  <w:vAlign w:val="center"/>
                </w:tcPr>
                <w:p w14:paraId="285673A4">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41</w:t>
                  </w:r>
                </w:p>
              </w:tc>
            </w:tr>
            <w:tr w14:paraId="64D6EA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389" w:type="dxa"/>
                  <w:noWrap w:val="0"/>
                  <w:vAlign w:val="center"/>
                </w:tcPr>
                <w:p w14:paraId="754F1ECB">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吊机</w:t>
                  </w:r>
                </w:p>
              </w:tc>
              <w:tc>
                <w:tcPr>
                  <w:tcW w:w="988" w:type="dxa"/>
                  <w:noWrap w:val="0"/>
                  <w:vAlign w:val="center"/>
                </w:tcPr>
                <w:p w14:paraId="619B7AFB">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5</w:t>
                  </w:r>
                </w:p>
              </w:tc>
              <w:tc>
                <w:tcPr>
                  <w:tcW w:w="950" w:type="dxa"/>
                  <w:noWrap w:val="0"/>
                  <w:vAlign w:val="center"/>
                </w:tcPr>
                <w:p w14:paraId="714BD950">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85</w:t>
                  </w:r>
                </w:p>
              </w:tc>
              <w:tc>
                <w:tcPr>
                  <w:tcW w:w="709" w:type="dxa"/>
                  <w:noWrap w:val="0"/>
                  <w:vAlign w:val="center"/>
                </w:tcPr>
                <w:p w14:paraId="159F1A76">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65</w:t>
                  </w:r>
                </w:p>
              </w:tc>
              <w:tc>
                <w:tcPr>
                  <w:tcW w:w="533" w:type="dxa"/>
                  <w:noWrap w:val="0"/>
                  <w:vAlign w:val="center"/>
                </w:tcPr>
                <w:p w14:paraId="0C5F4E5C">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59</w:t>
                  </w:r>
                </w:p>
              </w:tc>
              <w:tc>
                <w:tcPr>
                  <w:tcW w:w="533" w:type="dxa"/>
                  <w:noWrap w:val="0"/>
                  <w:vAlign w:val="center"/>
                </w:tcPr>
                <w:p w14:paraId="4E3370F8">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53</w:t>
                  </w:r>
                </w:p>
              </w:tc>
              <w:tc>
                <w:tcPr>
                  <w:tcW w:w="533" w:type="dxa"/>
                  <w:noWrap w:val="0"/>
                  <w:vAlign w:val="center"/>
                </w:tcPr>
                <w:p w14:paraId="45574F79">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49</w:t>
                  </w:r>
                </w:p>
              </w:tc>
              <w:tc>
                <w:tcPr>
                  <w:tcW w:w="533" w:type="dxa"/>
                  <w:noWrap w:val="0"/>
                  <w:vAlign w:val="center"/>
                </w:tcPr>
                <w:p w14:paraId="6AE54488">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47</w:t>
                  </w:r>
                </w:p>
              </w:tc>
              <w:tc>
                <w:tcPr>
                  <w:tcW w:w="535" w:type="dxa"/>
                  <w:noWrap w:val="0"/>
                  <w:vAlign w:val="center"/>
                </w:tcPr>
                <w:p w14:paraId="0E27FE3D">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45</w:t>
                  </w:r>
                </w:p>
              </w:tc>
              <w:tc>
                <w:tcPr>
                  <w:tcW w:w="535" w:type="dxa"/>
                  <w:noWrap w:val="0"/>
                  <w:vAlign w:val="center"/>
                </w:tcPr>
                <w:p w14:paraId="451644DB">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41</w:t>
                  </w:r>
                </w:p>
              </w:tc>
              <w:tc>
                <w:tcPr>
                  <w:tcW w:w="535" w:type="dxa"/>
                  <w:noWrap w:val="0"/>
                  <w:vAlign w:val="center"/>
                </w:tcPr>
                <w:p w14:paraId="727E8412">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35</w:t>
                  </w:r>
                </w:p>
              </w:tc>
              <w:tc>
                <w:tcPr>
                  <w:tcW w:w="565" w:type="dxa"/>
                  <w:noWrap w:val="0"/>
                  <w:vAlign w:val="center"/>
                </w:tcPr>
                <w:p w14:paraId="4B27E674">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31</w:t>
                  </w:r>
                </w:p>
              </w:tc>
            </w:tr>
            <w:tr w14:paraId="48793E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1389" w:type="dxa"/>
                  <w:noWrap w:val="0"/>
                  <w:vAlign w:val="center"/>
                </w:tcPr>
                <w:p w14:paraId="1617B9B4">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挖掘机</w:t>
                  </w:r>
                </w:p>
              </w:tc>
              <w:tc>
                <w:tcPr>
                  <w:tcW w:w="988" w:type="dxa"/>
                  <w:noWrap w:val="0"/>
                  <w:vAlign w:val="center"/>
                </w:tcPr>
                <w:p w14:paraId="3CA565EC">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10</w:t>
                  </w:r>
                </w:p>
              </w:tc>
              <w:tc>
                <w:tcPr>
                  <w:tcW w:w="950" w:type="dxa"/>
                  <w:noWrap w:val="0"/>
                  <w:vAlign w:val="center"/>
                </w:tcPr>
                <w:p w14:paraId="2E7B2F0D">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85</w:t>
                  </w:r>
                </w:p>
              </w:tc>
              <w:tc>
                <w:tcPr>
                  <w:tcW w:w="709" w:type="dxa"/>
                  <w:noWrap w:val="0"/>
                  <w:vAlign w:val="center"/>
                </w:tcPr>
                <w:p w14:paraId="6478148C">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65</w:t>
                  </w:r>
                </w:p>
              </w:tc>
              <w:tc>
                <w:tcPr>
                  <w:tcW w:w="533" w:type="dxa"/>
                  <w:noWrap w:val="0"/>
                  <w:vAlign w:val="center"/>
                </w:tcPr>
                <w:p w14:paraId="6FAC1357">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59</w:t>
                  </w:r>
                </w:p>
              </w:tc>
              <w:tc>
                <w:tcPr>
                  <w:tcW w:w="533" w:type="dxa"/>
                  <w:noWrap w:val="0"/>
                  <w:vAlign w:val="center"/>
                </w:tcPr>
                <w:p w14:paraId="36A76800">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53</w:t>
                  </w:r>
                </w:p>
              </w:tc>
              <w:tc>
                <w:tcPr>
                  <w:tcW w:w="533" w:type="dxa"/>
                  <w:noWrap w:val="0"/>
                  <w:vAlign w:val="center"/>
                </w:tcPr>
                <w:p w14:paraId="6F93F666">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49</w:t>
                  </w:r>
                </w:p>
              </w:tc>
              <w:tc>
                <w:tcPr>
                  <w:tcW w:w="533" w:type="dxa"/>
                  <w:noWrap w:val="0"/>
                  <w:vAlign w:val="center"/>
                </w:tcPr>
                <w:p w14:paraId="7EEF6CC4">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47</w:t>
                  </w:r>
                </w:p>
              </w:tc>
              <w:tc>
                <w:tcPr>
                  <w:tcW w:w="535" w:type="dxa"/>
                  <w:noWrap w:val="0"/>
                  <w:vAlign w:val="center"/>
                </w:tcPr>
                <w:p w14:paraId="2E58D08E">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45</w:t>
                  </w:r>
                </w:p>
              </w:tc>
              <w:tc>
                <w:tcPr>
                  <w:tcW w:w="535" w:type="dxa"/>
                  <w:noWrap w:val="0"/>
                  <w:vAlign w:val="center"/>
                </w:tcPr>
                <w:p w14:paraId="6188831F">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41</w:t>
                  </w:r>
                </w:p>
              </w:tc>
              <w:tc>
                <w:tcPr>
                  <w:tcW w:w="535" w:type="dxa"/>
                  <w:noWrap w:val="0"/>
                  <w:vAlign w:val="center"/>
                </w:tcPr>
                <w:p w14:paraId="6EEA5AFE">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35</w:t>
                  </w:r>
                </w:p>
              </w:tc>
              <w:tc>
                <w:tcPr>
                  <w:tcW w:w="565" w:type="dxa"/>
                  <w:noWrap w:val="0"/>
                  <w:vAlign w:val="center"/>
                </w:tcPr>
                <w:p w14:paraId="1E50BECF">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31</w:t>
                  </w:r>
                </w:p>
              </w:tc>
            </w:tr>
            <w:tr w14:paraId="223880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1389" w:type="dxa"/>
                  <w:noWrap w:val="0"/>
                  <w:vAlign w:val="center"/>
                </w:tcPr>
                <w:p w14:paraId="0E342A29">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混凝土输送车</w:t>
                  </w:r>
                </w:p>
              </w:tc>
              <w:tc>
                <w:tcPr>
                  <w:tcW w:w="988" w:type="dxa"/>
                  <w:noWrap w:val="0"/>
                  <w:vAlign w:val="center"/>
                </w:tcPr>
                <w:p w14:paraId="52794929">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5</w:t>
                  </w:r>
                </w:p>
              </w:tc>
              <w:tc>
                <w:tcPr>
                  <w:tcW w:w="950" w:type="dxa"/>
                  <w:noWrap w:val="0"/>
                  <w:vAlign w:val="center"/>
                </w:tcPr>
                <w:p w14:paraId="1C9D0279">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90</w:t>
                  </w:r>
                </w:p>
              </w:tc>
              <w:tc>
                <w:tcPr>
                  <w:tcW w:w="709" w:type="dxa"/>
                  <w:noWrap w:val="0"/>
                  <w:vAlign w:val="center"/>
                </w:tcPr>
                <w:p w14:paraId="2633B661">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70</w:t>
                  </w:r>
                </w:p>
              </w:tc>
              <w:tc>
                <w:tcPr>
                  <w:tcW w:w="533" w:type="dxa"/>
                  <w:noWrap w:val="0"/>
                  <w:vAlign w:val="center"/>
                </w:tcPr>
                <w:p w14:paraId="1ADDFAA4">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64</w:t>
                  </w:r>
                </w:p>
              </w:tc>
              <w:tc>
                <w:tcPr>
                  <w:tcW w:w="533" w:type="dxa"/>
                  <w:noWrap w:val="0"/>
                  <w:vAlign w:val="center"/>
                </w:tcPr>
                <w:p w14:paraId="76486416">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58</w:t>
                  </w:r>
                </w:p>
              </w:tc>
              <w:tc>
                <w:tcPr>
                  <w:tcW w:w="533" w:type="dxa"/>
                  <w:noWrap w:val="0"/>
                  <w:vAlign w:val="center"/>
                </w:tcPr>
                <w:p w14:paraId="0968E6AF">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54</w:t>
                  </w:r>
                </w:p>
              </w:tc>
              <w:tc>
                <w:tcPr>
                  <w:tcW w:w="533" w:type="dxa"/>
                  <w:noWrap w:val="0"/>
                  <w:vAlign w:val="center"/>
                </w:tcPr>
                <w:p w14:paraId="65C595FD">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52</w:t>
                  </w:r>
                </w:p>
              </w:tc>
              <w:tc>
                <w:tcPr>
                  <w:tcW w:w="535" w:type="dxa"/>
                  <w:noWrap w:val="0"/>
                  <w:vAlign w:val="center"/>
                </w:tcPr>
                <w:p w14:paraId="3E6AB950">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50</w:t>
                  </w:r>
                </w:p>
              </w:tc>
              <w:tc>
                <w:tcPr>
                  <w:tcW w:w="535" w:type="dxa"/>
                  <w:noWrap w:val="0"/>
                  <w:vAlign w:val="center"/>
                </w:tcPr>
                <w:p w14:paraId="56F8A6B8">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46</w:t>
                  </w:r>
                </w:p>
              </w:tc>
              <w:tc>
                <w:tcPr>
                  <w:tcW w:w="535" w:type="dxa"/>
                  <w:noWrap w:val="0"/>
                  <w:vAlign w:val="center"/>
                </w:tcPr>
                <w:p w14:paraId="0E30E49E">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40</w:t>
                  </w:r>
                </w:p>
              </w:tc>
              <w:tc>
                <w:tcPr>
                  <w:tcW w:w="565" w:type="dxa"/>
                  <w:noWrap w:val="0"/>
                  <w:vAlign w:val="center"/>
                </w:tcPr>
                <w:p w14:paraId="478D7F01">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36</w:t>
                  </w:r>
                </w:p>
              </w:tc>
            </w:tr>
            <w:tr w14:paraId="79C453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389" w:type="dxa"/>
                  <w:noWrap w:val="0"/>
                  <w:vAlign w:val="center"/>
                </w:tcPr>
                <w:p w14:paraId="6F38CBFA">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土石方运输车</w:t>
                  </w:r>
                </w:p>
              </w:tc>
              <w:tc>
                <w:tcPr>
                  <w:tcW w:w="988" w:type="dxa"/>
                  <w:noWrap w:val="0"/>
                  <w:vAlign w:val="center"/>
                </w:tcPr>
                <w:p w14:paraId="798EBB0B">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5</w:t>
                  </w:r>
                </w:p>
              </w:tc>
              <w:tc>
                <w:tcPr>
                  <w:tcW w:w="950" w:type="dxa"/>
                  <w:noWrap w:val="0"/>
                  <w:vAlign w:val="center"/>
                </w:tcPr>
                <w:p w14:paraId="6224B49A">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89</w:t>
                  </w:r>
                </w:p>
              </w:tc>
              <w:tc>
                <w:tcPr>
                  <w:tcW w:w="709" w:type="dxa"/>
                  <w:noWrap w:val="0"/>
                  <w:vAlign w:val="center"/>
                </w:tcPr>
                <w:p w14:paraId="3BB218F6">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69</w:t>
                  </w:r>
                </w:p>
              </w:tc>
              <w:tc>
                <w:tcPr>
                  <w:tcW w:w="533" w:type="dxa"/>
                  <w:noWrap w:val="0"/>
                  <w:vAlign w:val="center"/>
                </w:tcPr>
                <w:p w14:paraId="32D6CC95">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63</w:t>
                  </w:r>
                </w:p>
              </w:tc>
              <w:tc>
                <w:tcPr>
                  <w:tcW w:w="533" w:type="dxa"/>
                  <w:noWrap w:val="0"/>
                  <w:vAlign w:val="center"/>
                </w:tcPr>
                <w:p w14:paraId="2007DF42">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57</w:t>
                  </w:r>
                </w:p>
              </w:tc>
              <w:tc>
                <w:tcPr>
                  <w:tcW w:w="533" w:type="dxa"/>
                  <w:noWrap w:val="0"/>
                  <w:vAlign w:val="center"/>
                </w:tcPr>
                <w:p w14:paraId="582AACF0">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53</w:t>
                  </w:r>
                </w:p>
              </w:tc>
              <w:tc>
                <w:tcPr>
                  <w:tcW w:w="533" w:type="dxa"/>
                  <w:noWrap w:val="0"/>
                  <w:vAlign w:val="center"/>
                </w:tcPr>
                <w:p w14:paraId="24251497">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51</w:t>
                  </w:r>
                </w:p>
              </w:tc>
              <w:tc>
                <w:tcPr>
                  <w:tcW w:w="535" w:type="dxa"/>
                  <w:noWrap w:val="0"/>
                  <w:vAlign w:val="center"/>
                </w:tcPr>
                <w:p w14:paraId="5619D361">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49</w:t>
                  </w:r>
                </w:p>
              </w:tc>
              <w:tc>
                <w:tcPr>
                  <w:tcW w:w="535" w:type="dxa"/>
                  <w:noWrap w:val="0"/>
                  <w:vAlign w:val="center"/>
                </w:tcPr>
                <w:p w14:paraId="593F7CA0">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45</w:t>
                  </w:r>
                </w:p>
              </w:tc>
              <w:tc>
                <w:tcPr>
                  <w:tcW w:w="535" w:type="dxa"/>
                  <w:noWrap w:val="0"/>
                  <w:vAlign w:val="center"/>
                </w:tcPr>
                <w:p w14:paraId="34E338B9">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39</w:t>
                  </w:r>
                </w:p>
              </w:tc>
              <w:tc>
                <w:tcPr>
                  <w:tcW w:w="565" w:type="dxa"/>
                  <w:noWrap w:val="0"/>
                  <w:vAlign w:val="center"/>
                </w:tcPr>
                <w:p w14:paraId="662B7AC4">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35</w:t>
                  </w:r>
                </w:p>
              </w:tc>
            </w:tr>
            <w:tr w14:paraId="205E42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6" w:hRule="atLeast"/>
                <w:jc w:val="center"/>
              </w:trPr>
              <w:tc>
                <w:tcPr>
                  <w:tcW w:w="1389" w:type="dxa"/>
                  <w:noWrap w:val="0"/>
                  <w:vAlign w:val="center"/>
                </w:tcPr>
                <w:p w14:paraId="35D59407">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振捣器</w:t>
                  </w:r>
                </w:p>
              </w:tc>
              <w:tc>
                <w:tcPr>
                  <w:tcW w:w="988" w:type="dxa"/>
                  <w:noWrap w:val="0"/>
                  <w:vAlign w:val="center"/>
                </w:tcPr>
                <w:p w14:paraId="60F3BD6A">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10</w:t>
                  </w:r>
                </w:p>
              </w:tc>
              <w:tc>
                <w:tcPr>
                  <w:tcW w:w="950" w:type="dxa"/>
                  <w:noWrap w:val="0"/>
                  <w:vAlign w:val="center"/>
                </w:tcPr>
                <w:p w14:paraId="657B84F7">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86</w:t>
                  </w:r>
                </w:p>
              </w:tc>
              <w:tc>
                <w:tcPr>
                  <w:tcW w:w="709" w:type="dxa"/>
                  <w:noWrap w:val="0"/>
                  <w:vAlign w:val="center"/>
                </w:tcPr>
                <w:p w14:paraId="34527E2E">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66</w:t>
                  </w:r>
                </w:p>
              </w:tc>
              <w:tc>
                <w:tcPr>
                  <w:tcW w:w="533" w:type="dxa"/>
                  <w:noWrap w:val="0"/>
                  <w:vAlign w:val="center"/>
                </w:tcPr>
                <w:p w14:paraId="07CC9DB7">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60</w:t>
                  </w:r>
                </w:p>
              </w:tc>
              <w:tc>
                <w:tcPr>
                  <w:tcW w:w="533" w:type="dxa"/>
                  <w:noWrap w:val="0"/>
                  <w:vAlign w:val="center"/>
                </w:tcPr>
                <w:p w14:paraId="7B1C43DB">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54</w:t>
                  </w:r>
                </w:p>
              </w:tc>
              <w:tc>
                <w:tcPr>
                  <w:tcW w:w="533" w:type="dxa"/>
                  <w:noWrap w:val="0"/>
                  <w:vAlign w:val="center"/>
                </w:tcPr>
                <w:p w14:paraId="12DB4787">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50</w:t>
                  </w:r>
                </w:p>
              </w:tc>
              <w:tc>
                <w:tcPr>
                  <w:tcW w:w="533" w:type="dxa"/>
                  <w:noWrap w:val="0"/>
                  <w:vAlign w:val="center"/>
                </w:tcPr>
                <w:p w14:paraId="5CD6BCDC">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48</w:t>
                  </w:r>
                </w:p>
              </w:tc>
              <w:tc>
                <w:tcPr>
                  <w:tcW w:w="535" w:type="dxa"/>
                  <w:noWrap w:val="0"/>
                  <w:vAlign w:val="center"/>
                </w:tcPr>
                <w:p w14:paraId="38F27232">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46</w:t>
                  </w:r>
                </w:p>
              </w:tc>
              <w:tc>
                <w:tcPr>
                  <w:tcW w:w="535" w:type="dxa"/>
                  <w:noWrap w:val="0"/>
                  <w:vAlign w:val="center"/>
                </w:tcPr>
                <w:p w14:paraId="6B2131E3">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42</w:t>
                  </w:r>
                </w:p>
              </w:tc>
              <w:tc>
                <w:tcPr>
                  <w:tcW w:w="535" w:type="dxa"/>
                  <w:noWrap w:val="0"/>
                  <w:vAlign w:val="center"/>
                </w:tcPr>
                <w:p w14:paraId="1673A99F">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36</w:t>
                  </w:r>
                </w:p>
              </w:tc>
              <w:tc>
                <w:tcPr>
                  <w:tcW w:w="565" w:type="dxa"/>
                  <w:noWrap w:val="0"/>
                  <w:vAlign w:val="center"/>
                </w:tcPr>
                <w:p w14:paraId="19BC1993">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32</w:t>
                  </w:r>
                </w:p>
              </w:tc>
            </w:tr>
          </w:tbl>
          <w:p w14:paraId="402DDB59">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由</w:t>
            </w:r>
            <w:r>
              <w:rPr>
                <w:rFonts w:hint="default" w:ascii="Times New Roman" w:hAnsi="Times New Roman" w:cs="Times New Roman"/>
                <w:color w:val="000000"/>
                <w:highlight w:val="none"/>
                <w:lang w:eastAsia="zh-CN"/>
              </w:rPr>
              <w:fldChar w:fldCharType="begin"/>
            </w:r>
            <w:r>
              <w:rPr>
                <w:rFonts w:hint="default" w:ascii="Times New Roman" w:hAnsi="Times New Roman" w:cs="Times New Roman"/>
                <w:color w:val="000000"/>
                <w:highlight w:val="none"/>
                <w:lang w:eastAsia="zh-CN"/>
              </w:rPr>
              <w:instrText xml:space="preserve"> REF _Ref4060 \h </w:instrText>
            </w:r>
            <w:r>
              <w:rPr>
                <w:rFonts w:hint="default" w:ascii="Times New Roman" w:hAnsi="Times New Roman" w:cs="Times New Roman"/>
                <w:color w:val="000000"/>
                <w:highlight w:val="none"/>
                <w:lang w:eastAsia="zh-CN"/>
              </w:rPr>
              <w:fldChar w:fldCharType="separate"/>
            </w:r>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4.3</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12</w:t>
            </w:r>
            <w:r>
              <w:rPr>
                <w:rFonts w:hint="default" w:ascii="Times New Roman" w:hAnsi="Times New Roman" w:cs="Times New Roman"/>
                <w:color w:val="000000"/>
                <w:highlight w:val="none"/>
                <w:lang w:eastAsia="zh-CN"/>
              </w:rPr>
              <w:fldChar w:fldCharType="end"/>
            </w:r>
            <w:r>
              <w:rPr>
                <w:rFonts w:hint="default" w:ascii="Times New Roman" w:hAnsi="Times New Roman" w:cs="Times New Roman"/>
                <w:color w:val="000000"/>
                <w:highlight w:val="none"/>
                <w:lang w:eastAsia="zh-CN"/>
              </w:rPr>
              <w:t>可知，仅考虑距离衰减作用，距施工机械60m处昼间噪声基本可符合《建筑施工厂界环境噪声排放标准》（GB12523-2011）的要求。建筑施工噪声对环境的影响具有间歇性、阶段性等特点，而且与环境噪声背景值密切相关，昼间由于施工场地附近车辆流动、人群活动等，环境噪声背景值较大，建筑施工噪声的影响不太明显；到了夜间，随着交通流量及人群活动量的减少，环境噪声背景值较低，建筑施工噪声的影响更为突出。夜间施工噪声值较大，在距噪声源300m以远处可满足</w:t>
            </w:r>
            <w:r>
              <w:rPr>
                <w:rFonts w:hint="default" w:ascii="Times New Roman" w:hAnsi="Times New Roman" w:cs="Times New Roman"/>
                <w:color w:val="000000"/>
                <w:highlight w:val="none"/>
                <w:lang w:val="en-US" w:eastAsia="zh-CN"/>
              </w:rPr>
              <w:t>《建筑施工噪声排放标准》（GB 12523-2025）</w:t>
            </w:r>
            <w:r>
              <w:rPr>
                <w:rFonts w:hint="default" w:ascii="Times New Roman" w:hAnsi="Times New Roman" w:cs="Times New Roman"/>
                <w:color w:val="000000"/>
                <w:highlight w:val="none"/>
                <w:lang w:eastAsia="zh-CN"/>
              </w:rPr>
              <w:t>夜间噪声影响值应低于55dB的要求；在距施工点500m处的声环境质量可满足《声环境质量标准》（GB3096-2008）2类声环境功能区标准限值。</w:t>
            </w:r>
          </w:p>
          <w:p w14:paraId="6E1307DD">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由于沃口村距离本项目后方陆域厂界最近距离74m，与新建南防波堤兼码头最近的居民楼距离约493m，</w:t>
            </w:r>
            <w:r>
              <w:rPr>
                <w:rFonts w:hint="default" w:ascii="Times New Roman" w:hAnsi="Times New Roman" w:cs="Times New Roman"/>
                <w:color w:val="000000"/>
                <w:highlight w:val="none"/>
                <w:lang w:eastAsia="zh-CN"/>
              </w:rPr>
              <w:t>因此临近项目的居民区夜间</w:t>
            </w:r>
            <w:r>
              <w:rPr>
                <w:rFonts w:hint="default" w:ascii="Times New Roman" w:hAnsi="Times New Roman" w:cs="Times New Roman"/>
                <w:color w:val="000000"/>
                <w:highlight w:val="none"/>
                <w:lang w:val="en-US" w:eastAsia="zh-CN"/>
              </w:rPr>
              <w:t>将</w:t>
            </w:r>
            <w:r>
              <w:rPr>
                <w:rFonts w:hint="default" w:ascii="Times New Roman" w:hAnsi="Times New Roman" w:cs="Times New Roman"/>
                <w:color w:val="000000"/>
                <w:highlight w:val="none"/>
                <w:lang w:eastAsia="zh-CN"/>
              </w:rPr>
              <w:t>受到项目施工影响。本项目应避免在夜间和午休时段进行高噪声项目施工，以降低施工对</w:t>
            </w:r>
            <w:r>
              <w:rPr>
                <w:rFonts w:hint="default" w:ascii="Times New Roman" w:hAnsi="Times New Roman" w:cs="Times New Roman"/>
                <w:color w:val="000000"/>
                <w:highlight w:val="none"/>
                <w:lang w:val="en-US" w:eastAsia="zh-CN"/>
              </w:rPr>
              <w:t>沃口</w:t>
            </w:r>
            <w:r>
              <w:rPr>
                <w:rFonts w:hint="default" w:ascii="Times New Roman" w:hAnsi="Times New Roman" w:cs="Times New Roman"/>
                <w:color w:val="000000"/>
                <w:highlight w:val="none"/>
                <w:lang w:eastAsia="zh-CN"/>
              </w:rPr>
              <w:t>村居民区的影响。本项目施工噪声的影响是暂时的，将随着施工的结束而停止。</w:t>
            </w:r>
          </w:p>
          <w:p w14:paraId="7C967F82">
            <w:pPr>
              <w:pStyle w:val="4"/>
              <w:bidi w:val="0"/>
              <w:rPr>
                <w:rFonts w:hint="default" w:ascii="Times New Roman" w:hAnsi="Times New Roman" w:cs="Times New Roman"/>
                <w:color w:val="000000"/>
                <w:highlight w:val="none"/>
              </w:rPr>
            </w:pPr>
            <w:bookmarkStart w:id="361" w:name="_Toc1939"/>
            <w:bookmarkStart w:id="362" w:name="_Toc4933"/>
            <w:r>
              <w:rPr>
                <w:rFonts w:hint="default" w:ascii="Times New Roman" w:hAnsi="Times New Roman" w:cs="Times New Roman"/>
                <w:color w:val="000000"/>
                <w:highlight w:val="none"/>
              </w:rPr>
              <w:t>施工期固体废物影响分析</w:t>
            </w:r>
            <w:bookmarkEnd w:id="361"/>
            <w:bookmarkEnd w:id="362"/>
          </w:p>
          <w:p w14:paraId="324A5435">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根据工程分析，项目施工产生的固体废物主要包括</w:t>
            </w:r>
            <w:r>
              <w:rPr>
                <w:rFonts w:hint="default" w:ascii="Times New Roman" w:hAnsi="Times New Roman" w:cs="Times New Roman"/>
                <w:color w:val="000000"/>
                <w:highlight w:val="none"/>
                <w:lang w:val="en-US" w:eastAsia="zh-CN"/>
              </w:rPr>
              <w:t>施工船舶垃圾、陆域施工垃圾、隔油池含油污泥、基槽开挖弃方、疏浚物</w:t>
            </w:r>
            <w:r>
              <w:rPr>
                <w:rFonts w:hint="default" w:ascii="Times New Roman" w:hAnsi="Times New Roman" w:cs="Times New Roman"/>
                <w:color w:val="000000"/>
                <w:highlight w:val="none"/>
              </w:rPr>
              <w:t>等。</w:t>
            </w:r>
          </w:p>
          <w:p w14:paraId="6D9AD803">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1</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施工船舶生活垃圾产生量为3</w:t>
            </w:r>
            <w:r>
              <w:rPr>
                <w:rFonts w:hint="default" w:ascii="Times New Roman" w:hAnsi="Times New Roman" w:cs="Times New Roman"/>
                <w:color w:val="000000"/>
                <w:highlight w:val="none"/>
              </w:rPr>
              <w:t>0kg/d</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施工船舶保养产生的固体废物主要为废机油、含油抹布、手套等，产生量约为5kg/d。施工期船舶垃圾应采用专门垃圾袋或垃圾桶收集贮存，集中到岸上，由海事部门认可的有处理能力的船舶服务公司接收处置。</w:t>
            </w:r>
          </w:p>
          <w:p w14:paraId="5A39A37A">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2</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陆域生产生活垃圾包括建筑损耗产生的垃圾和施工人员生活垃圾</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建筑损耗产生的垃圾包括砂土、石块、水泥、碎木料、锯木屑、钢筋、铁丝等杂物，大部分可回收利用，不可利用的垃圾统一收集后清运到固废</w:t>
            </w:r>
            <w:r>
              <w:rPr>
                <w:rFonts w:hint="default" w:ascii="Times New Roman" w:hAnsi="Times New Roman" w:cs="Times New Roman"/>
                <w:color w:val="000000"/>
                <w:highlight w:val="none"/>
                <w:lang w:eastAsia="zh-CN"/>
              </w:rPr>
              <w:t>处理厂</w:t>
            </w:r>
            <w:r>
              <w:rPr>
                <w:rFonts w:hint="default" w:ascii="Times New Roman" w:hAnsi="Times New Roman" w:cs="Times New Roman"/>
                <w:color w:val="000000"/>
                <w:highlight w:val="none"/>
              </w:rPr>
              <w:t>处理。</w:t>
            </w:r>
            <w:r>
              <w:rPr>
                <w:rFonts w:hint="default" w:ascii="Times New Roman" w:hAnsi="Times New Roman" w:cs="Times New Roman"/>
                <w:color w:val="000000"/>
                <w:highlight w:val="none"/>
                <w:lang w:val="en-US" w:eastAsia="zh-CN"/>
              </w:rPr>
              <w:t>陆域施工人员</w:t>
            </w:r>
            <w:r>
              <w:rPr>
                <w:rFonts w:hint="default" w:ascii="Times New Roman" w:hAnsi="Times New Roman" w:cs="Times New Roman"/>
                <w:color w:val="000000"/>
                <w:highlight w:val="none"/>
              </w:rPr>
              <w:t>生活垃圾的</w:t>
            </w:r>
            <w:r>
              <w:rPr>
                <w:rFonts w:hint="default" w:ascii="Times New Roman" w:hAnsi="Times New Roman" w:cs="Times New Roman"/>
                <w:color w:val="000000"/>
                <w:highlight w:val="none"/>
                <w:lang w:val="en-US" w:eastAsia="zh-CN"/>
              </w:rPr>
              <w:t>产生量</w:t>
            </w:r>
            <w:r>
              <w:rPr>
                <w:rFonts w:hint="default" w:ascii="Times New Roman" w:hAnsi="Times New Roman" w:cs="Times New Roman"/>
                <w:color w:val="000000"/>
                <w:highlight w:val="none"/>
              </w:rPr>
              <w:t>为</w:t>
            </w:r>
            <w:r>
              <w:rPr>
                <w:rFonts w:hint="default" w:ascii="Times New Roman" w:hAnsi="Times New Roman" w:cs="Times New Roman"/>
                <w:color w:val="000000"/>
                <w:highlight w:val="none"/>
                <w:lang w:val="en-US" w:eastAsia="zh-CN"/>
              </w:rPr>
              <w:t>30</w:t>
            </w:r>
            <w:r>
              <w:rPr>
                <w:rFonts w:hint="default" w:ascii="Times New Roman" w:hAnsi="Times New Roman" w:cs="Times New Roman"/>
                <w:color w:val="000000"/>
                <w:highlight w:val="none"/>
              </w:rPr>
              <w:t>kg/d</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收集后定期由当地环卫部门清运处理。</w:t>
            </w:r>
          </w:p>
          <w:p w14:paraId="3B5E13B5">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3</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施工场区隔油沉淀池产生量约为1kg/d，根据《国家危险废物名录（2025年版）》，含油污泥属于“HW08废矿物油与含矿物油废物”，废物代码为251-002-08，需由有资质的单位接收和处置。</w:t>
            </w:r>
          </w:p>
          <w:p w14:paraId="2F3443EC">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4</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根据</w:t>
            </w:r>
            <w:r>
              <w:rPr>
                <w:rFonts w:hint="default" w:ascii="Times New Roman" w:hAnsi="Times New Roman" w:cs="Times New Roman"/>
                <w:color w:val="000000"/>
                <w:highlight w:val="none"/>
                <w:lang w:val="en-US" w:eastAsia="zh-CN"/>
              </w:rPr>
              <w:t>《福建省福清海亮沃口一级渔港工程水土保持方案报告书》及其批复（附件17），本工程陆域形成余方511.44万m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、南防波堤工程余方13.58万m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、东防波堤工程余方5.28万m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和港池疏浚物</w:t>
            </w:r>
            <w:r>
              <w:rPr>
                <w:rFonts w:hint="default" w:ascii="Times New Roman" w:hAnsi="Times New Roman" w:cs="Times New Roman"/>
                <w:color w:val="000000"/>
                <w:highlight w:val="none"/>
              </w:rPr>
              <w:t>4.84万</w:t>
            </w:r>
            <w:r>
              <w:rPr>
                <w:rFonts w:hint="default" w:ascii="Times New Roman" w:hAnsi="Times New Roman" w:cs="Times New Roman"/>
                <w:color w:val="000000"/>
                <w:highlight w:val="none"/>
                <w:lang w:val="en-US" w:eastAsia="zh-CN"/>
              </w:rPr>
              <w:t>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等施工产生弃方合计535.14万m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eastAsia="zh-CN"/>
              </w:rPr>
              <w:t>。根据《福清市人民政府关于印发福清市建设工程项目涉及砂石资源处置监管工作方案（试行）的通知》（融政发〔2022〕6号），后方陆域山体开挖整平由福清市自然资源和规划局委托相关单位进行，剩余砂石资源（含淤泥）由属地政府进行公开有偿化处置。</w:t>
            </w:r>
          </w:p>
          <w:p w14:paraId="581F1698">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综上所述，只要加强管理，认真落实各项处置固体废物的环保措施，则施工期固体废物对周边环境影响不大。</w:t>
            </w:r>
          </w:p>
          <w:p w14:paraId="327FCD60">
            <w:pPr>
              <w:pStyle w:val="4"/>
              <w:bidi w:val="0"/>
              <w:rPr>
                <w:rFonts w:hint="default"/>
              </w:rPr>
            </w:pPr>
            <w:bookmarkStart w:id="363" w:name="_Toc27998"/>
            <w:bookmarkStart w:id="364" w:name="_Toc2585"/>
            <w:bookmarkStart w:id="365" w:name="_Toc26628"/>
            <w:r>
              <w:rPr>
                <w:rFonts w:hint="default"/>
              </w:rPr>
              <w:t>对敏感目标和海洋开发活动的影响分析</w:t>
            </w:r>
            <w:bookmarkEnd w:id="363"/>
            <w:bookmarkEnd w:id="364"/>
            <w:bookmarkEnd w:id="365"/>
          </w:p>
          <w:p w14:paraId="31693AE3">
            <w:pPr>
              <w:pStyle w:val="5"/>
              <w:bidi w:val="0"/>
              <w:rPr>
                <w:rFonts w:hint="default"/>
              </w:rPr>
            </w:pPr>
            <w:bookmarkStart w:id="366" w:name="_Toc2639"/>
            <w:bookmarkStart w:id="367" w:name="_Toc6158"/>
            <w:r>
              <w:rPr>
                <w:rFonts w:hint="default"/>
              </w:rPr>
              <w:t>对生态保护红线区的影响分析</w:t>
            </w:r>
            <w:bookmarkEnd w:id="366"/>
            <w:bookmarkEnd w:id="367"/>
          </w:p>
          <w:p w14:paraId="67049C07">
            <w:pPr>
              <w:ind w:firstLine="480" w:firstLineChars="200"/>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rPr>
              <w:t>根据《福建省“三区三线”划定成果》</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eastAsia="zh-CN"/>
              </w:rPr>
              <w:fldChar w:fldCharType="begin"/>
            </w:r>
            <w:r>
              <w:rPr>
                <w:rFonts w:hint="default" w:ascii="Times New Roman" w:hAnsi="Times New Roman" w:cs="Times New Roman"/>
                <w:color w:val="000000"/>
                <w:highlight w:val="none"/>
                <w:lang w:eastAsia="zh-CN"/>
              </w:rPr>
              <w:instrText xml:space="preserve"> REF _Ref15153 \h </w:instrText>
            </w:r>
            <w:r>
              <w:rPr>
                <w:rFonts w:hint="default" w:ascii="Times New Roman" w:hAnsi="Times New Roman" w:cs="Times New Roman"/>
                <w:color w:val="000000"/>
                <w:highlight w:val="none"/>
                <w:lang w:eastAsia="zh-CN"/>
              </w:rPr>
              <w:fldChar w:fldCharType="separate"/>
            </w:r>
            <w:r>
              <w:rPr>
                <w:rFonts w:hint="default" w:ascii="Times New Roman" w:hAnsi="Times New Roman" w:cs="Times New Roman"/>
                <w:color w:val="000000"/>
                <w:highlight w:val="none"/>
              </w:rPr>
              <w:t>图</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4.4</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1</w:t>
            </w:r>
            <w:r>
              <w:rPr>
                <w:rFonts w:hint="default" w:ascii="Times New Roman" w:hAnsi="Times New Roman" w:cs="Times New Roman"/>
                <w:color w:val="000000"/>
                <w:highlight w:val="none"/>
                <w:lang w:eastAsia="zh-CN"/>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，本项目</w:t>
            </w:r>
            <w:r>
              <w:rPr>
                <w:rFonts w:hint="default" w:ascii="Times New Roman" w:hAnsi="Times New Roman" w:cs="Times New Roman"/>
                <w:color w:val="000000"/>
                <w:highlight w:val="none"/>
                <w:lang w:val="en-US" w:eastAsia="zh-CN"/>
              </w:rPr>
              <w:t>用地及</w:t>
            </w:r>
            <w:r>
              <w:rPr>
                <w:rFonts w:hint="default" w:ascii="Times New Roman" w:hAnsi="Times New Roman" w:cs="Times New Roman"/>
                <w:color w:val="000000"/>
                <w:highlight w:val="none"/>
              </w:rPr>
              <w:t>用海不占用生态保护红线，</w:t>
            </w:r>
            <w:r>
              <w:rPr>
                <w:rFonts w:hint="default" w:ascii="Times New Roman" w:hAnsi="Times New Roman" w:cs="Times New Roman"/>
                <w:color w:val="000000"/>
                <w:highlight w:val="none"/>
                <w:lang w:val="en-US" w:eastAsia="zh-CN"/>
              </w:rPr>
              <w:t>不占用永久基本农田，不涉及城镇开发边界，与周边</w:t>
            </w:r>
            <w:r>
              <w:rPr>
                <w:rFonts w:hint="default" w:ascii="Times New Roman" w:hAnsi="Times New Roman" w:cs="Times New Roman"/>
                <w:color w:val="000000"/>
                <w:highlight w:val="none"/>
              </w:rPr>
              <w:t>的生态保护红线区</w:t>
            </w:r>
            <w:r>
              <w:rPr>
                <w:rFonts w:hint="default" w:ascii="Times New Roman" w:hAnsi="Times New Roman" w:cs="Times New Roman"/>
                <w:color w:val="000000"/>
                <w:highlight w:val="none"/>
                <w:lang w:val="en-US" w:eastAsia="zh-CN"/>
              </w:rPr>
              <w:t>距离较远，</w:t>
            </w:r>
            <w:r>
              <w:rPr>
                <w:rFonts w:hint="default" w:ascii="Times New Roman" w:hAnsi="Times New Roman" w:cs="Times New Roman"/>
                <w:color w:val="000000"/>
                <w:highlight w:val="none"/>
              </w:rPr>
              <w:t>项目施工不会影响到</w:t>
            </w:r>
            <w:r>
              <w:rPr>
                <w:rFonts w:hint="default" w:ascii="Times New Roman" w:hAnsi="Times New Roman" w:cs="Times New Roman"/>
                <w:color w:val="000000"/>
                <w:highlight w:val="none"/>
                <w:lang w:val="en-US" w:eastAsia="zh-CN"/>
              </w:rPr>
              <w:t>周边生态环境保护红线区</w:t>
            </w:r>
            <w:r>
              <w:rPr>
                <w:rFonts w:hint="default" w:ascii="Times New Roman" w:hAnsi="Times New Roman" w:cs="Times New Roman"/>
                <w:color w:val="000000"/>
                <w:highlight w:val="none"/>
              </w:rPr>
              <w:t>。</w:t>
            </w:r>
            <w:r>
              <w:rPr>
                <w:rFonts w:hint="default" w:ascii="Times New Roman" w:hAnsi="Times New Roman" w:cs="Times New Roman"/>
                <w:color w:val="000000"/>
                <w:highlight w:val="none"/>
                <w:lang w:val="en-US" w:eastAsia="zh-CN"/>
              </w:rPr>
              <w:t>本项目后方陆域周边存在基本农田，项目施工作业严格限定在项目红线范围内，施工机械、车辆行驶路径定期进行洒水降尘，避免车辆行驶产生的扬尘污染农田土壤。同时，施工期产生的施工废水经沉淀池处理后回用，严禁废水直接排入周边水体。经采取上述措施后，项目建设对基本农田的影响可控制在可接受范围内。</w:t>
            </w:r>
          </w:p>
          <w:p w14:paraId="7AD4A5C2">
            <w:pPr>
              <w:pStyle w:val="31"/>
              <w:bidi w:val="0"/>
              <w:rPr>
                <w:rFonts w:hint="default" w:ascii="Times New Roman" w:hAnsi="Times New Roman" w:cs="Times New Roman"/>
                <w:color w:val="000000"/>
                <w:highlight w:val="none"/>
              </w:rPr>
            </w:pPr>
            <w:r>
              <w:rPr>
                <w:rFonts w:hint="eastAsia" w:cs="Times New Roman"/>
                <w:color w:val="000000"/>
                <w:kern w:val="2"/>
                <w:sz w:val="21"/>
                <w:szCs w:val="28"/>
                <w:highlight w:val="none"/>
                <w:lang w:val="en-US" w:eastAsia="zh-CN" w:bidi="ar-SA"/>
              </w:rPr>
              <w:t>（涉密删除）</w:t>
            </w:r>
          </w:p>
          <w:p w14:paraId="5000C553">
            <w:pPr>
              <w:pStyle w:val="30"/>
              <w:bidi w:val="0"/>
              <w:rPr>
                <w:rFonts w:hint="default" w:ascii="Times New Roman" w:hAnsi="Times New Roman" w:cs="Times New Roman"/>
                <w:color w:val="000000"/>
                <w:highlight w:val="none"/>
                <w:lang w:val="en-US" w:eastAsia="zh-CN"/>
              </w:rPr>
            </w:pPr>
            <w:bookmarkStart w:id="368" w:name="_Ref15153"/>
            <w:r>
              <w:rPr>
                <w:rFonts w:hint="default" w:ascii="Times New Roman" w:hAnsi="Times New Roman" w:cs="Times New Roman"/>
                <w:color w:val="000000"/>
                <w:highlight w:val="none"/>
              </w:rPr>
              <w:t>图</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4.4</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图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1</w:t>
            </w:r>
            <w:r>
              <w:rPr>
                <w:rFonts w:hint="default" w:ascii="Times New Roman" w:hAnsi="Times New Roman" w:cs="Times New Roman"/>
                <w:color w:val="000000"/>
                <w:highlight w:val="none"/>
              </w:rPr>
              <w:fldChar w:fldCharType="end"/>
            </w:r>
            <w:bookmarkEnd w:id="368"/>
            <w:r>
              <w:rPr>
                <w:rFonts w:hint="default" w:ascii="Times New Roman" w:hAnsi="Times New Roman" w:cs="Times New Roman"/>
                <w:color w:val="000000"/>
                <w:highlight w:val="none"/>
                <w:lang w:val="en-US" w:eastAsia="zh-CN"/>
              </w:rPr>
              <w:t xml:space="preserve"> 本工程与福建省“三区三线”划定成果位置关系图</w:t>
            </w:r>
          </w:p>
          <w:p w14:paraId="58B87A2B">
            <w:pPr>
              <w:pStyle w:val="5"/>
              <w:bidi w:val="0"/>
              <w:rPr>
                <w:rFonts w:hint="default"/>
              </w:rPr>
            </w:pPr>
            <w:bookmarkStart w:id="369" w:name="_Toc11750"/>
            <w:bookmarkStart w:id="370" w:name="_Toc21030"/>
            <w:r>
              <w:rPr>
                <w:rFonts w:hint="default"/>
              </w:rPr>
              <w:t>对周边海水养殖的影响分析</w:t>
            </w:r>
            <w:bookmarkEnd w:id="369"/>
            <w:bookmarkEnd w:id="370"/>
          </w:p>
          <w:p w14:paraId="32B4B68C">
            <w:pPr>
              <w:ind w:firstLine="480" w:firstLineChars="200"/>
              <w:rPr>
                <w:rFonts w:hint="default" w:ascii="Times New Roman" w:hAnsi="Times New Roman" w:cs="Times New Roman"/>
                <w:color w:val="000000"/>
                <w:highlight w:val="none"/>
              </w:rPr>
            </w:pPr>
            <w:r>
              <w:rPr>
                <w:rFonts w:hint="default" w:ascii="Times New Roman" w:hAnsi="Times New Roman" w:cs="Times New Roman"/>
                <w:color w:val="000000"/>
                <w:highlight w:val="none"/>
              </w:rPr>
              <w:t>工程施工期产生的悬浮泥沙入海将导致海水中悬浮物含量增加，在一定范围内会使海水变浑浊，透明度降低，影响范围内的养殖产品生长会受到影响。项目区及周边海域是东瀚镇海亮村的传统养殖区，项目建设需占用部分海水养殖，同时项目施工产生悬浮泥沙增量超过10mg/L包络范围内的海水养殖将受到一定的影响。根据</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REF _Ref17900 \h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图</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4.4</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2</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rPr>
              <w:t>，项目建设影响的海水养殖约</w:t>
            </w:r>
            <w:r>
              <w:rPr>
                <w:rFonts w:hint="default" w:ascii="Times New Roman" w:hAnsi="Times New Roman" w:cs="Times New Roman"/>
                <w:color w:val="000000"/>
                <w:highlight w:val="none"/>
                <w:lang w:val="en-US" w:eastAsia="zh-CN"/>
              </w:rPr>
              <w:t>2330</w:t>
            </w:r>
            <w:r>
              <w:rPr>
                <w:rFonts w:hint="default" w:ascii="Times New Roman" w:hAnsi="Times New Roman" w:cs="Times New Roman"/>
                <w:color w:val="000000"/>
                <w:highlight w:val="none"/>
              </w:rPr>
              <w:t>亩，主要养殖海带和龙须菜，项目占用的海水养殖在项目施工前需移出该海域或停止养殖。海亮村委会及林乃平、杨珠爱、魏瑞茂等23位养殖户均承诺：“在项目施工建设前，将海水养殖迁移出该海域或停止养殖，同意并支持海亮沃口一级渔港建设”（附件</w:t>
            </w:r>
            <w:r>
              <w:rPr>
                <w:rFonts w:hint="default" w:ascii="Times New Roman" w:hAnsi="Times New Roman" w:cs="Times New Roman"/>
                <w:color w:val="000000"/>
                <w:highlight w:val="none"/>
                <w:lang w:val="en-US" w:eastAsia="zh-CN"/>
              </w:rPr>
              <w:t>18</w:t>
            </w:r>
            <w:r>
              <w:rPr>
                <w:rFonts w:hint="default" w:ascii="Times New Roman" w:hAnsi="Times New Roman" w:cs="Times New Roman"/>
                <w:color w:val="000000"/>
                <w:highlight w:val="none"/>
              </w:rPr>
              <w:t>）。</w:t>
            </w:r>
          </w:p>
          <w:p w14:paraId="17F980DA">
            <w:pPr>
              <w:ind w:firstLine="480" w:firstLineChars="200"/>
              <w:rPr>
                <w:rFonts w:hint="default" w:ascii="Times New Roman" w:hAnsi="Times New Roman" w:cs="Times New Roman"/>
                <w:color w:val="000000"/>
                <w:highlight w:val="none"/>
              </w:rPr>
            </w:pPr>
            <w:r>
              <w:rPr>
                <w:rFonts w:hint="default" w:ascii="Times New Roman" w:hAnsi="Times New Roman" w:cs="Times New Roman"/>
                <w:color w:val="000000"/>
                <w:highlight w:val="none"/>
              </w:rPr>
              <w:t>根据中国科学院海洋研究所博士严立文的博士论文《浅海区海带养殖的沉积环境效应及动力机制》中的相关研究结论，大规模海带植被体的充填将使周边海区的悬浮泥沙运移路径和空间分布形态发生改变，养殖边界处悬浮体浓度梯度较大，外围高浓度的悬浮体对海带养殖筏架区影响较小</w:t>
            </w:r>
            <w:r>
              <w:rPr>
                <w:rFonts w:hint="eastAsia" w:cs="Times New Roman"/>
                <w:color w:val="000000"/>
                <w:highlight w:val="none"/>
                <w:lang w:eastAsia="zh-CN"/>
              </w:rPr>
              <w:t>且</w:t>
            </w:r>
            <w:r>
              <w:rPr>
                <w:rFonts w:hint="default" w:ascii="Times New Roman" w:hAnsi="Times New Roman" w:cs="Times New Roman"/>
                <w:color w:val="000000"/>
                <w:highlight w:val="none"/>
              </w:rPr>
              <w:t>海带为季节性养殖，养殖季节为每年11月至翌年5月，该段时间海上风浪较大，不宜开展海上作业施工；根据施工计划，项目东防波堤海上施工期为24个月，项目施工应</w:t>
            </w:r>
            <w:r>
              <w:rPr>
                <w:rFonts w:hint="default" w:ascii="Times New Roman" w:hAnsi="Times New Roman" w:cs="Times New Roman"/>
                <w:color w:val="000000"/>
                <w:highlight w:val="none"/>
                <w:lang w:val="en-US" w:eastAsia="zh-CN"/>
              </w:rPr>
              <w:t>尽量</w:t>
            </w:r>
            <w:r>
              <w:rPr>
                <w:rFonts w:hint="default" w:ascii="Times New Roman" w:hAnsi="Times New Roman" w:cs="Times New Roman"/>
                <w:color w:val="000000"/>
                <w:highlight w:val="none"/>
              </w:rPr>
              <w:t>避开海带养殖季节，将对周边海域海带养殖造成的损失降到最低。项目建成后，应严格控制废水、生产生活垃圾的排放、倾倒，加强监测、采取相应的预防和治理措施，避免对海洋生态环境造成新的污染。项目运营期间，在严格执行环保措施的前提下，项目建设对周边海水养殖影响不大。</w:t>
            </w:r>
          </w:p>
          <w:p w14:paraId="0B2CD36E">
            <w:pPr>
              <w:pStyle w:val="5"/>
              <w:bidi w:val="0"/>
              <w:rPr>
                <w:rFonts w:hint="default"/>
              </w:rPr>
            </w:pPr>
            <w:bookmarkStart w:id="371" w:name="_Toc10472"/>
            <w:bookmarkStart w:id="372" w:name="_Toc14960"/>
            <w:r>
              <w:rPr>
                <w:rFonts w:hint="default"/>
              </w:rPr>
              <w:t>对周边海洋开发活动的影响</w:t>
            </w:r>
            <w:bookmarkEnd w:id="371"/>
            <w:bookmarkEnd w:id="372"/>
          </w:p>
          <w:p w14:paraId="726D2C44">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w:t>
            </w:r>
            <w:r>
              <w:rPr>
                <w:rFonts w:hint="default" w:ascii="Times New Roman" w:hAnsi="Times New Roman" w:cs="Times New Roman"/>
                <w:color w:val="000000"/>
                <w:highlight w:val="none"/>
                <w:lang w:val="en-US" w:eastAsia="zh-CN"/>
              </w:rPr>
              <w:t>1</w:t>
            </w:r>
            <w:r>
              <w:rPr>
                <w:rFonts w:hint="default" w:ascii="Times New Roman" w:hAnsi="Times New Roman" w:cs="Times New Roman"/>
                <w:color w:val="000000"/>
                <w:highlight w:val="none"/>
              </w:rPr>
              <w:t>）对渔业基础设施的影响</w:t>
            </w:r>
          </w:p>
          <w:p w14:paraId="49673F38">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本项目在海亮二级渔港的基</w:t>
            </w:r>
            <w:r>
              <w:rPr>
                <w:rFonts w:hint="default" w:ascii="Times New Roman" w:hAnsi="Times New Roman" w:cs="Times New Roman"/>
                <w:color w:val="000000"/>
                <w:highlight w:val="none"/>
                <w:lang w:eastAsia="zh-CN"/>
              </w:rPr>
              <w:t>础上</w:t>
            </w:r>
            <w:r>
              <w:rPr>
                <w:rFonts w:hint="default" w:ascii="Times New Roman" w:hAnsi="Times New Roman" w:cs="Times New Roman"/>
                <w:color w:val="000000"/>
                <w:highlight w:val="none"/>
              </w:rPr>
              <w:t>进行升级建设，项目用海范围与二级渔港相邻</w:t>
            </w:r>
            <w:r>
              <w:rPr>
                <w:rFonts w:hint="eastAsia" w:cs="Times New Roman"/>
                <w:color w:val="000000"/>
                <w:highlight w:val="none"/>
                <w:lang w:eastAsia="zh-CN"/>
              </w:rPr>
              <w:t>且</w:t>
            </w:r>
            <w:r>
              <w:rPr>
                <w:rFonts w:hint="default" w:ascii="Times New Roman" w:hAnsi="Times New Roman" w:cs="Times New Roman"/>
                <w:color w:val="000000"/>
                <w:highlight w:val="none"/>
              </w:rPr>
              <w:t>一级渔港与二级渔港为同一业主，两者无利益冲突；海亮沃口二级渔港当前已建成并投入运营，项目建设基本维持二级渔港现状，不影响二级渔港原有功能的使用，同时两者设计结合紧凑，可为港区提供一定规模的码头泊位、避风水域和配套陆域，形成功能较齐全的综合型一级渔港，对当地渔业经济的发展及保障渔民生命财产安全具有重要的意义。</w:t>
            </w:r>
          </w:p>
          <w:p w14:paraId="43A15D42">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项目区西侧约</w:t>
            </w:r>
            <w:r>
              <w:rPr>
                <w:rFonts w:hint="default" w:ascii="Times New Roman" w:hAnsi="Times New Roman" w:cs="Times New Roman"/>
                <w:color w:val="000000"/>
                <w:highlight w:val="none"/>
                <w:lang w:val="en-US" w:eastAsia="zh-CN"/>
              </w:rPr>
              <w:t>260</w:t>
            </w:r>
            <w:r>
              <w:rPr>
                <w:rFonts w:hint="default" w:ascii="Times New Roman" w:hAnsi="Times New Roman" w:cs="Times New Roman"/>
                <w:color w:val="000000"/>
                <w:highlight w:val="none"/>
              </w:rPr>
              <w:t>m处为当地传统锚地，渔船进出锚地需从二级渔港与大礁山之间宽约150m的水域通过，项目施工期间对渔船进出锚地的通航环境有一定的影响。</w:t>
            </w:r>
          </w:p>
          <w:p w14:paraId="6FBBB40D">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项目建成后，一级渔港码头泊位规模更大，避风水域更加完善，当地渔船可到一级渔港靠泊装卸、锚泊避风。因此，项目建设对当地渔业基础设施具有积极的意义。</w:t>
            </w:r>
          </w:p>
          <w:p w14:paraId="2E4A53E4">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w:t>
            </w:r>
            <w:r>
              <w:rPr>
                <w:rFonts w:hint="default" w:ascii="Times New Roman" w:hAnsi="Times New Roman" w:cs="Times New Roman"/>
                <w:color w:val="000000"/>
                <w:highlight w:val="none"/>
                <w:lang w:val="en-US" w:eastAsia="zh-CN"/>
              </w:rPr>
              <w:t>2</w:t>
            </w:r>
            <w:r>
              <w:rPr>
                <w:rFonts w:hint="default" w:ascii="Times New Roman" w:hAnsi="Times New Roman" w:cs="Times New Roman"/>
                <w:color w:val="000000"/>
                <w:highlight w:val="none"/>
              </w:rPr>
              <w:t>）对沃口渡口的影响</w:t>
            </w:r>
          </w:p>
          <w:p w14:paraId="5352E3DB">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海亮沃口二级渔港斜坡道码头兼作陆岛交通码头使用，运营客轮主要是沃口至草屿、沃口至北楼两个航线。项目施工</w:t>
            </w:r>
            <w:r>
              <w:rPr>
                <w:rFonts w:hint="default" w:ascii="Times New Roman" w:hAnsi="Times New Roman" w:cs="Times New Roman"/>
                <w:color w:val="000000"/>
                <w:highlight w:val="none"/>
                <w:lang w:eastAsia="zh-CN"/>
              </w:rPr>
              <w:t>期间</w:t>
            </w:r>
            <w:r>
              <w:rPr>
                <w:rFonts w:hint="default" w:ascii="Times New Roman" w:hAnsi="Times New Roman" w:cs="Times New Roman"/>
                <w:color w:val="000000"/>
                <w:highlight w:val="none"/>
              </w:rPr>
              <w:t>施工船舶作业，对客轮进出的通航环境有一定的影响；项目建成后来港装卸靠泊渔船增多，周边海域主航道通航密度将增大，项目用海对沃口渡口的通航环境有一定的影响。</w:t>
            </w:r>
          </w:p>
          <w:p w14:paraId="5C600801">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w:t>
            </w:r>
            <w:r>
              <w:rPr>
                <w:rFonts w:hint="default" w:ascii="Times New Roman" w:hAnsi="Times New Roman" w:cs="Times New Roman"/>
                <w:color w:val="000000"/>
                <w:highlight w:val="none"/>
                <w:lang w:val="en-US" w:eastAsia="zh-CN"/>
              </w:rPr>
              <w:t>3</w:t>
            </w:r>
            <w:r>
              <w:rPr>
                <w:rFonts w:hint="default" w:ascii="Times New Roman" w:hAnsi="Times New Roman" w:cs="Times New Roman"/>
                <w:color w:val="000000"/>
                <w:highlight w:val="none"/>
              </w:rPr>
              <w:t>）对其他用海活动的影响</w:t>
            </w:r>
          </w:p>
          <w:p w14:paraId="1ECF54EC">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项目区南侧约400米有一砂场，西南侧约400米有3口废弃围垦</w:t>
            </w:r>
            <w:r>
              <w:rPr>
                <w:rFonts w:hint="default" w:ascii="Times New Roman" w:hAnsi="Times New Roman" w:cs="Times New Roman"/>
                <w:color w:val="000000"/>
                <w:highlight w:val="none"/>
                <w:lang w:val="en-US" w:eastAsia="zh-CN"/>
              </w:rPr>
              <w:t>池塘</w:t>
            </w:r>
            <w:r>
              <w:rPr>
                <w:rFonts w:hint="default" w:ascii="Times New Roman" w:hAnsi="Times New Roman" w:cs="Times New Roman"/>
                <w:color w:val="000000"/>
                <w:highlight w:val="none"/>
              </w:rPr>
              <w:t>，砂场和围垦</w:t>
            </w:r>
            <w:r>
              <w:rPr>
                <w:rFonts w:hint="default" w:ascii="Times New Roman" w:hAnsi="Times New Roman" w:cs="Times New Roman"/>
                <w:color w:val="000000"/>
                <w:highlight w:val="none"/>
                <w:lang w:val="en-US" w:eastAsia="zh-CN"/>
              </w:rPr>
              <w:t>池塘</w:t>
            </w:r>
            <w:r>
              <w:rPr>
                <w:rFonts w:hint="default" w:ascii="Times New Roman" w:hAnsi="Times New Roman" w:cs="Times New Roman"/>
                <w:color w:val="000000"/>
                <w:highlight w:val="none"/>
              </w:rPr>
              <w:t>当前已停产，项目建设砂场和围垦</w:t>
            </w:r>
            <w:r>
              <w:rPr>
                <w:rFonts w:hint="default" w:ascii="Times New Roman" w:hAnsi="Times New Roman" w:cs="Times New Roman"/>
                <w:color w:val="000000"/>
                <w:highlight w:val="none"/>
                <w:lang w:val="en-US" w:eastAsia="zh-CN"/>
              </w:rPr>
              <w:t>池塘</w:t>
            </w:r>
            <w:r>
              <w:rPr>
                <w:rFonts w:hint="default" w:ascii="Times New Roman" w:hAnsi="Times New Roman" w:cs="Times New Roman"/>
                <w:color w:val="000000"/>
                <w:highlight w:val="none"/>
              </w:rPr>
              <w:t>没有影响。</w:t>
            </w:r>
          </w:p>
          <w:p w14:paraId="70F21AB6">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项目建设导致大马王屿、王马南屿西侧水道宽度变窄，对当地小型船只的通航环境有一定的影响，但防波堤与海岛（王马南屿）的最近距离约</w:t>
            </w:r>
            <w:r>
              <w:rPr>
                <w:rFonts w:hint="default" w:ascii="Times New Roman" w:hAnsi="Times New Roman" w:cs="Times New Roman"/>
                <w:color w:val="000000"/>
                <w:highlight w:val="none"/>
                <w:lang w:val="en-US" w:eastAsia="zh-CN"/>
              </w:rPr>
              <w:t>160</w:t>
            </w:r>
            <w:r>
              <w:rPr>
                <w:rFonts w:hint="default" w:ascii="Times New Roman" w:hAnsi="Times New Roman" w:cs="Times New Roman"/>
                <w:color w:val="000000"/>
                <w:highlight w:val="none"/>
              </w:rPr>
              <w:t>m，可以满足小型船只的通航需求。因此，项目建设对当地船舶通航环境的影响有限。</w:t>
            </w:r>
          </w:p>
          <w:p w14:paraId="48CA34DB">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cs="Times New Roman"/>
                <w:color w:val="000000"/>
                <w:highlight w:val="none"/>
                <w:lang w:eastAsia="zh-CN"/>
              </w:rPr>
            </w:pPr>
            <w:r>
              <w:rPr>
                <w:rFonts w:hint="default" w:ascii="Times New Roman" w:hAnsi="Times New Roman" w:cs="Times New Roman"/>
                <w:color w:val="000000"/>
                <w:highlight w:val="none"/>
              </w:rPr>
              <w:t>根据数模预测分析，工程建设引起的王马南屿周边的潮流场和冲淤环境变化较小，不会引起海岛地形地貌的改变。项目施工悬浮泥沙入海用海对项目区周边大礁山、大马王屿、王马南屿等海岛的水质环境有一定的影响，但悬浮泥沙影响是短暂的，随着施工结束而消失，故项目用海对周边海岛的影响有限</w:t>
            </w:r>
            <w:r>
              <w:rPr>
                <w:rFonts w:hint="eastAsia" w:cs="Times New Roman"/>
                <w:color w:val="000000"/>
                <w:highlight w:val="none"/>
                <w:lang w:eastAsia="zh-CN"/>
              </w:rPr>
              <w:t>。</w:t>
            </w:r>
          </w:p>
          <w:p w14:paraId="1CEE4ADB">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p>
          <w:p w14:paraId="5DF222BA">
            <w:pPr>
              <w:pStyle w:val="31"/>
              <w:bidi w:val="0"/>
              <w:rPr>
                <w:rFonts w:hint="default" w:ascii="Times New Roman" w:hAnsi="Times New Roman" w:eastAsia="宋体" w:cs="Times New Roman"/>
                <w:color w:val="000000"/>
                <w:highlight w:val="none"/>
                <w:lang w:eastAsia="zh-CN"/>
              </w:rPr>
            </w:pPr>
            <w:r>
              <w:rPr>
                <w:rFonts w:hint="eastAsia" w:cs="Times New Roman"/>
                <w:color w:val="000000"/>
                <w:kern w:val="2"/>
                <w:sz w:val="21"/>
                <w:szCs w:val="28"/>
                <w:highlight w:val="none"/>
                <w:lang w:val="en-US" w:eastAsia="zh-CN" w:bidi="ar-SA"/>
              </w:rPr>
              <w:t>（涉密删除）</w:t>
            </w:r>
          </w:p>
          <w:p w14:paraId="022B055A">
            <w:pPr>
              <w:pStyle w:val="30"/>
              <w:bidi w:val="0"/>
              <w:rPr>
                <w:rFonts w:hint="default" w:ascii="Times New Roman" w:hAnsi="Times New Roman" w:cs="Times New Roman"/>
                <w:color w:val="000000"/>
                <w:highlight w:val="none"/>
              </w:rPr>
            </w:pPr>
            <w:bookmarkStart w:id="373" w:name="_Ref17900"/>
            <w:r>
              <w:rPr>
                <w:rFonts w:hint="default" w:ascii="Times New Roman" w:hAnsi="Times New Roman" w:cs="Times New Roman"/>
                <w:color w:val="000000"/>
                <w:highlight w:val="none"/>
              </w:rPr>
              <w:t>图</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4.4</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图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2</w:t>
            </w:r>
            <w:r>
              <w:rPr>
                <w:rFonts w:hint="default" w:ascii="Times New Roman" w:hAnsi="Times New Roman" w:cs="Times New Roman"/>
                <w:color w:val="000000"/>
                <w:highlight w:val="none"/>
              </w:rPr>
              <w:fldChar w:fldCharType="end"/>
            </w:r>
            <w:bookmarkEnd w:id="373"/>
            <w:r>
              <w:rPr>
                <w:rFonts w:hint="default" w:ascii="Times New Roman" w:hAnsi="Times New Roman" w:cs="Times New Roman"/>
                <w:color w:val="000000"/>
                <w:highlight w:val="none"/>
                <w:lang w:val="en-US" w:eastAsia="zh-CN"/>
              </w:rPr>
              <w:t xml:space="preserve"> </w:t>
            </w:r>
            <w:r>
              <w:rPr>
                <w:rFonts w:hint="default" w:ascii="Times New Roman" w:hAnsi="Times New Roman" w:cs="Times New Roman"/>
                <w:color w:val="000000"/>
                <w:highlight w:val="none"/>
              </w:rPr>
              <w:t>叠加悬浮物扩散包络范围</w:t>
            </w:r>
            <w:r>
              <w:rPr>
                <w:rFonts w:hint="default" w:ascii="Times New Roman" w:hAnsi="Times New Roman" w:cs="Times New Roman"/>
                <w:color w:val="000000"/>
                <w:highlight w:val="none"/>
                <w:lang w:val="en-US" w:eastAsia="zh-CN"/>
              </w:rPr>
              <w:t>影响区域</w:t>
            </w:r>
            <w:r>
              <w:rPr>
                <w:rFonts w:hint="default" w:ascii="Times New Roman" w:hAnsi="Times New Roman" w:cs="Times New Roman"/>
                <w:color w:val="000000"/>
                <w:highlight w:val="none"/>
              </w:rPr>
              <w:t>分布图</w:t>
            </w:r>
          </w:p>
          <w:p w14:paraId="54E5A5E8">
            <w:pPr>
              <w:pStyle w:val="5"/>
              <w:bidi w:val="0"/>
              <w:rPr>
                <w:rFonts w:hint="default"/>
              </w:rPr>
            </w:pPr>
            <w:bookmarkStart w:id="374" w:name="_Toc17076"/>
            <w:bookmarkStart w:id="375" w:name="_Toc10966"/>
            <w:r>
              <w:rPr>
                <w:rFonts w:hint="default"/>
              </w:rPr>
              <w:t>海岛等其他自然资源影响分析</w:t>
            </w:r>
            <w:bookmarkEnd w:id="374"/>
            <w:bookmarkEnd w:id="375"/>
          </w:p>
          <w:p w14:paraId="57196216">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（1）对周边无居民海岛的影响</w:t>
            </w:r>
          </w:p>
          <w:p w14:paraId="0A4D44CC">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本项目周边的岛礁资源主要有大礁山、大马王屿、王马南屿、小王马屿等无居民海岛，可门岛、草屿、塘屿等有居民海岛。与本项目东防波堤距离约</w:t>
            </w:r>
            <w:r>
              <w:rPr>
                <w:rFonts w:hint="default" w:ascii="Times New Roman" w:hAnsi="Times New Roman" w:cs="Times New Roman"/>
                <w:color w:val="000000"/>
                <w:highlight w:val="none"/>
                <w:lang w:val="en-US" w:eastAsia="zh-CN"/>
              </w:rPr>
              <w:t>16</w:t>
            </w:r>
            <w:r>
              <w:rPr>
                <w:rFonts w:hint="default" w:ascii="Times New Roman" w:hAnsi="Times New Roman" w:cs="Times New Roman"/>
                <w:color w:val="000000"/>
                <w:highlight w:val="none"/>
              </w:rPr>
              <w:t>0m的无居民海岛为王马南屿。根据《福建省海岛保护规划》（2011~2020年），“王马南屿属于二级类中的一般保护类海岛，面积为2636m</w:t>
            </w:r>
            <w:r>
              <w:rPr>
                <w:rFonts w:hint="default" w:ascii="Times New Roman" w:hAnsi="Times New Roman" w:cs="Times New Roman"/>
                <w:color w:val="000000"/>
                <w:highlight w:val="none"/>
                <w:vertAlign w:val="superscript"/>
              </w:rPr>
              <w:t>2</w:t>
            </w:r>
            <w:r>
              <w:rPr>
                <w:rFonts w:hint="default" w:ascii="Times New Roman" w:hAnsi="Times New Roman" w:cs="Times New Roman"/>
                <w:color w:val="000000"/>
                <w:highlight w:val="none"/>
              </w:rPr>
              <w:t>，近圆形，地势中间高四周低，地表岩石裸露，长零星小草，基岩海岸，南面乱石滩延伸，海域有吊养，顶部建有一导标，具体说明为：保留开发利用现状，保护海岛生态环境和岛上的导航标志”。</w:t>
            </w:r>
          </w:p>
          <w:p w14:paraId="5A351DBC">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项目建设没有占用海岛，没有对周边岛礁进行连岛、爆破等破坏岛礁属性的作业，对岛礁资源没有损耗。据</w:t>
            </w:r>
            <w:r>
              <w:rPr>
                <w:rFonts w:hint="default" w:ascii="Times New Roman" w:hAnsi="Times New Roman" w:cs="Times New Roman"/>
                <w:color w:val="000000"/>
                <w:highlight w:val="none"/>
                <w:lang w:val="en-US" w:eastAsia="zh-CN"/>
              </w:rPr>
              <w:t>本文</w:t>
            </w:r>
            <w:r>
              <w:rPr>
                <w:rFonts w:hint="eastAsia" w:cs="Times New Roman"/>
                <w:color w:val="000000"/>
                <w:highlight w:val="none"/>
                <w:lang w:val="en-US" w:eastAsia="zh-CN"/>
              </w:rPr>
              <w:t>章节4.3</w:t>
            </w:r>
            <w:r>
              <w:rPr>
                <w:rFonts w:hint="default" w:ascii="Times New Roman" w:hAnsi="Times New Roman" w:cs="Times New Roman"/>
                <w:color w:val="000000"/>
                <w:highlight w:val="none"/>
              </w:rPr>
              <w:t>分析，工程建设引起的王马南屿周边的潮流场和冲淤环境变化较小，不会引起海岛地形地貌的改变。因此，本项目建设不改变周边无居民海岛的定位和现状，对海岛资源基本没有影响。项目区内没有规划航道和锚地，项目建设不占用港口航道和锚地资源；大礁山有花岗岩采矿片区，目前已无开采，项目区内及附近无其他矿产资源和旅游资源，本项目用海对矿产和旅游资源的开发不会产生影响。</w:t>
            </w:r>
          </w:p>
          <w:p w14:paraId="44CA7349">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（2）对海洋保护区的影响</w:t>
            </w:r>
          </w:p>
          <w:p w14:paraId="798EB2A8">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根据</w:t>
            </w:r>
            <w:r>
              <w:rPr>
                <w:rFonts w:hint="default" w:ascii="Times New Roman" w:hAnsi="Times New Roman" w:cs="Times New Roman"/>
                <w:color w:val="000000"/>
                <w:highlight w:val="none"/>
                <w:lang w:val="en-US" w:eastAsia="zh-CN"/>
              </w:rPr>
              <w:t>本文</w:t>
            </w:r>
            <w:r>
              <w:rPr>
                <w:rFonts w:hint="eastAsia" w:cs="Times New Roman"/>
                <w:color w:val="000000"/>
                <w:highlight w:val="none"/>
                <w:lang w:val="en-US" w:eastAsia="zh-CN"/>
              </w:rPr>
              <w:t>章节4.3</w:t>
            </w:r>
            <w:r>
              <w:rPr>
                <w:rFonts w:hint="default" w:ascii="Times New Roman" w:hAnsi="Times New Roman" w:cs="Times New Roman"/>
                <w:color w:val="000000"/>
                <w:highlight w:val="none"/>
              </w:rPr>
              <w:t>分析，本项目</w:t>
            </w:r>
            <w:r>
              <w:rPr>
                <w:rFonts w:hint="default" w:ascii="Times New Roman" w:hAnsi="Times New Roman" w:cs="Times New Roman"/>
                <w:color w:val="000000"/>
                <w:highlight w:val="none"/>
                <w:lang w:val="en-US" w:eastAsia="zh-CN"/>
              </w:rPr>
              <w:t>施工叠加悬浮物增量浓度</w:t>
            </w:r>
            <w:r>
              <w:rPr>
                <w:rFonts w:hint="default" w:ascii="Times New Roman" w:hAnsi="Times New Roman" w:cs="Times New Roman"/>
                <w:color w:val="000000"/>
                <w:highlight w:val="none"/>
              </w:rPr>
              <w:t>的影响范围所形成的最大运动半径，受涨落潮的影响，中心点距10mg/L等值线的</w:t>
            </w:r>
            <w:r>
              <w:rPr>
                <w:rFonts w:hint="default" w:ascii="Times New Roman" w:hAnsi="Times New Roman" w:cs="Times New Roman"/>
                <w:color w:val="000000"/>
                <w:kern w:val="2"/>
                <w:highlight w:val="none"/>
              </w:rPr>
              <w:t>距离</w:t>
            </w:r>
            <w:r>
              <w:rPr>
                <w:rFonts w:hint="default" w:ascii="Times New Roman" w:hAnsi="Times New Roman" w:cs="Times New Roman"/>
                <w:color w:val="000000"/>
                <w:kern w:val="2"/>
                <w:highlight w:val="none"/>
                <w:lang w:val="en-US" w:eastAsia="zh-CN"/>
              </w:rPr>
              <w:t>南北侧</w:t>
            </w:r>
            <w:r>
              <w:rPr>
                <w:rFonts w:hint="default" w:ascii="Times New Roman" w:hAnsi="Times New Roman" w:cs="Times New Roman"/>
                <w:color w:val="000000"/>
                <w:kern w:val="2"/>
                <w:highlight w:val="none"/>
              </w:rPr>
              <w:t>最远，最大运动半径</w:t>
            </w:r>
            <w:r>
              <w:rPr>
                <w:rFonts w:hint="default" w:ascii="Times New Roman" w:hAnsi="Times New Roman" w:cs="Times New Roman"/>
                <w:color w:val="000000"/>
                <w:kern w:val="2"/>
                <w:highlight w:val="none"/>
                <w:lang w:val="en-US" w:eastAsia="zh-CN"/>
              </w:rPr>
              <w:t>为1.4</w:t>
            </w:r>
            <w:r>
              <w:rPr>
                <w:rFonts w:hint="default" w:ascii="Times New Roman" w:hAnsi="Times New Roman" w:cs="Times New Roman"/>
                <w:color w:val="000000"/>
                <w:kern w:val="2"/>
                <w:highlight w:val="none"/>
              </w:rPr>
              <w:t>km</w:t>
            </w:r>
            <w:r>
              <w:rPr>
                <w:rFonts w:hint="default" w:ascii="Times New Roman" w:hAnsi="Times New Roman" w:cs="Times New Roman"/>
                <w:color w:val="000000"/>
                <w:kern w:val="2"/>
                <w:highlight w:val="none"/>
                <w:lang w:eastAsia="zh-CN"/>
              </w:rPr>
              <w:t>，</w:t>
            </w:r>
            <w:r>
              <w:rPr>
                <w:rFonts w:hint="default" w:ascii="Times New Roman" w:hAnsi="Times New Roman" w:cs="Times New Roman"/>
                <w:color w:val="000000"/>
                <w:szCs w:val="24"/>
                <w:highlight w:val="none"/>
              </w:rPr>
              <w:t>施工</w:t>
            </w:r>
            <w:r>
              <w:rPr>
                <w:rFonts w:hint="default" w:ascii="Times New Roman" w:hAnsi="Times New Roman" w:cs="Times New Roman"/>
                <w:color w:val="000000"/>
                <w:szCs w:val="24"/>
                <w:highlight w:val="none"/>
                <w:lang w:val="en-US" w:eastAsia="zh-CN"/>
              </w:rPr>
              <w:t>叠加</w:t>
            </w:r>
            <w:r>
              <w:rPr>
                <w:rFonts w:hint="default" w:ascii="Times New Roman" w:hAnsi="Times New Roman" w:cs="Times New Roman"/>
                <w:color w:val="000000"/>
                <w:highlight w:val="none"/>
              </w:rPr>
              <w:t>悬沙增量超过10mg/L水域最大影响面积为</w:t>
            </w:r>
            <w:r>
              <w:rPr>
                <w:rFonts w:hint="default" w:ascii="Times New Roman" w:hAnsi="Times New Roman" w:cs="Times New Roman"/>
                <w:color w:val="000000"/>
                <w:szCs w:val="24"/>
                <w:highlight w:val="none"/>
                <w:lang w:val="en-US" w:eastAsia="zh-CN"/>
              </w:rPr>
              <w:t>3.24</w:t>
            </w:r>
            <w:r>
              <w:rPr>
                <w:rFonts w:hint="default" w:ascii="Times New Roman" w:hAnsi="Times New Roman" w:cs="Times New Roman"/>
                <w:color w:val="000000"/>
                <w:szCs w:val="24"/>
                <w:highlight w:val="none"/>
              </w:rPr>
              <w:t>km</w:t>
            </w:r>
            <w:r>
              <w:rPr>
                <w:rFonts w:hint="default" w:ascii="Times New Roman" w:hAnsi="Times New Roman" w:cs="Times New Roman"/>
                <w:color w:val="000000"/>
                <w:szCs w:val="24"/>
                <w:highlight w:val="none"/>
                <w:vertAlign w:val="superscript"/>
              </w:rPr>
              <w:t>2</w:t>
            </w:r>
            <w:r>
              <w:rPr>
                <w:rFonts w:hint="default" w:ascii="Times New Roman" w:hAnsi="Times New Roman" w:cs="Times New Roman"/>
                <w:color w:val="000000"/>
                <w:kern w:val="2"/>
                <w:highlight w:val="none"/>
                <w:lang w:eastAsia="zh-CN"/>
              </w:rPr>
              <w:t>，</w:t>
            </w:r>
            <w:r>
              <w:rPr>
                <w:rFonts w:hint="default" w:ascii="Times New Roman" w:hAnsi="Times New Roman" w:cs="Times New Roman"/>
                <w:color w:val="000000"/>
                <w:highlight w:val="none"/>
              </w:rPr>
              <w:t>影响范围主要集中在项目施工用海区周边</w:t>
            </w:r>
            <w:r>
              <w:rPr>
                <w:rFonts w:hint="default" w:ascii="Times New Roman" w:hAnsi="Times New Roman" w:cs="Times New Roman"/>
                <w:color w:val="000000"/>
                <w:kern w:val="2"/>
                <w:highlight w:val="none"/>
                <w:lang w:eastAsia="zh-CN"/>
              </w:rPr>
              <w:t>，不会到达生态保护红线区</w:t>
            </w:r>
            <w:r>
              <w:rPr>
                <w:rFonts w:hint="eastAsia" w:cs="Times New Roman"/>
                <w:color w:val="000000"/>
                <w:highlight w:val="none"/>
                <w:lang w:eastAsia="zh-CN"/>
              </w:rPr>
              <w:t>且</w:t>
            </w:r>
            <w:r>
              <w:rPr>
                <w:rFonts w:hint="default" w:ascii="Times New Roman" w:hAnsi="Times New Roman" w:cs="Times New Roman"/>
                <w:color w:val="000000"/>
                <w:highlight w:val="none"/>
              </w:rPr>
              <w:t>项目建设引起的水动力的改变仅发生在渔港周边，因此，项目建设对塘屿列岛海洋保护区及山岐澳中国鲎海洋保护区无影响。但若发生溢油事故，将会对保护区造成一定的影响，溢油风险分析详见</w:t>
            </w:r>
            <w:r>
              <w:rPr>
                <w:rFonts w:hint="default" w:ascii="Times New Roman" w:hAnsi="Times New Roman" w:cs="Times New Roman"/>
                <w:color w:val="000000"/>
                <w:highlight w:val="none"/>
                <w:lang w:val="en-US" w:eastAsia="zh-CN"/>
              </w:rPr>
              <w:t>本文</w:t>
            </w:r>
            <w:r>
              <w:rPr>
                <w:rFonts w:hint="eastAsia" w:cs="Times New Roman"/>
                <w:color w:val="000000"/>
                <w:highlight w:val="none"/>
                <w:lang w:val="en-US" w:eastAsia="zh-CN"/>
              </w:rPr>
              <w:t>章节4.7</w:t>
            </w:r>
            <w:r>
              <w:rPr>
                <w:rFonts w:hint="default" w:ascii="Times New Roman" w:hAnsi="Times New Roman" w:cs="Times New Roman"/>
                <w:color w:val="000000"/>
                <w:highlight w:val="none"/>
              </w:rPr>
              <w:t>。</w:t>
            </w:r>
          </w:p>
          <w:p w14:paraId="79AC2DC1">
            <w:pPr>
              <w:pStyle w:val="5"/>
              <w:bidi w:val="0"/>
              <w:rPr>
                <w:rFonts w:hint="default"/>
              </w:rPr>
            </w:pPr>
            <w:bookmarkStart w:id="376" w:name="_Toc21381"/>
            <w:r>
              <w:rPr>
                <w:rFonts w:hint="default"/>
              </w:rPr>
              <w:t>对国省控点海水水质的影响分析</w:t>
            </w:r>
            <w:bookmarkEnd w:id="376"/>
          </w:p>
          <w:p w14:paraId="28FDC976">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u w:val="none"/>
                <w:lang w:val="en-US" w:eastAsia="zh-CN"/>
              </w:rPr>
            </w:pPr>
            <w:r>
              <w:rPr>
                <w:rFonts w:hint="default" w:ascii="Times New Roman" w:hAnsi="Times New Roman" w:cs="Times New Roman"/>
                <w:color w:val="000000"/>
                <w:highlight w:val="none"/>
              </w:rPr>
              <w:t>本项目</w:t>
            </w:r>
            <w:r>
              <w:rPr>
                <w:rFonts w:hint="default" w:ascii="Times New Roman" w:hAnsi="Times New Roman" w:cs="Times New Roman"/>
                <w:color w:val="000000"/>
                <w:highlight w:val="none"/>
                <w:lang w:val="en-US" w:eastAsia="zh-CN"/>
              </w:rPr>
              <w:t>施工叠加悬浮物增量浓度</w:t>
            </w:r>
            <w:r>
              <w:rPr>
                <w:rFonts w:hint="default" w:ascii="Times New Roman" w:hAnsi="Times New Roman" w:cs="Times New Roman"/>
                <w:color w:val="000000"/>
                <w:highlight w:val="none"/>
              </w:rPr>
              <w:t>的影响范围所形成的最大运动半径，受涨落潮的影响，中心点距10mg/L等值线的</w:t>
            </w:r>
            <w:r>
              <w:rPr>
                <w:rFonts w:hint="default" w:ascii="Times New Roman" w:hAnsi="Times New Roman" w:cs="Times New Roman"/>
                <w:color w:val="000000"/>
                <w:kern w:val="2"/>
                <w:highlight w:val="none"/>
              </w:rPr>
              <w:t>距离</w:t>
            </w:r>
            <w:r>
              <w:rPr>
                <w:rFonts w:hint="default" w:ascii="Times New Roman" w:hAnsi="Times New Roman" w:cs="Times New Roman"/>
                <w:color w:val="000000"/>
                <w:kern w:val="2"/>
                <w:highlight w:val="none"/>
                <w:lang w:val="en-US" w:eastAsia="zh-CN"/>
              </w:rPr>
              <w:t>南北侧</w:t>
            </w:r>
            <w:r>
              <w:rPr>
                <w:rFonts w:hint="default" w:ascii="Times New Roman" w:hAnsi="Times New Roman" w:cs="Times New Roman"/>
                <w:color w:val="000000"/>
                <w:kern w:val="2"/>
                <w:highlight w:val="none"/>
              </w:rPr>
              <w:t>最远，最大运动半径</w:t>
            </w:r>
            <w:r>
              <w:rPr>
                <w:rFonts w:hint="default" w:ascii="Times New Roman" w:hAnsi="Times New Roman" w:cs="Times New Roman"/>
                <w:color w:val="000000"/>
                <w:kern w:val="2"/>
                <w:highlight w:val="none"/>
                <w:lang w:val="en-US" w:eastAsia="zh-CN"/>
              </w:rPr>
              <w:t>为1.4</w:t>
            </w:r>
            <w:r>
              <w:rPr>
                <w:rFonts w:hint="default" w:ascii="Times New Roman" w:hAnsi="Times New Roman" w:cs="Times New Roman"/>
                <w:color w:val="000000"/>
                <w:kern w:val="2"/>
                <w:highlight w:val="none"/>
              </w:rPr>
              <w:t>km</w:t>
            </w:r>
            <w:r>
              <w:rPr>
                <w:rFonts w:hint="default" w:ascii="Times New Roman" w:hAnsi="Times New Roman" w:cs="Times New Roman"/>
                <w:color w:val="000000"/>
                <w:kern w:val="2"/>
                <w:highlight w:val="none"/>
                <w:lang w:eastAsia="zh-CN"/>
              </w:rPr>
              <w:t>，</w:t>
            </w:r>
            <w:r>
              <w:rPr>
                <w:rFonts w:hint="default" w:ascii="Times New Roman" w:hAnsi="Times New Roman" w:cs="Times New Roman"/>
                <w:color w:val="000000"/>
                <w:szCs w:val="24"/>
                <w:highlight w:val="none"/>
              </w:rPr>
              <w:t>施工</w:t>
            </w:r>
            <w:r>
              <w:rPr>
                <w:rFonts w:hint="default" w:ascii="Times New Roman" w:hAnsi="Times New Roman" w:cs="Times New Roman"/>
                <w:color w:val="000000"/>
                <w:szCs w:val="24"/>
                <w:highlight w:val="none"/>
                <w:lang w:val="en-US" w:eastAsia="zh-CN"/>
              </w:rPr>
              <w:t>叠加</w:t>
            </w:r>
            <w:r>
              <w:rPr>
                <w:rFonts w:hint="default" w:ascii="Times New Roman" w:hAnsi="Times New Roman" w:cs="Times New Roman"/>
                <w:color w:val="000000"/>
                <w:highlight w:val="none"/>
              </w:rPr>
              <w:t>悬沙增量超过10mg/L水域最大影响面积为</w:t>
            </w:r>
            <w:r>
              <w:rPr>
                <w:rFonts w:hint="default" w:ascii="Times New Roman" w:hAnsi="Times New Roman" w:cs="Times New Roman"/>
                <w:color w:val="000000"/>
                <w:szCs w:val="24"/>
                <w:highlight w:val="none"/>
                <w:lang w:val="en-US" w:eastAsia="zh-CN"/>
              </w:rPr>
              <w:t>3.24</w:t>
            </w:r>
            <w:r>
              <w:rPr>
                <w:rFonts w:hint="default" w:ascii="Times New Roman" w:hAnsi="Times New Roman" w:cs="Times New Roman"/>
                <w:color w:val="000000"/>
                <w:szCs w:val="24"/>
                <w:highlight w:val="none"/>
              </w:rPr>
              <w:t>km</w:t>
            </w:r>
            <w:r>
              <w:rPr>
                <w:rFonts w:hint="default" w:ascii="Times New Roman" w:hAnsi="Times New Roman" w:cs="Times New Roman"/>
                <w:color w:val="000000"/>
                <w:szCs w:val="24"/>
                <w:highlight w:val="none"/>
                <w:vertAlign w:val="superscript"/>
              </w:rPr>
              <w:t>2</w:t>
            </w:r>
            <w:r>
              <w:rPr>
                <w:rFonts w:hint="default" w:ascii="Times New Roman" w:hAnsi="Times New Roman" w:cs="Times New Roman"/>
                <w:color w:val="000000"/>
                <w:kern w:val="2"/>
                <w:highlight w:val="none"/>
                <w:lang w:eastAsia="zh-CN"/>
              </w:rPr>
              <w:t>，</w:t>
            </w:r>
            <w:r>
              <w:rPr>
                <w:rFonts w:hint="default" w:ascii="Times New Roman" w:hAnsi="Times New Roman" w:cs="Times New Roman"/>
                <w:color w:val="000000"/>
                <w:highlight w:val="none"/>
              </w:rPr>
              <w:t>影响范围主要集中在项目施工用海区周边。</w:t>
            </w:r>
            <w:r>
              <w:rPr>
                <w:rFonts w:hint="default" w:ascii="Times New Roman" w:hAnsi="Times New Roman" w:cs="Times New Roman"/>
                <w:color w:val="000000"/>
                <w:highlight w:val="none"/>
                <w:lang w:val="en-US" w:eastAsia="zh-CN"/>
              </w:rPr>
              <w:t>本项目评价范围内涉及近岸海域国控点2个、近岸海域省控点2个，本项目与近岸海域监测点位最近距离为4.4km，</w:t>
            </w:r>
            <w:r>
              <w:rPr>
                <w:rFonts w:hint="default" w:ascii="Times New Roman" w:hAnsi="Times New Roman" w:cs="Times New Roman"/>
                <w:color w:val="000000"/>
                <w:highlight w:val="none"/>
              </w:rPr>
              <w:t>项目施工产生的悬浮泥沙不会对其产生影响</w:t>
            </w:r>
            <w:r>
              <w:rPr>
                <w:rFonts w:hint="default" w:ascii="Times New Roman" w:hAnsi="Times New Roman" w:cs="Times New Roman"/>
                <w:color w:val="000000"/>
                <w:highlight w:val="none"/>
                <w:lang w:eastAsia="zh-CN"/>
              </w:rPr>
              <w:t>。</w:t>
            </w:r>
            <w:bookmarkEnd w:id="273"/>
            <w:bookmarkEnd w:id="274"/>
          </w:p>
        </w:tc>
      </w:tr>
    </w:tbl>
    <w:p w14:paraId="1AFBAC1B">
      <w:pPr>
        <w:jc w:val="center"/>
        <w:rPr>
          <w:rFonts w:hint="default" w:ascii="Times New Roman" w:hAnsi="Times New Roman" w:eastAsia="黑体" w:cs="Times New Roman"/>
          <w:snapToGrid w:val="0"/>
          <w:color w:val="000000"/>
          <w:sz w:val="36"/>
          <w:szCs w:val="36"/>
          <w:u w:val="none"/>
        </w:rPr>
        <w:sectPr>
          <w:pgSz w:w="11906" w:h="16838"/>
          <w:pgMar w:top="1701" w:right="1531" w:bottom="1701" w:left="1531" w:header="851" w:footer="1077" w:gutter="0"/>
          <w:pgNumType w:fmt="decimal"/>
          <w:cols w:space="720" w:num="1"/>
          <w:docGrid w:linePitch="312" w:charSpace="0"/>
        </w:sectPr>
      </w:pPr>
    </w:p>
    <w:tbl>
      <w:tblPr>
        <w:tblStyle w:val="21"/>
        <w:tblW w:w="924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8" w:type="dxa"/>
          <w:left w:w="108" w:type="dxa"/>
          <w:bottom w:w="108" w:type="dxa"/>
          <w:right w:w="108" w:type="dxa"/>
        </w:tblCellMar>
      </w:tblPr>
      <w:tblGrid>
        <w:gridCol w:w="783"/>
        <w:gridCol w:w="8459"/>
      </w:tblGrid>
      <w:tr w14:paraId="0449DE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8" w:type="dxa"/>
            <w:left w:w="108" w:type="dxa"/>
            <w:bottom w:w="108" w:type="dxa"/>
            <w:right w:w="108" w:type="dxa"/>
          </w:tblCellMar>
        </w:tblPrEx>
        <w:trPr>
          <w:trHeight w:val="1618" w:hRule="atLeast"/>
          <w:jc w:val="center"/>
        </w:trPr>
        <w:tc>
          <w:tcPr>
            <w:tcW w:w="783" w:type="dxa"/>
            <w:noWrap w:val="0"/>
            <w:tcMar>
              <w:left w:w="28" w:type="dxa"/>
              <w:right w:w="28" w:type="dxa"/>
            </w:tcMar>
            <w:vAlign w:val="center"/>
          </w:tcPr>
          <w:p w14:paraId="00B668C7">
            <w:pPr>
              <w:adjustRightInd w:val="0"/>
              <w:snapToGrid w:val="0"/>
              <w:spacing w:before="0" w:beforeAutospacing="0" w:after="0" w:afterAutospacing="0" w:line="360" w:lineRule="auto"/>
              <w:jc w:val="center"/>
              <w:rPr>
                <w:rFonts w:hint="default" w:ascii="Times New Roman" w:hAnsi="Times New Roman" w:cs="Times New Roman"/>
                <w:bCs/>
                <w:color w:val="000000"/>
                <w:kern w:val="2"/>
                <w:sz w:val="24"/>
                <w:szCs w:val="24"/>
                <w:u w:val="none"/>
              </w:rPr>
            </w:pPr>
            <w:r>
              <w:rPr>
                <w:rFonts w:hint="default" w:ascii="Times New Roman" w:hAnsi="Times New Roman" w:cs="Times New Roman"/>
                <w:bCs/>
                <w:color w:val="000000"/>
                <w:spacing w:val="10"/>
                <w:kern w:val="2"/>
                <w:sz w:val="24"/>
                <w:szCs w:val="24"/>
                <w:u w:val="none"/>
              </w:rPr>
              <w:t>运营期生态环境影响分析</w:t>
            </w:r>
          </w:p>
        </w:tc>
        <w:tc>
          <w:tcPr>
            <w:tcW w:w="8459" w:type="dxa"/>
            <w:noWrap w:val="0"/>
            <w:vAlign w:val="top"/>
          </w:tcPr>
          <w:p w14:paraId="4CCFB12E">
            <w:pPr>
              <w:pStyle w:val="3"/>
              <w:bidi w:val="0"/>
              <w:ind w:left="567" w:leftChars="0" w:hanging="567" w:firstLineChars="0"/>
              <w:rPr>
                <w:rFonts w:hint="default"/>
              </w:rPr>
            </w:pPr>
            <w:bookmarkStart w:id="377" w:name="_Toc12102"/>
            <w:r>
              <w:rPr>
                <w:rFonts w:hint="eastAsia"/>
                <w:lang w:val="en-US" w:eastAsia="zh-CN"/>
              </w:rPr>
              <w:t>运营期</w:t>
            </w:r>
            <w:r>
              <w:rPr>
                <w:rFonts w:hint="default"/>
              </w:rPr>
              <w:t>工艺分析</w:t>
            </w:r>
            <w:bookmarkEnd w:id="377"/>
          </w:p>
          <w:p w14:paraId="75B1BC1A">
            <w:pPr>
              <w:ind w:firstLine="480" w:firstLineChars="20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本项目运营期产污环节主要为渔业泊位卸渔、渔港综合管理大楼和避灾安置房人员活动、污水处理站设施运行。港区仅提供渔船靠岸卸渔和物资补给，渔船不在港区加油和维修，渔货到港后即送出港，不在港区深加工和交易。</w:t>
            </w:r>
          </w:p>
          <w:p w14:paraId="2FC687A4">
            <w:pPr>
              <w:ind w:firstLine="480" w:firstLineChars="200"/>
              <w:rPr>
                <w:rFonts w:hint="default" w:ascii="Times New Roman" w:hAnsi="Times New Roman" w:cs="Times New Roman"/>
                <w:color w:val="000000"/>
                <w:highlight w:val="none"/>
              </w:rPr>
            </w:pPr>
            <w:r>
              <w:rPr>
                <w:rFonts w:hint="default" w:ascii="Times New Roman" w:hAnsi="Times New Roman" w:cs="Times New Roman"/>
                <w:color w:val="000000"/>
                <w:highlight w:val="none"/>
              </w:rPr>
              <w:t>本项目</w:t>
            </w:r>
            <w:r>
              <w:rPr>
                <w:rFonts w:hint="default" w:ascii="Times New Roman" w:hAnsi="Times New Roman" w:cs="Times New Roman"/>
                <w:color w:val="000000"/>
                <w:highlight w:val="none"/>
                <w:lang w:val="en-US" w:eastAsia="zh-CN"/>
              </w:rPr>
              <w:t>运营期</w:t>
            </w:r>
            <w:r>
              <w:rPr>
                <w:rFonts w:hint="default" w:ascii="Times New Roman" w:hAnsi="Times New Roman" w:cs="Times New Roman"/>
                <w:color w:val="000000"/>
                <w:highlight w:val="none"/>
              </w:rPr>
              <w:t>主要影响因素包括：港区冲洗废水、港区生活污水、初期雨水、到港船舶含油废水和船舶生活污水对海水水质、海洋生态环境的影响；船舶、车辆、机械燃油废气</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食堂油烟</w:t>
            </w:r>
            <w:r>
              <w:rPr>
                <w:rFonts w:hint="default" w:ascii="Times New Roman" w:hAnsi="Times New Roman" w:cs="Times New Roman"/>
                <w:color w:val="000000"/>
                <w:highlight w:val="none"/>
              </w:rPr>
              <w:t>以及水产品恶臭对大气环境的影响；装卸机械噪声、船舶噪声对声环境的影响；港区生活垃圾、生产垃圾以及船舶垃圾对周边环境的影响。本项目运营期的产物环节见</w:t>
            </w:r>
            <w:r>
              <w:rPr>
                <w:rFonts w:hint="default" w:ascii="Times New Roman" w:hAnsi="Times New Roman" w:cs="Times New Roman"/>
                <w:color w:val="000000"/>
                <w:highlight w:val="none"/>
                <w:lang w:eastAsia="zh-CN"/>
              </w:rPr>
              <w:fldChar w:fldCharType="begin"/>
            </w:r>
            <w:r>
              <w:rPr>
                <w:rFonts w:hint="default" w:ascii="Times New Roman" w:hAnsi="Times New Roman" w:cs="Times New Roman"/>
                <w:color w:val="000000"/>
                <w:highlight w:val="none"/>
                <w:lang w:eastAsia="zh-CN"/>
              </w:rPr>
              <w:instrText xml:space="preserve"> REF _Ref12741 \h </w:instrText>
            </w:r>
            <w:r>
              <w:rPr>
                <w:rFonts w:hint="default" w:ascii="Times New Roman" w:hAnsi="Times New Roman" w:cs="Times New Roman"/>
                <w:color w:val="000000"/>
                <w:highlight w:val="none"/>
                <w:lang w:eastAsia="zh-CN"/>
              </w:rPr>
              <w:fldChar w:fldCharType="separate"/>
            </w:r>
            <w:r>
              <w:rPr>
                <w:rFonts w:hint="default" w:ascii="Times New Roman" w:hAnsi="Times New Roman" w:cs="Times New Roman"/>
                <w:color w:val="000000"/>
                <w:highlight w:val="none"/>
              </w:rPr>
              <w:t>图</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4.4</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1</w:t>
            </w:r>
            <w:r>
              <w:rPr>
                <w:rFonts w:hint="default" w:ascii="Times New Roman" w:hAnsi="Times New Roman" w:cs="Times New Roman"/>
                <w:color w:val="000000"/>
                <w:highlight w:val="none"/>
                <w:lang w:eastAsia="zh-CN"/>
              </w:rPr>
              <w:fldChar w:fldCharType="end"/>
            </w:r>
            <w:r>
              <w:rPr>
                <w:rFonts w:hint="default" w:ascii="Times New Roman" w:hAnsi="Times New Roman" w:cs="Times New Roman"/>
                <w:color w:val="000000"/>
                <w:highlight w:val="none"/>
              </w:rPr>
              <w:t>。</w:t>
            </w:r>
          </w:p>
          <w:p w14:paraId="3313BF94">
            <w:pPr>
              <w:pStyle w:val="31"/>
              <w:bidi w:val="0"/>
              <w:rPr>
                <w:rFonts w:hint="default" w:ascii="Times New Roman" w:hAnsi="Times New Roman" w:eastAsia="宋体" w:cs="Times New Roman"/>
                <w:color w:val="000000"/>
                <w:highlight w:val="none"/>
                <w:lang w:eastAsia="zh-CN"/>
              </w:rPr>
            </w:pPr>
            <w:r>
              <w:rPr>
                <w:rFonts w:hint="default" w:ascii="Times New Roman" w:hAnsi="Times New Roman" w:eastAsia="宋体" w:cs="Times New Roman"/>
                <w:color w:val="000000"/>
                <w:highlight w:val="none"/>
                <w:lang w:eastAsia="zh-CN"/>
              </w:rPr>
              <w:drawing>
                <wp:inline distT="0" distB="0" distL="114300" distR="114300">
                  <wp:extent cx="5208905" cy="3383915"/>
                  <wp:effectExtent l="0" t="0" r="10795" b="6985"/>
                  <wp:docPr id="332" name="图片 106" descr="2运营期工艺流程图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106" descr="2运营期工艺流程图_01"/>
                          <pic:cNvPicPr>
                            <a:picLocks noChangeAspect="1"/>
                          </pic:cNvPicPr>
                        </pic:nvPicPr>
                        <pic:blipFill>
                          <a:blip r:embed="rId136"/>
                          <a:stretch>
                            <a:fillRect/>
                          </a:stretch>
                        </pic:blipFill>
                        <pic:spPr>
                          <a:xfrm>
                            <a:off x="0" y="0"/>
                            <a:ext cx="5208905" cy="3383915"/>
                          </a:xfrm>
                          <a:prstGeom prst="rect">
                            <a:avLst/>
                          </a:prstGeom>
                          <a:noFill/>
                          <a:ln>
                            <a:noFill/>
                          </a:ln>
                        </pic:spPr>
                      </pic:pic>
                    </a:graphicData>
                  </a:graphic>
                </wp:inline>
              </w:drawing>
            </w:r>
          </w:p>
          <w:p w14:paraId="5C209C62">
            <w:pPr>
              <w:pStyle w:val="30"/>
              <w:bidi w:val="0"/>
              <w:rPr>
                <w:rFonts w:hint="default" w:ascii="Times New Roman" w:hAnsi="Times New Roman" w:cs="Times New Roman"/>
                <w:color w:val="000000"/>
                <w:highlight w:val="none"/>
                <w:lang w:val="en-US" w:eastAsia="zh-CN"/>
              </w:rPr>
            </w:pPr>
            <w:bookmarkStart w:id="378" w:name="_Ref12741"/>
            <w:r>
              <w:rPr>
                <w:rFonts w:hint="default" w:ascii="Times New Roman" w:hAnsi="Times New Roman" w:cs="Times New Roman"/>
                <w:color w:val="000000"/>
                <w:highlight w:val="none"/>
              </w:rPr>
              <w:t>图</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4.4</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图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1</w:t>
            </w:r>
            <w:r>
              <w:rPr>
                <w:rFonts w:hint="default" w:ascii="Times New Roman" w:hAnsi="Times New Roman" w:cs="Times New Roman"/>
                <w:color w:val="000000"/>
                <w:highlight w:val="none"/>
              </w:rPr>
              <w:fldChar w:fldCharType="end"/>
            </w:r>
            <w:bookmarkEnd w:id="378"/>
            <w:r>
              <w:rPr>
                <w:rFonts w:hint="default" w:ascii="Times New Roman" w:hAnsi="Times New Roman" w:cs="Times New Roman"/>
                <w:color w:val="000000"/>
                <w:highlight w:val="none"/>
                <w:lang w:val="en-US" w:eastAsia="zh-CN"/>
              </w:rPr>
              <w:t xml:space="preserve"> 本项目运营期产污环节示意图</w:t>
            </w:r>
          </w:p>
          <w:p w14:paraId="33F8D2B8">
            <w:pPr>
              <w:pStyle w:val="3"/>
              <w:bidi w:val="0"/>
              <w:rPr>
                <w:rFonts w:hint="default"/>
              </w:rPr>
            </w:pPr>
            <w:bookmarkStart w:id="379" w:name="_Toc1336"/>
            <w:r>
              <w:rPr>
                <w:rFonts w:hint="eastAsia"/>
                <w:lang w:val="en-US" w:eastAsia="zh-CN"/>
              </w:rPr>
              <w:t>运营期</w:t>
            </w:r>
            <w:r>
              <w:rPr>
                <w:rFonts w:hint="default"/>
              </w:rPr>
              <w:t>主要污染源分析</w:t>
            </w:r>
            <w:bookmarkEnd w:id="379"/>
          </w:p>
          <w:p w14:paraId="4599FA58">
            <w:pPr>
              <w:pStyle w:val="4"/>
              <w:bidi w:val="0"/>
              <w:rPr>
                <w:rFonts w:hint="default"/>
              </w:rPr>
            </w:pPr>
            <w:r>
              <w:rPr>
                <w:rFonts w:hint="default"/>
                <w:lang w:val="en-US" w:eastAsia="zh-CN"/>
              </w:rPr>
              <w:t>运营期水污染源强分析</w:t>
            </w:r>
          </w:p>
          <w:p w14:paraId="02435080">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本项目运营期水污染源主要为到港船舶含油污水、船舶生活污水、港区冲洗废水、陆域人员生活污水、初期雨水。</w:t>
            </w:r>
          </w:p>
          <w:p w14:paraId="2E458EF0">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eastAsia="宋体" w:cs="Times New Roman"/>
                <w:b/>
                <w:bCs/>
                <w:color w:val="000000"/>
                <w:highlight w:val="none"/>
                <w:lang w:val="en-US" w:eastAsia="zh-CN"/>
              </w:rPr>
            </w:pP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1</w:t>
            </w: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到港船舶含油污水</w:t>
            </w:r>
          </w:p>
          <w:p w14:paraId="1B260CB8">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根据项目初设报告分析，项目建成后建设单位拟引入企业现有渔船50艘，考虑50%的渔船进港避风，则每日增加200HP~900HP渔船25艘；</w:t>
            </w:r>
            <w:r>
              <w:rPr>
                <w:rFonts w:hint="default" w:ascii="Times New Roman" w:hAnsi="Times New Roman" w:cs="Times New Roman"/>
                <w:color w:val="000000"/>
                <w:highlight w:val="none"/>
              </w:rPr>
              <w:t>同时随着一级渔港建成，后方配套陆域形成，必将吸引更多远洋渔业企业来港投资建设，结合港区水深条件及冷藏船发展情况，港区拟在600HP泊位处结构预留兼靠3000t冷藏船及10000t散货船</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则每日新增</w:t>
            </w:r>
            <w:r>
              <w:rPr>
                <w:rFonts w:hint="default" w:ascii="Times New Roman" w:hAnsi="Times New Roman" w:cs="Times New Roman"/>
                <w:color w:val="000000"/>
                <w:highlight w:val="none"/>
              </w:rPr>
              <w:t>3000t冷藏船及10000t散货船</w:t>
            </w:r>
            <w:r>
              <w:rPr>
                <w:rFonts w:hint="default" w:ascii="Times New Roman" w:hAnsi="Times New Roman" w:cs="Times New Roman"/>
                <w:color w:val="000000"/>
                <w:highlight w:val="none"/>
                <w:lang w:val="en-US" w:eastAsia="zh-CN"/>
              </w:rPr>
              <w:t>各1艘</w:t>
            </w:r>
            <w:r>
              <w:rPr>
                <w:rFonts w:hint="default" w:ascii="Times New Roman" w:hAnsi="Times New Roman" w:cs="Times New Roman"/>
                <w:color w:val="000000"/>
                <w:highlight w:val="none"/>
              </w:rPr>
              <w:t>。</w:t>
            </w:r>
          </w:p>
          <w:p w14:paraId="6272D1C2">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根据运营期船舶类型、数量，参照《水运工程环境保护设计规范》（JTS149-2018），采用内插法计算，项目运营后靠泊船舶含油污水产生量为7.11</w:t>
            </w:r>
            <w:r>
              <w:rPr>
                <w:rFonts w:hint="default" w:ascii="Times New Roman" w:hAnsi="Times New Roman" w:cs="Times New Roman"/>
                <w:color w:val="000000"/>
                <w:highlight w:val="none"/>
              </w:rPr>
              <w:t>m</w:t>
            </w:r>
            <w:r>
              <w:rPr>
                <w:rFonts w:hint="default" w:ascii="Times New Roman" w:hAnsi="Times New Roman" w:cs="Times New Roman"/>
                <w:color w:val="000000"/>
                <w:highlight w:val="none"/>
                <w:vertAlign w:val="superscript"/>
              </w:rPr>
              <w:t>3</w:t>
            </w:r>
            <w:r>
              <w:rPr>
                <w:rFonts w:hint="default" w:ascii="Times New Roman" w:hAnsi="Times New Roman" w:cs="Times New Roman"/>
                <w:color w:val="000000"/>
                <w:highlight w:val="none"/>
                <w:lang w:val="en-US" w:eastAsia="zh-CN"/>
              </w:rPr>
              <w:t>/d，详见</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REF _Ref25613 \h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4.5</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1</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val="en-US" w:eastAsia="zh-CN"/>
              </w:rPr>
              <w:t>。其主要污染物为石油类，其浓度取10000mg/L，石油类产生量为0.0711t/d。到港船舶含油污水</w:t>
            </w:r>
            <w:r>
              <w:rPr>
                <w:rFonts w:hint="default" w:ascii="Times New Roman" w:hAnsi="Times New Roman" w:cs="Times New Roman"/>
                <w:color w:val="000000"/>
                <w:highlight w:val="none"/>
              </w:rPr>
              <w:t>由海事部门认可的船舶污染物接收单位接收处理，</w:t>
            </w:r>
            <w:r>
              <w:rPr>
                <w:rFonts w:hint="default" w:ascii="Times New Roman" w:hAnsi="Times New Roman" w:cs="Times New Roman"/>
                <w:color w:val="000000"/>
                <w:highlight w:val="none"/>
                <w:lang w:val="en-US" w:eastAsia="zh-CN"/>
              </w:rPr>
              <w:t>不在港区排放</w:t>
            </w:r>
            <w:r>
              <w:rPr>
                <w:rFonts w:hint="default" w:ascii="Times New Roman" w:hAnsi="Times New Roman" w:cs="Times New Roman"/>
                <w:color w:val="000000"/>
                <w:highlight w:val="none"/>
              </w:rPr>
              <w:t>。</w:t>
            </w:r>
          </w:p>
          <w:p w14:paraId="2747A8AC">
            <w:pPr>
              <w:pStyle w:val="30"/>
              <w:bidi w:val="0"/>
              <w:rPr>
                <w:rFonts w:hint="default" w:ascii="Times New Roman" w:hAnsi="Times New Roman" w:cs="Times New Roman"/>
                <w:color w:val="000000"/>
                <w:highlight w:val="none"/>
              </w:rPr>
            </w:pPr>
            <w:bookmarkStart w:id="380" w:name="_Ref25613"/>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4.5</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表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1</w:t>
            </w:r>
            <w:r>
              <w:rPr>
                <w:rFonts w:hint="default" w:ascii="Times New Roman" w:hAnsi="Times New Roman" w:cs="Times New Roman"/>
                <w:color w:val="000000"/>
                <w:highlight w:val="none"/>
              </w:rPr>
              <w:fldChar w:fldCharType="end"/>
            </w:r>
            <w:bookmarkEnd w:id="380"/>
            <w:r>
              <w:rPr>
                <w:rFonts w:hint="default" w:ascii="Times New Roman" w:hAnsi="Times New Roman" w:cs="Times New Roman"/>
                <w:color w:val="000000"/>
                <w:highlight w:val="none"/>
                <w:lang w:val="en-US" w:eastAsia="zh-CN"/>
              </w:rPr>
              <w:t xml:space="preserve"> </w:t>
            </w:r>
            <w:r>
              <w:rPr>
                <w:rFonts w:hint="default" w:ascii="Times New Roman" w:hAnsi="Times New Roman" w:cs="Times New Roman"/>
                <w:color w:val="000000"/>
                <w:highlight w:val="none"/>
              </w:rPr>
              <w:t>运营期船舶含油污水产生量一览表</w:t>
            </w:r>
          </w:p>
          <w:tbl>
            <w:tblPr>
              <w:tblStyle w:val="21"/>
              <w:tblW w:w="503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2846"/>
              <w:gridCol w:w="1593"/>
              <w:gridCol w:w="2026"/>
              <w:gridCol w:w="1831"/>
            </w:tblGrid>
            <w:tr w14:paraId="3DE75C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blHeader/>
              </w:trPr>
              <w:tc>
                <w:tcPr>
                  <w:tcW w:w="1715" w:type="pct"/>
                  <w:noWrap w:val="0"/>
                  <w:vAlign w:val="center"/>
                </w:tcPr>
                <w:p w14:paraId="15D7DFA9">
                  <w:pPr>
                    <w:pStyle w:val="31"/>
                    <w:bidi w:val="0"/>
                    <w:jc w:val="center"/>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rPr>
                    <w:t>预测船型</w:t>
                  </w:r>
                </w:p>
              </w:tc>
              <w:tc>
                <w:tcPr>
                  <w:tcW w:w="960" w:type="pct"/>
                  <w:noWrap w:val="0"/>
                  <w:vAlign w:val="center"/>
                </w:tcPr>
                <w:p w14:paraId="0F50FCC6">
                  <w:pPr>
                    <w:pStyle w:val="31"/>
                    <w:bidi w:val="0"/>
                    <w:jc w:val="center"/>
                    <w:rPr>
                      <w:rFonts w:hint="default" w:ascii="Times New Roman" w:hAnsi="Times New Roman" w:eastAsia="宋体" w:cs="Times New Roman"/>
                      <w:b/>
                      <w:bCs/>
                      <w:color w:val="000000"/>
                      <w:highlight w:val="none"/>
                      <w:lang w:eastAsia="zh-CN"/>
                    </w:rPr>
                  </w:pPr>
                  <w:r>
                    <w:rPr>
                      <w:rFonts w:hint="default" w:ascii="Times New Roman" w:hAnsi="Times New Roman" w:cs="Times New Roman"/>
                      <w:b/>
                      <w:bCs/>
                      <w:color w:val="000000"/>
                      <w:highlight w:val="none"/>
                    </w:rPr>
                    <w:t>船舶数量</w:t>
                  </w: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艘</w:t>
                  </w:r>
                  <w:r>
                    <w:rPr>
                      <w:rFonts w:hint="default" w:ascii="Times New Roman" w:hAnsi="Times New Roman" w:cs="Times New Roman"/>
                      <w:b/>
                      <w:bCs/>
                      <w:color w:val="000000"/>
                      <w:highlight w:val="none"/>
                      <w:lang w:eastAsia="zh-CN"/>
                    </w:rPr>
                    <w:t>）</w:t>
                  </w:r>
                </w:p>
              </w:tc>
              <w:tc>
                <w:tcPr>
                  <w:tcW w:w="1221" w:type="pct"/>
                  <w:noWrap w:val="0"/>
                  <w:vAlign w:val="center"/>
                </w:tcPr>
                <w:p w14:paraId="75AE2679">
                  <w:pPr>
                    <w:pStyle w:val="31"/>
                    <w:bidi w:val="0"/>
                    <w:jc w:val="center"/>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rPr>
                    <w:t>含油污水产生量</w:t>
                  </w:r>
                </w:p>
                <w:p w14:paraId="17467938">
                  <w:pPr>
                    <w:pStyle w:val="31"/>
                    <w:bidi w:val="0"/>
                    <w:jc w:val="center"/>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rPr>
                    <w:t>m</w:t>
                  </w:r>
                  <w:r>
                    <w:rPr>
                      <w:rFonts w:hint="default" w:ascii="Times New Roman" w:hAnsi="Times New Roman" w:cs="Times New Roman"/>
                      <w:b/>
                      <w:bCs/>
                      <w:color w:val="000000"/>
                      <w:highlight w:val="none"/>
                      <w:vertAlign w:val="superscript"/>
                    </w:rPr>
                    <w:t>3</w:t>
                  </w:r>
                  <w:r>
                    <w:rPr>
                      <w:rFonts w:hint="default" w:ascii="Times New Roman" w:hAnsi="Times New Roman" w:cs="Times New Roman"/>
                      <w:b/>
                      <w:bCs/>
                      <w:color w:val="000000"/>
                      <w:highlight w:val="none"/>
                    </w:rPr>
                    <w:t>/d</w:t>
                  </w:r>
                  <w:r>
                    <w:rPr>
                      <w:rFonts w:hint="default" w:ascii="Times New Roman" w:hAnsi="Times New Roman" w:cs="Times New Roman"/>
                      <w:b/>
                      <w:bCs/>
                      <w:color w:val="000000"/>
                      <w:highlight w:val="none"/>
                      <w:lang w:val="en-US" w:eastAsia="zh-CN"/>
                    </w:rPr>
                    <w:t>·</w:t>
                  </w:r>
                  <w:r>
                    <w:rPr>
                      <w:rFonts w:hint="default" w:ascii="Times New Roman" w:hAnsi="Times New Roman" w:cs="Times New Roman"/>
                      <w:b/>
                      <w:bCs/>
                      <w:color w:val="000000"/>
                      <w:highlight w:val="none"/>
                    </w:rPr>
                    <w:t>艘</w:t>
                  </w:r>
                  <w:r>
                    <w:rPr>
                      <w:rFonts w:hint="default" w:ascii="Times New Roman" w:hAnsi="Times New Roman" w:cs="Times New Roman"/>
                      <w:b/>
                      <w:bCs/>
                      <w:color w:val="000000"/>
                      <w:highlight w:val="none"/>
                      <w:lang w:eastAsia="zh-CN"/>
                    </w:rPr>
                    <w:t>）</w:t>
                  </w:r>
                </w:p>
              </w:tc>
              <w:tc>
                <w:tcPr>
                  <w:tcW w:w="1103" w:type="pct"/>
                  <w:noWrap w:val="0"/>
                  <w:vAlign w:val="center"/>
                </w:tcPr>
                <w:p w14:paraId="1AB04C76">
                  <w:pPr>
                    <w:pStyle w:val="31"/>
                    <w:bidi w:val="0"/>
                    <w:jc w:val="center"/>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rPr>
                    <w:t>含油污水产生量</w:t>
                  </w:r>
                </w:p>
                <w:p w14:paraId="6F05AAFD">
                  <w:pPr>
                    <w:pStyle w:val="31"/>
                    <w:bidi w:val="0"/>
                    <w:jc w:val="center"/>
                    <w:rPr>
                      <w:rFonts w:hint="default" w:ascii="Times New Roman" w:hAnsi="Times New Roman" w:eastAsia="宋体" w:cs="Times New Roman"/>
                      <w:b/>
                      <w:bCs/>
                      <w:color w:val="000000"/>
                      <w:highlight w:val="none"/>
                      <w:lang w:eastAsia="zh-CN"/>
                    </w:rPr>
                  </w:pP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rPr>
                    <w:t>m</w:t>
                  </w:r>
                  <w:r>
                    <w:rPr>
                      <w:rFonts w:hint="default" w:ascii="Times New Roman" w:hAnsi="Times New Roman" w:cs="Times New Roman"/>
                      <w:b/>
                      <w:bCs/>
                      <w:color w:val="000000"/>
                      <w:highlight w:val="none"/>
                      <w:vertAlign w:val="superscript"/>
                    </w:rPr>
                    <w:t>3</w:t>
                  </w:r>
                  <w:r>
                    <w:rPr>
                      <w:rFonts w:hint="default" w:ascii="Times New Roman" w:hAnsi="Times New Roman" w:cs="Times New Roman"/>
                      <w:b/>
                      <w:bCs/>
                      <w:color w:val="000000"/>
                      <w:highlight w:val="none"/>
                    </w:rPr>
                    <w:t>/d</w:t>
                  </w:r>
                  <w:r>
                    <w:rPr>
                      <w:rFonts w:hint="default" w:ascii="Times New Roman" w:hAnsi="Times New Roman" w:cs="Times New Roman"/>
                      <w:b/>
                      <w:bCs/>
                      <w:color w:val="000000"/>
                      <w:highlight w:val="none"/>
                      <w:lang w:eastAsia="zh-CN"/>
                    </w:rPr>
                    <w:t>）</w:t>
                  </w:r>
                </w:p>
              </w:tc>
            </w:tr>
            <w:tr w14:paraId="6B23F2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715" w:type="pct"/>
                  <w:noWrap w:val="0"/>
                  <w:vAlign w:val="center"/>
                </w:tcPr>
                <w:p w14:paraId="06D440B5">
                  <w:pPr>
                    <w:pStyle w:val="31"/>
                    <w:bidi w:val="0"/>
                    <w:jc w:val="center"/>
                    <w:rPr>
                      <w:rFonts w:hint="default" w:ascii="Times New Roman" w:hAnsi="Times New Roman" w:cs="Times New Roman"/>
                      <w:color w:val="000000"/>
                      <w:highlight w:val="none"/>
                    </w:rPr>
                  </w:pPr>
                  <w:r>
                    <w:rPr>
                      <w:rFonts w:hint="default" w:ascii="Times New Roman" w:hAnsi="Times New Roman" w:cs="Times New Roman"/>
                      <w:color w:val="000000"/>
                      <w:highlight w:val="none"/>
                    </w:rPr>
                    <w:t>200HP~900HP渔船</w:t>
                  </w:r>
                </w:p>
              </w:tc>
              <w:tc>
                <w:tcPr>
                  <w:tcW w:w="960" w:type="pct"/>
                  <w:noWrap w:val="0"/>
                  <w:vAlign w:val="center"/>
                </w:tcPr>
                <w:p w14:paraId="1A531AB5">
                  <w:pPr>
                    <w:pStyle w:val="31"/>
                    <w:bidi w:val="0"/>
                    <w:jc w:val="center"/>
                    <w:rPr>
                      <w:rFonts w:hint="default" w:ascii="Times New Roman" w:hAnsi="Times New Roman" w:cs="Times New Roman"/>
                      <w:color w:val="000000"/>
                      <w:highlight w:val="none"/>
                    </w:rPr>
                  </w:pPr>
                  <w:r>
                    <w:rPr>
                      <w:rFonts w:hint="default" w:ascii="Times New Roman" w:hAnsi="Times New Roman" w:cs="Times New Roman"/>
                      <w:color w:val="000000"/>
                      <w:highlight w:val="none"/>
                    </w:rPr>
                    <w:t>25</w:t>
                  </w:r>
                </w:p>
              </w:tc>
              <w:tc>
                <w:tcPr>
                  <w:tcW w:w="1221" w:type="pct"/>
                  <w:noWrap w:val="0"/>
                  <w:vAlign w:val="center"/>
                </w:tcPr>
                <w:p w14:paraId="6E1FF8B3">
                  <w:pPr>
                    <w:pStyle w:val="31"/>
                    <w:bidi w:val="0"/>
                    <w:jc w:val="center"/>
                    <w:rPr>
                      <w:rFonts w:hint="default" w:ascii="Times New Roman" w:hAnsi="Times New Roman" w:cs="Times New Roman"/>
                      <w:color w:val="000000"/>
                      <w:highlight w:val="none"/>
                    </w:rPr>
                  </w:pPr>
                  <w:r>
                    <w:rPr>
                      <w:rFonts w:hint="default" w:ascii="Times New Roman" w:hAnsi="Times New Roman" w:cs="Times New Roman"/>
                      <w:color w:val="000000"/>
                      <w:highlight w:val="none"/>
                    </w:rPr>
                    <w:t>0.14</w:t>
                  </w:r>
                </w:p>
              </w:tc>
              <w:tc>
                <w:tcPr>
                  <w:tcW w:w="1103" w:type="pct"/>
                  <w:noWrap w:val="0"/>
                  <w:vAlign w:val="center"/>
                </w:tcPr>
                <w:p w14:paraId="18CD3143">
                  <w:pPr>
                    <w:pStyle w:val="31"/>
                    <w:bidi w:val="0"/>
                    <w:jc w:val="center"/>
                    <w:rPr>
                      <w:rFonts w:hint="default" w:ascii="Times New Roman" w:hAnsi="Times New Roman" w:cs="Times New Roman"/>
                      <w:color w:val="000000"/>
                      <w:highlight w:val="none"/>
                    </w:rPr>
                  </w:pPr>
                  <w:r>
                    <w:rPr>
                      <w:rFonts w:hint="default" w:ascii="Times New Roman" w:hAnsi="Times New Roman" w:cs="Times New Roman"/>
                      <w:color w:val="000000"/>
                      <w:highlight w:val="none"/>
                    </w:rPr>
                    <w:t>3.5</w:t>
                  </w:r>
                </w:p>
              </w:tc>
            </w:tr>
            <w:tr w14:paraId="776C0E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715" w:type="pct"/>
                  <w:noWrap w:val="0"/>
                  <w:vAlign w:val="center"/>
                </w:tcPr>
                <w:p w14:paraId="4814EB08">
                  <w:pPr>
                    <w:pStyle w:val="31"/>
                    <w:bidi w:val="0"/>
                    <w:jc w:val="center"/>
                    <w:rPr>
                      <w:rFonts w:hint="default" w:ascii="Times New Roman" w:hAnsi="Times New Roman" w:cs="Times New Roman"/>
                      <w:color w:val="000000"/>
                      <w:highlight w:val="none"/>
                    </w:rPr>
                  </w:pPr>
                  <w:r>
                    <w:rPr>
                      <w:rFonts w:hint="default" w:ascii="Times New Roman" w:hAnsi="Times New Roman" w:cs="Times New Roman"/>
                      <w:color w:val="000000"/>
                      <w:highlight w:val="none"/>
                    </w:rPr>
                    <w:t>3000t冷藏船</w:t>
                  </w:r>
                </w:p>
              </w:tc>
              <w:tc>
                <w:tcPr>
                  <w:tcW w:w="960" w:type="pct"/>
                  <w:noWrap w:val="0"/>
                  <w:vAlign w:val="center"/>
                </w:tcPr>
                <w:p w14:paraId="22DB9EE4">
                  <w:pPr>
                    <w:pStyle w:val="31"/>
                    <w:bidi w:val="0"/>
                    <w:jc w:val="center"/>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1</w:t>
                  </w:r>
                </w:p>
              </w:tc>
              <w:tc>
                <w:tcPr>
                  <w:tcW w:w="1221" w:type="pct"/>
                  <w:noWrap w:val="0"/>
                  <w:vAlign w:val="center"/>
                </w:tcPr>
                <w:p w14:paraId="7661943E">
                  <w:pPr>
                    <w:pStyle w:val="31"/>
                    <w:bidi w:val="0"/>
                    <w:jc w:val="center"/>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0.81</w:t>
                  </w:r>
                </w:p>
              </w:tc>
              <w:tc>
                <w:tcPr>
                  <w:tcW w:w="2009" w:type="dxa"/>
                  <w:noWrap w:val="0"/>
                  <w:vAlign w:val="center"/>
                </w:tcPr>
                <w:p w14:paraId="53A5D422">
                  <w:pPr>
                    <w:pStyle w:val="31"/>
                    <w:bidi w:val="0"/>
                    <w:ind w:firstLine="0" w:firstLineChars="0"/>
                    <w:jc w:val="center"/>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0.81</w:t>
                  </w:r>
                </w:p>
              </w:tc>
            </w:tr>
            <w:tr w14:paraId="1C4D99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715" w:type="pct"/>
                  <w:noWrap w:val="0"/>
                  <w:vAlign w:val="center"/>
                </w:tcPr>
                <w:p w14:paraId="76EC71F6">
                  <w:pPr>
                    <w:pStyle w:val="31"/>
                    <w:bidi w:val="0"/>
                    <w:jc w:val="center"/>
                    <w:rPr>
                      <w:rFonts w:hint="default" w:ascii="Times New Roman" w:hAnsi="Times New Roman" w:cs="Times New Roman"/>
                      <w:color w:val="000000"/>
                      <w:highlight w:val="none"/>
                    </w:rPr>
                  </w:pPr>
                  <w:r>
                    <w:rPr>
                      <w:rFonts w:hint="default" w:ascii="Times New Roman" w:hAnsi="Times New Roman" w:cs="Times New Roman"/>
                      <w:color w:val="000000"/>
                      <w:highlight w:val="none"/>
                    </w:rPr>
                    <w:t>10000t散货船</w:t>
                  </w:r>
                </w:p>
              </w:tc>
              <w:tc>
                <w:tcPr>
                  <w:tcW w:w="960" w:type="pct"/>
                  <w:noWrap w:val="0"/>
                  <w:vAlign w:val="center"/>
                </w:tcPr>
                <w:p w14:paraId="1B357BEE">
                  <w:pPr>
                    <w:pStyle w:val="31"/>
                    <w:bidi w:val="0"/>
                    <w:jc w:val="center"/>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1</w:t>
                  </w:r>
                </w:p>
              </w:tc>
              <w:tc>
                <w:tcPr>
                  <w:tcW w:w="1221" w:type="pct"/>
                  <w:noWrap w:val="0"/>
                  <w:vAlign w:val="center"/>
                </w:tcPr>
                <w:p w14:paraId="3B86309F">
                  <w:pPr>
                    <w:pStyle w:val="31"/>
                    <w:bidi w:val="0"/>
                    <w:jc w:val="center"/>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2.8</w:t>
                  </w:r>
                </w:p>
              </w:tc>
              <w:tc>
                <w:tcPr>
                  <w:tcW w:w="2009" w:type="dxa"/>
                  <w:noWrap w:val="0"/>
                  <w:vAlign w:val="center"/>
                </w:tcPr>
                <w:p w14:paraId="01DB7AA5">
                  <w:pPr>
                    <w:pStyle w:val="31"/>
                    <w:bidi w:val="0"/>
                    <w:ind w:firstLine="0" w:firstLineChars="0"/>
                    <w:jc w:val="center"/>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2.8</w:t>
                  </w:r>
                </w:p>
              </w:tc>
            </w:tr>
            <w:tr w14:paraId="12349E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715" w:type="pct"/>
                  <w:noWrap w:val="0"/>
                  <w:vAlign w:val="center"/>
                </w:tcPr>
                <w:p w14:paraId="171F8625">
                  <w:pPr>
                    <w:pStyle w:val="31"/>
                    <w:bidi w:val="0"/>
                    <w:jc w:val="center"/>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合计</w:t>
                  </w:r>
                </w:p>
              </w:tc>
              <w:tc>
                <w:tcPr>
                  <w:tcW w:w="960" w:type="pct"/>
                  <w:noWrap w:val="0"/>
                  <w:vAlign w:val="center"/>
                </w:tcPr>
                <w:p w14:paraId="05CF5A73">
                  <w:pPr>
                    <w:pStyle w:val="31"/>
                    <w:bidi w:val="0"/>
                    <w:jc w:val="center"/>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27</w:t>
                  </w:r>
                </w:p>
              </w:tc>
              <w:tc>
                <w:tcPr>
                  <w:tcW w:w="1221" w:type="pct"/>
                  <w:noWrap w:val="0"/>
                  <w:vAlign w:val="center"/>
                </w:tcPr>
                <w:p w14:paraId="1FF45AAC">
                  <w:pPr>
                    <w:pStyle w:val="31"/>
                    <w:bidi w:val="0"/>
                    <w:jc w:val="center"/>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w:t>
                  </w:r>
                </w:p>
              </w:tc>
              <w:tc>
                <w:tcPr>
                  <w:tcW w:w="1103" w:type="pct"/>
                  <w:noWrap w:val="0"/>
                  <w:vAlign w:val="center"/>
                </w:tcPr>
                <w:p w14:paraId="31989F4A">
                  <w:pPr>
                    <w:pStyle w:val="31"/>
                    <w:bidi w:val="0"/>
                    <w:jc w:val="center"/>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7.11</w:t>
                  </w:r>
                </w:p>
              </w:tc>
            </w:tr>
          </w:tbl>
          <w:p w14:paraId="2B11B3F6">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eastAsia="宋体" w:cs="Times New Roman"/>
                <w:b/>
                <w:bCs/>
                <w:color w:val="000000"/>
                <w:highlight w:val="none"/>
                <w:lang w:val="en-US" w:eastAsia="zh-CN"/>
              </w:rPr>
            </w:pP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2</w:t>
            </w: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船舶生活污水</w:t>
            </w:r>
          </w:p>
          <w:p w14:paraId="48BF1EF5">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根据运营期船舶类型、数量</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人数</w:t>
            </w:r>
            <w:r>
              <w:rPr>
                <w:rFonts w:hint="default" w:ascii="Times New Roman" w:hAnsi="Times New Roman" w:cs="Times New Roman"/>
                <w:color w:val="000000"/>
                <w:highlight w:val="none"/>
              </w:rPr>
              <w:t>，计算项目运营后靠泊</w:t>
            </w:r>
            <w:r>
              <w:rPr>
                <w:rFonts w:hint="default" w:ascii="Times New Roman" w:hAnsi="Times New Roman" w:cs="Times New Roman"/>
                <w:color w:val="000000"/>
                <w:highlight w:val="none"/>
                <w:lang w:val="en-US" w:eastAsia="zh-CN"/>
              </w:rPr>
              <w:t>渔船</w:t>
            </w:r>
            <w:r>
              <w:rPr>
                <w:rFonts w:hint="default" w:ascii="Times New Roman" w:hAnsi="Times New Roman" w:cs="Times New Roman"/>
                <w:color w:val="000000"/>
                <w:highlight w:val="none"/>
              </w:rPr>
              <w:t>生活污水产生量</w:t>
            </w:r>
            <w:r>
              <w:rPr>
                <w:rFonts w:hint="default" w:ascii="Times New Roman" w:hAnsi="Times New Roman" w:cs="Times New Roman"/>
                <w:color w:val="000000"/>
                <w:highlight w:val="none"/>
                <w:lang w:val="en-US" w:eastAsia="zh-CN"/>
              </w:rPr>
              <w:t>为13.6</w:t>
            </w:r>
            <w:r>
              <w:rPr>
                <w:rFonts w:hint="default" w:ascii="Times New Roman" w:hAnsi="Times New Roman" w:cs="Times New Roman"/>
                <w:color w:val="000000"/>
                <w:highlight w:val="none"/>
              </w:rPr>
              <w:t>m</w:t>
            </w:r>
            <w:r>
              <w:rPr>
                <w:rFonts w:hint="default" w:ascii="Times New Roman" w:hAnsi="Times New Roman" w:cs="Times New Roman"/>
                <w:color w:val="000000"/>
                <w:highlight w:val="none"/>
                <w:vertAlign w:val="superscript"/>
              </w:rPr>
              <w:t>3</w:t>
            </w:r>
            <w:r>
              <w:rPr>
                <w:rFonts w:hint="default" w:ascii="Times New Roman" w:hAnsi="Times New Roman" w:cs="Times New Roman"/>
                <w:color w:val="000000"/>
                <w:highlight w:val="none"/>
                <w:lang w:val="en-US" w:eastAsia="zh-CN"/>
              </w:rPr>
              <w:t>/d</w:t>
            </w:r>
            <w:r>
              <w:rPr>
                <w:rFonts w:hint="default" w:ascii="Times New Roman" w:hAnsi="Times New Roman" w:cs="Times New Roman"/>
                <w:color w:val="000000"/>
                <w:highlight w:val="none"/>
              </w:rPr>
              <w:t>，详见</w:t>
            </w:r>
            <w:r>
              <w:rPr>
                <w:rFonts w:hint="default" w:ascii="Times New Roman" w:hAnsi="Times New Roman" w:cs="Times New Roman"/>
                <w:color w:val="000000"/>
                <w:highlight w:val="none"/>
                <w:lang w:eastAsia="zh-CN"/>
              </w:rPr>
              <w:fldChar w:fldCharType="begin"/>
            </w:r>
            <w:r>
              <w:rPr>
                <w:rFonts w:hint="default" w:ascii="Times New Roman" w:hAnsi="Times New Roman" w:cs="Times New Roman"/>
                <w:color w:val="000000"/>
                <w:highlight w:val="none"/>
                <w:lang w:eastAsia="zh-CN"/>
              </w:rPr>
              <w:instrText xml:space="preserve"> REF _Ref26273 \h </w:instrText>
            </w:r>
            <w:r>
              <w:rPr>
                <w:rFonts w:hint="default" w:ascii="Times New Roman" w:hAnsi="Times New Roman" w:cs="Times New Roman"/>
                <w:color w:val="000000"/>
                <w:highlight w:val="none"/>
                <w:lang w:eastAsia="zh-CN"/>
              </w:rPr>
              <w:fldChar w:fldCharType="separate"/>
            </w:r>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4.5</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2</w:t>
            </w:r>
            <w:r>
              <w:rPr>
                <w:rFonts w:hint="default" w:ascii="Times New Roman" w:hAnsi="Times New Roman" w:cs="Times New Roman"/>
                <w:color w:val="000000"/>
                <w:highlight w:val="none"/>
                <w:lang w:eastAsia="zh-CN"/>
              </w:rPr>
              <w:fldChar w:fldCharType="end"/>
            </w:r>
            <w:r>
              <w:rPr>
                <w:rFonts w:hint="default" w:ascii="Times New Roman" w:hAnsi="Times New Roman" w:cs="Times New Roman"/>
                <w:color w:val="000000"/>
                <w:highlight w:val="none"/>
              </w:rPr>
              <w:t>。</w:t>
            </w:r>
            <w:r>
              <w:rPr>
                <w:rFonts w:hint="default" w:ascii="Times New Roman" w:hAnsi="Times New Roman" w:cs="Times New Roman"/>
                <w:color w:val="000000"/>
                <w:highlight w:val="none"/>
                <w:lang w:val="en-US" w:eastAsia="zh-CN"/>
              </w:rPr>
              <w:t>到港船舶生活污水</w:t>
            </w:r>
            <w:r>
              <w:rPr>
                <w:rFonts w:hint="default" w:ascii="Times New Roman" w:hAnsi="Times New Roman" w:cs="Times New Roman"/>
                <w:color w:val="000000"/>
                <w:highlight w:val="none"/>
              </w:rPr>
              <w:t>由海事部门认可的船舶污染物接收单位接收处理，</w:t>
            </w:r>
            <w:r>
              <w:rPr>
                <w:rFonts w:hint="default" w:ascii="Times New Roman" w:hAnsi="Times New Roman" w:cs="Times New Roman"/>
                <w:color w:val="000000"/>
                <w:highlight w:val="none"/>
                <w:lang w:val="en-US" w:eastAsia="zh-CN"/>
              </w:rPr>
              <w:t>不在港区排放</w:t>
            </w:r>
            <w:r>
              <w:rPr>
                <w:rFonts w:hint="default" w:ascii="Times New Roman" w:hAnsi="Times New Roman" w:cs="Times New Roman"/>
                <w:color w:val="000000"/>
                <w:highlight w:val="none"/>
              </w:rPr>
              <w:t>。</w:t>
            </w:r>
          </w:p>
          <w:p w14:paraId="7FCBEC5F">
            <w:pPr>
              <w:pStyle w:val="30"/>
              <w:bidi w:val="0"/>
              <w:rPr>
                <w:rFonts w:hint="default" w:ascii="Times New Roman" w:hAnsi="Times New Roman" w:cs="Times New Roman"/>
                <w:color w:val="000000"/>
                <w:highlight w:val="none"/>
              </w:rPr>
            </w:pPr>
            <w:bookmarkStart w:id="381" w:name="_Ref26273"/>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4.5</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表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2</w:t>
            </w:r>
            <w:r>
              <w:rPr>
                <w:rFonts w:hint="default" w:ascii="Times New Roman" w:hAnsi="Times New Roman" w:cs="Times New Roman"/>
                <w:color w:val="000000"/>
                <w:highlight w:val="none"/>
              </w:rPr>
              <w:fldChar w:fldCharType="end"/>
            </w:r>
            <w:bookmarkEnd w:id="381"/>
            <w:r>
              <w:rPr>
                <w:rFonts w:hint="default" w:ascii="Times New Roman" w:hAnsi="Times New Roman" w:cs="Times New Roman"/>
                <w:color w:val="000000"/>
                <w:highlight w:val="none"/>
                <w:lang w:val="en-US" w:eastAsia="zh-CN"/>
              </w:rPr>
              <w:t xml:space="preserve"> </w:t>
            </w:r>
            <w:r>
              <w:rPr>
                <w:rFonts w:hint="default" w:ascii="Times New Roman" w:hAnsi="Times New Roman" w:cs="Times New Roman"/>
                <w:color w:val="000000"/>
                <w:highlight w:val="none"/>
              </w:rPr>
              <w:t>运营期船舶生活污水产生量一览表</w:t>
            </w:r>
          </w:p>
          <w:tbl>
            <w:tblPr>
              <w:tblStyle w:val="21"/>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2380"/>
              <w:gridCol w:w="1377"/>
              <w:gridCol w:w="1061"/>
              <w:gridCol w:w="1220"/>
              <w:gridCol w:w="1120"/>
              <w:gridCol w:w="1072"/>
            </w:tblGrid>
            <w:tr w14:paraId="2948D4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blHeader/>
              </w:trPr>
              <w:tc>
                <w:tcPr>
                  <w:tcW w:w="1445" w:type="pct"/>
                  <w:noWrap w:val="0"/>
                  <w:vAlign w:val="center"/>
                </w:tcPr>
                <w:p w14:paraId="48517B1B">
                  <w:pPr>
                    <w:pStyle w:val="31"/>
                    <w:bidi w:val="0"/>
                    <w:jc w:val="center"/>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rPr>
                    <w:t>预测船型</w:t>
                  </w:r>
                </w:p>
              </w:tc>
              <w:tc>
                <w:tcPr>
                  <w:tcW w:w="836" w:type="pct"/>
                  <w:noWrap w:val="0"/>
                  <w:vAlign w:val="center"/>
                </w:tcPr>
                <w:p w14:paraId="76F2218E">
                  <w:pPr>
                    <w:pStyle w:val="31"/>
                    <w:bidi w:val="0"/>
                    <w:jc w:val="center"/>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rPr>
                    <w:t>船舶数量</w:t>
                  </w: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艘</w:t>
                  </w:r>
                  <w:r>
                    <w:rPr>
                      <w:rFonts w:hint="default" w:ascii="Times New Roman" w:hAnsi="Times New Roman" w:cs="Times New Roman"/>
                      <w:b/>
                      <w:bCs/>
                      <w:color w:val="000000"/>
                      <w:highlight w:val="none"/>
                      <w:lang w:eastAsia="zh-CN"/>
                    </w:rPr>
                    <w:t>）</w:t>
                  </w:r>
                </w:p>
              </w:tc>
              <w:tc>
                <w:tcPr>
                  <w:tcW w:w="644" w:type="pct"/>
                  <w:noWrap w:val="0"/>
                  <w:vAlign w:val="center"/>
                </w:tcPr>
                <w:p w14:paraId="3734D7EB">
                  <w:pPr>
                    <w:pStyle w:val="31"/>
                    <w:bidi w:val="0"/>
                    <w:jc w:val="center"/>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rPr>
                    <w:t>人数（人/艘）</w:t>
                  </w:r>
                </w:p>
              </w:tc>
              <w:tc>
                <w:tcPr>
                  <w:tcW w:w="741" w:type="pct"/>
                  <w:noWrap w:val="0"/>
                  <w:vAlign w:val="center"/>
                </w:tcPr>
                <w:p w14:paraId="40D521F8">
                  <w:pPr>
                    <w:pStyle w:val="31"/>
                    <w:bidi w:val="0"/>
                    <w:jc w:val="center"/>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rPr>
                    <w:t>人均用水量</w:t>
                  </w:r>
                </w:p>
                <w:p w14:paraId="0D0AD9D7">
                  <w:pPr>
                    <w:pStyle w:val="31"/>
                    <w:bidi w:val="0"/>
                    <w:jc w:val="center"/>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rPr>
                    <w:t>（L/人</w:t>
                  </w:r>
                  <w:r>
                    <w:rPr>
                      <w:rFonts w:hint="default" w:ascii="Times New Roman" w:hAnsi="Times New Roman" w:cs="Times New Roman"/>
                      <w:b/>
                      <w:bCs/>
                      <w:color w:val="000000"/>
                      <w:highlight w:val="none"/>
                      <w:lang w:val="en-US" w:eastAsia="zh-CN"/>
                    </w:rPr>
                    <w:t>·</w:t>
                  </w:r>
                  <w:r>
                    <w:rPr>
                      <w:rFonts w:hint="default" w:ascii="Times New Roman" w:hAnsi="Times New Roman" w:cs="Times New Roman"/>
                      <w:b/>
                      <w:bCs/>
                      <w:color w:val="000000"/>
                      <w:highlight w:val="none"/>
                    </w:rPr>
                    <w:t>d）</w:t>
                  </w:r>
                </w:p>
              </w:tc>
              <w:tc>
                <w:tcPr>
                  <w:tcW w:w="680" w:type="pct"/>
                  <w:noWrap w:val="0"/>
                  <w:vAlign w:val="center"/>
                </w:tcPr>
                <w:p w14:paraId="7EF29079">
                  <w:pPr>
                    <w:pStyle w:val="31"/>
                    <w:bidi w:val="0"/>
                    <w:jc w:val="center"/>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rPr>
                    <w:t>人均污水量</w:t>
                  </w:r>
                </w:p>
                <w:p w14:paraId="5222F2A3">
                  <w:pPr>
                    <w:pStyle w:val="31"/>
                    <w:bidi w:val="0"/>
                    <w:jc w:val="center"/>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rPr>
                    <w:t>（L/人</w:t>
                  </w:r>
                  <w:r>
                    <w:rPr>
                      <w:rFonts w:hint="default" w:ascii="Times New Roman" w:hAnsi="Times New Roman" w:cs="Times New Roman"/>
                      <w:b/>
                      <w:bCs/>
                      <w:color w:val="000000"/>
                      <w:highlight w:val="none"/>
                      <w:lang w:val="en-US" w:eastAsia="zh-CN"/>
                    </w:rPr>
                    <w:t>·</w:t>
                  </w:r>
                  <w:r>
                    <w:rPr>
                      <w:rFonts w:hint="default" w:ascii="Times New Roman" w:hAnsi="Times New Roman" w:cs="Times New Roman"/>
                      <w:b/>
                      <w:bCs/>
                      <w:color w:val="000000"/>
                      <w:highlight w:val="none"/>
                    </w:rPr>
                    <w:t>d）</w:t>
                  </w:r>
                </w:p>
              </w:tc>
              <w:tc>
                <w:tcPr>
                  <w:tcW w:w="651" w:type="pct"/>
                  <w:noWrap w:val="0"/>
                  <w:vAlign w:val="center"/>
                </w:tcPr>
                <w:p w14:paraId="62516F6C">
                  <w:pPr>
                    <w:pStyle w:val="31"/>
                    <w:bidi w:val="0"/>
                    <w:jc w:val="center"/>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rPr>
                    <w:t>污水总量</w:t>
                  </w:r>
                </w:p>
                <w:p w14:paraId="660F7E03">
                  <w:pPr>
                    <w:pStyle w:val="31"/>
                    <w:bidi w:val="0"/>
                    <w:jc w:val="center"/>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rPr>
                    <w:t>（m</w:t>
                  </w:r>
                  <w:r>
                    <w:rPr>
                      <w:rFonts w:hint="default" w:ascii="Times New Roman" w:hAnsi="Times New Roman" w:cs="Times New Roman"/>
                      <w:b/>
                      <w:bCs/>
                      <w:color w:val="000000"/>
                      <w:highlight w:val="none"/>
                      <w:vertAlign w:val="superscript"/>
                    </w:rPr>
                    <w:t>3</w:t>
                  </w:r>
                  <w:r>
                    <w:rPr>
                      <w:rFonts w:hint="default" w:ascii="Times New Roman" w:hAnsi="Times New Roman" w:cs="Times New Roman"/>
                      <w:b/>
                      <w:bCs/>
                      <w:color w:val="000000"/>
                      <w:highlight w:val="none"/>
                    </w:rPr>
                    <w:t>/d）</w:t>
                  </w:r>
                </w:p>
              </w:tc>
            </w:tr>
            <w:tr w14:paraId="625DF4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612" w:type="dxa"/>
                  <w:noWrap w:val="0"/>
                  <w:vAlign w:val="center"/>
                </w:tcPr>
                <w:p w14:paraId="4B595653">
                  <w:pPr>
                    <w:pStyle w:val="31"/>
                    <w:bidi w:val="0"/>
                    <w:ind w:firstLine="0" w:firstLineChars="0"/>
                    <w:jc w:val="center"/>
                    <w:rPr>
                      <w:rFonts w:hint="default" w:ascii="Times New Roman" w:hAnsi="Times New Roman" w:cs="Times New Roman"/>
                      <w:color w:val="000000"/>
                      <w:highlight w:val="none"/>
                    </w:rPr>
                  </w:pPr>
                  <w:r>
                    <w:rPr>
                      <w:rFonts w:hint="default" w:ascii="Times New Roman" w:hAnsi="Times New Roman" w:cs="Times New Roman"/>
                      <w:color w:val="000000"/>
                      <w:highlight w:val="none"/>
                    </w:rPr>
                    <w:t>200HP~900HP渔船</w:t>
                  </w:r>
                </w:p>
              </w:tc>
              <w:tc>
                <w:tcPr>
                  <w:tcW w:w="1511" w:type="dxa"/>
                  <w:noWrap w:val="0"/>
                  <w:vAlign w:val="center"/>
                </w:tcPr>
                <w:p w14:paraId="696EE536">
                  <w:pPr>
                    <w:pStyle w:val="31"/>
                    <w:bidi w:val="0"/>
                    <w:ind w:firstLine="0" w:firstLineChars="0"/>
                    <w:jc w:val="center"/>
                    <w:rPr>
                      <w:rFonts w:hint="default" w:ascii="Times New Roman" w:hAnsi="Times New Roman" w:cs="Times New Roman"/>
                      <w:color w:val="000000"/>
                      <w:highlight w:val="none"/>
                    </w:rPr>
                  </w:pPr>
                  <w:r>
                    <w:rPr>
                      <w:rFonts w:hint="default" w:ascii="Times New Roman" w:hAnsi="Times New Roman" w:cs="Times New Roman"/>
                      <w:color w:val="000000"/>
                      <w:highlight w:val="none"/>
                    </w:rPr>
                    <w:t>25</w:t>
                  </w:r>
                </w:p>
              </w:tc>
              <w:tc>
                <w:tcPr>
                  <w:tcW w:w="1164" w:type="dxa"/>
                  <w:noWrap w:val="0"/>
                  <w:vAlign w:val="center"/>
                </w:tcPr>
                <w:p w14:paraId="52DB1914">
                  <w:pPr>
                    <w:pStyle w:val="31"/>
                    <w:bidi w:val="0"/>
                    <w:ind w:firstLine="0" w:firstLineChars="0"/>
                    <w:jc w:val="center"/>
                    <w:rPr>
                      <w:rFonts w:hint="default" w:ascii="Times New Roman" w:hAnsi="Times New Roman" w:eastAsia="宋体" w:cs="Times New Roman"/>
                      <w:color w:val="000000"/>
                      <w:highlight w:val="none"/>
                      <w:lang w:eastAsia="zh-CN"/>
                    </w:rPr>
                  </w:pPr>
                  <w:r>
                    <w:rPr>
                      <w:rFonts w:hint="default" w:ascii="Times New Roman" w:hAnsi="Times New Roman" w:cs="Times New Roman"/>
                      <w:color w:val="000000"/>
                      <w:highlight w:val="none"/>
                      <w:lang w:val="en-US" w:eastAsia="zh-CN"/>
                    </w:rPr>
                    <w:t>4</w:t>
                  </w:r>
                </w:p>
              </w:tc>
              <w:tc>
                <w:tcPr>
                  <w:tcW w:w="1339" w:type="dxa"/>
                  <w:noWrap w:val="0"/>
                  <w:vAlign w:val="center"/>
                </w:tcPr>
                <w:p w14:paraId="65E4645F">
                  <w:pPr>
                    <w:pStyle w:val="31"/>
                    <w:bidi w:val="0"/>
                    <w:ind w:firstLine="0" w:firstLineChars="0"/>
                    <w:jc w:val="center"/>
                    <w:rPr>
                      <w:rFonts w:hint="default" w:ascii="Times New Roman" w:hAnsi="Times New Roman" w:cs="Times New Roman"/>
                      <w:color w:val="000000"/>
                      <w:highlight w:val="none"/>
                    </w:rPr>
                  </w:pPr>
                  <w:r>
                    <w:rPr>
                      <w:rFonts w:hint="default" w:ascii="Times New Roman" w:hAnsi="Times New Roman" w:cs="Times New Roman"/>
                      <w:color w:val="000000"/>
                      <w:highlight w:val="none"/>
                    </w:rPr>
                    <w:t>120</w:t>
                  </w:r>
                </w:p>
              </w:tc>
              <w:tc>
                <w:tcPr>
                  <w:tcW w:w="1229" w:type="dxa"/>
                  <w:noWrap w:val="0"/>
                  <w:vAlign w:val="center"/>
                </w:tcPr>
                <w:p w14:paraId="5D9F8566">
                  <w:pPr>
                    <w:pStyle w:val="31"/>
                    <w:bidi w:val="0"/>
                    <w:ind w:firstLine="0" w:firstLineChars="0"/>
                    <w:jc w:val="center"/>
                    <w:rPr>
                      <w:rFonts w:hint="default" w:ascii="Times New Roman" w:hAnsi="Times New Roman" w:cs="Times New Roman"/>
                      <w:color w:val="000000"/>
                      <w:highlight w:val="none"/>
                    </w:rPr>
                  </w:pPr>
                  <w:r>
                    <w:rPr>
                      <w:rFonts w:hint="default" w:ascii="Times New Roman" w:hAnsi="Times New Roman" w:cs="Times New Roman"/>
                      <w:color w:val="000000"/>
                      <w:highlight w:val="none"/>
                    </w:rPr>
                    <w:t>102</w:t>
                  </w:r>
                </w:p>
              </w:tc>
              <w:tc>
                <w:tcPr>
                  <w:tcW w:w="1177" w:type="dxa"/>
                  <w:noWrap w:val="0"/>
                  <w:vAlign w:val="center"/>
                </w:tcPr>
                <w:p w14:paraId="7122A4DD">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10.2</w:t>
                  </w:r>
                </w:p>
              </w:tc>
            </w:tr>
            <w:tr w14:paraId="514583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612" w:type="dxa"/>
                  <w:noWrap w:val="0"/>
                  <w:vAlign w:val="center"/>
                </w:tcPr>
                <w:p w14:paraId="5809DCDF">
                  <w:pPr>
                    <w:pStyle w:val="31"/>
                    <w:bidi w:val="0"/>
                    <w:ind w:firstLine="0" w:firstLineChars="0"/>
                    <w:jc w:val="center"/>
                    <w:rPr>
                      <w:rFonts w:hint="default" w:ascii="Times New Roman" w:hAnsi="Times New Roman" w:cs="Times New Roman"/>
                      <w:color w:val="000000"/>
                      <w:highlight w:val="none"/>
                    </w:rPr>
                  </w:pPr>
                  <w:r>
                    <w:rPr>
                      <w:rFonts w:hint="default" w:ascii="Times New Roman" w:hAnsi="Times New Roman" w:cs="Times New Roman"/>
                      <w:color w:val="000000"/>
                      <w:highlight w:val="none"/>
                    </w:rPr>
                    <w:t>3000t冷藏船</w:t>
                  </w:r>
                </w:p>
              </w:tc>
              <w:tc>
                <w:tcPr>
                  <w:tcW w:w="1511" w:type="dxa"/>
                  <w:noWrap w:val="0"/>
                  <w:vAlign w:val="center"/>
                </w:tcPr>
                <w:p w14:paraId="031AA7A2">
                  <w:pPr>
                    <w:pStyle w:val="31"/>
                    <w:bidi w:val="0"/>
                    <w:ind w:firstLine="0" w:firstLineChars="0"/>
                    <w:jc w:val="center"/>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1</w:t>
                  </w:r>
                </w:p>
              </w:tc>
              <w:tc>
                <w:tcPr>
                  <w:tcW w:w="644" w:type="pct"/>
                  <w:noWrap w:val="0"/>
                  <w:vAlign w:val="center"/>
                </w:tcPr>
                <w:p w14:paraId="1B4308EA">
                  <w:pPr>
                    <w:pStyle w:val="31"/>
                    <w:bidi w:val="0"/>
                    <w:jc w:val="center"/>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8</w:t>
                  </w:r>
                </w:p>
              </w:tc>
              <w:tc>
                <w:tcPr>
                  <w:tcW w:w="741" w:type="pct"/>
                  <w:noWrap w:val="0"/>
                  <w:vAlign w:val="center"/>
                </w:tcPr>
                <w:p w14:paraId="44AF41D9">
                  <w:pPr>
                    <w:pStyle w:val="31"/>
                    <w:bidi w:val="0"/>
                    <w:jc w:val="center"/>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150</w:t>
                  </w:r>
                </w:p>
              </w:tc>
              <w:tc>
                <w:tcPr>
                  <w:tcW w:w="1229" w:type="dxa"/>
                  <w:noWrap w:val="0"/>
                  <w:vAlign w:val="center"/>
                </w:tcPr>
                <w:p w14:paraId="0835A9B8">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127.5</w:t>
                  </w:r>
                </w:p>
              </w:tc>
              <w:tc>
                <w:tcPr>
                  <w:tcW w:w="1177" w:type="dxa"/>
                  <w:noWrap w:val="0"/>
                  <w:vAlign w:val="center"/>
                </w:tcPr>
                <w:p w14:paraId="304F0B5F">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1.02</w:t>
                  </w:r>
                </w:p>
              </w:tc>
            </w:tr>
            <w:tr w14:paraId="136E6D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612" w:type="dxa"/>
                  <w:noWrap w:val="0"/>
                  <w:vAlign w:val="center"/>
                </w:tcPr>
                <w:p w14:paraId="60A09CD2">
                  <w:pPr>
                    <w:pStyle w:val="31"/>
                    <w:bidi w:val="0"/>
                    <w:ind w:firstLine="0" w:firstLineChars="0"/>
                    <w:jc w:val="center"/>
                    <w:rPr>
                      <w:rFonts w:hint="default" w:ascii="Times New Roman" w:hAnsi="Times New Roman" w:cs="Times New Roman"/>
                      <w:color w:val="000000"/>
                      <w:highlight w:val="none"/>
                    </w:rPr>
                  </w:pPr>
                  <w:r>
                    <w:rPr>
                      <w:rFonts w:hint="default" w:ascii="Times New Roman" w:hAnsi="Times New Roman" w:cs="Times New Roman"/>
                      <w:color w:val="000000"/>
                      <w:highlight w:val="none"/>
                    </w:rPr>
                    <w:t>10000t散货船</w:t>
                  </w:r>
                </w:p>
              </w:tc>
              <w:tc>
                <w:tcPr>
                  <w:tcW w:w="1511" w:type="dxa"/>
                  <w:noWrap w:val="0"/>
                  <w:vAlign w:val="center"/>
                </w:tcPr>
                <w:p w14:paraId="4941FBA5">
                  <w:pPr>
                    <w:pStyle w:val="31"/>
                    <w:bidi w:val="0"/>
                    <w:ind w:firstLine="0" w:firstLineChars="0"/>
                    <w:jc w:val="center"/>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1</w:t>
                  </w:r>
                </w:p>
              </w:tc>
              <w:tc>
                <w:tcPr>
                  <w:tcW w:w="644" w:type="pct"/>
                  <w:noWrap w:val="0"/>
                  <w:vAlign w:val="center"/>
                </w:tcPr>
                <w:p w14:paraId="2EF99B2C">
                  <w:pPr>
                    <w:pStyle w:val="31"/>
                    <w:bidi w:val="0"/>
                    <w:jc w:val="center"/>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14</w:t>
                  </w:r>
                </w:p>
              </w:tc>
              <w:tc>
                <w:tcPr>
                  <w:tcW w:w="741" w:type="pct"/>
                  <w:noWrap w:val="0"/>
                  <w:vAlign w:val="center"/>
                </w:tcPr>
                <w:p w14:paraId="515BDAFF">
                  <w:pPr>
                    <w:pStyle w:val="31"/>
                    <w:bidi w:val="0"/>
                    <w:jc w:val="center"/>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200</w:t>
                  </w:r>
                </w:p>
              </w:tc>
              <w:tc>
                <w:tcPr>
                  <w:tcW w:w="1229" w:type="dxa"/>
                  <w:noWrap w:val="0"/>
                  <w:vAlign w:val="center"/>
                </w:tcPr>
                <w:p w14:paraId="7AB250A0">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170</w:t>
                  </w:r>
                </w:p>
              </w:tc>
              <w:tc>
                <w:tcPr>
                  <w:tcW w:w="1177" w:type="dxa"/>
                  <w:noWrap w:val="0"/>
                  <w:vAlign w:val="center"/>
                </w:tcPr>
                <w:p w14:paraId="37E9B546">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2.38</w:t>
                  </w:r>
                </w:p>
              </w:tc>
            </w:tr>
            <w:tr w14:paraId="4F6E64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445" w:type="pct"/>
                  <w:noWrap w:val="0"/>
                  <w:vAlign w:val="center"/>
                </w:tcPr>
                <w:p w14:paraId="275BF2A7">
                  <w:pPr>
                    <w:pStyle w:val="31"/>
                    <w:bidi w:val="0"/>
                    <w:ind w:firstLine="0" w:firstLineChars="0"/>
                    <w:jc w:val="center"/>
                    <w:rPr>
                      <w:rFonts w:hint="default" w:ascii="Times New Roman" w:hAnsi="Times New Roman" w:eastAsia="宋体" w:cs="Times New Roman"/>
                      <w:color w:val="000000"/>
                      <w:highlight w:val="none"/>
                      <w:lang w:eastAsia="zh-CN"/>
                    </w:rPr>
                  </w:pPr>
                  <w:r>
                    <w:rPr>
                      <w:rFonts w:hint="default" w:ascii="Times New Roman" w:hAnsi="Times New Roman" w:cs="Times New Roman"/>
                      <w:color w:val="000000"/>
                      <w:highlight w:val="none"/>
                      <w:lang w:val="en-US" w:eastAsia="zh-CN"/>
                    </w:rPr>
                    <w:t>合计</w:t>
                  </w:r>
                </w:p>
              </w:tc>
              <w:tc>
                <w:tcPr>
                  <w:tcW w:w="836" w:type="pct"/>
                  <w:noWrap w:val="0"/>
                  <w:vAlign w:val="center"/>
                </w:tcPr>
                <w:p w14:paraId="1737507E">
                  <w:pPr>
                    <w:pStyle w:val="31"/>
                    <w:bidi w:val="0"/>
                    <w:jc w:val="center"/>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27</w:t>
                  </w:r>
                </w:p>
              </w:tc>
              <w:tc>
                <w:tcPr>
                  <w:tcW w:w="644" w:type="pct"/>
                  <w:noWrap w:val="0"/>
                  <w:vAlign w:val="center"/>
                </w:tcPr>
                <w:p w14:paraId="47986209">
                  <w:pPr>
                    <w:pStyle w:val="31"/>
                    <w:bidi w:val="0"/>
                    <w:jc w:val="center"/>
                    <w:rPr>
                      <w:rFonts w:hint="default" w:ascii="Times New Roman" w:hAnsi="Times New Roman" w:eastAsia="宋体" w:cs="Times New Roman"/>
                      <w:color w:val="000000"/>
                      <w:highlight w:val="none"/>
                      <w:lang w:eastAsia="zh-CN"/>
                    </w:rPr>
                  </w:pPr>
                  <w:r>
                    <w:rPr>
                      <w:rFonts w:hint="default" w:ascii="Times New Roman" w:hAnsi="Times New Roman" w:cs="Times New Roman"/>
                      <w:color w:val="000000"/>
                      <w:highlight w:val="none"/>
                      <w:lang w:val="en-US" w:eastAsia="zh-CN"/>
                    </w:rPr>
                    <w:t>/</w:t>
                  </w:r>
                </w:p>
              </w:tc>
              <w:tc>
                <w:tcPr>
                  <w:tcW w:w="741" w:type="pct"/>
                  <w:noWrap w:val="0"/>
                  <w:vAlign w:val="center"/>
                </w:tcPr>
                <w:p w14:paraId="72C27D2C">
                  <w:pPr>
                    <w:pStyle w:val="31"/>
                    <w:bidi w:val="0"/>
                    <w:jc w:val="center"/>
                    <w:rPr>
                      <w:rFonts w:hint="default" w:ascii="Times New Roman" w:hAnsi="Times New Roman" w:eastAsia="宋体" w:cs="Times New Roman"/>
                      <w:color w:val="000000"/>
                      <w:highlight w:val="none"/>
                      <w:lang w:eastAsia="zh-CN"/>
                    </w:rPr>
                  </w:pPr>
                  <w:r>
                    <w:rPr>
                      <w:rFonts w:hint="default" w:ascii="Times New Roman" w:hAnsi="Times New Roman" w:cs="Times New Roman"/>
                      <w:color w:val="000000"/>
                      <w:highlight w:val="none"/>
                      <w:lang w:val="en-US" w:eastAsia="zh-CN"/>
                    </w:rPr>
                    <w:t>/</w:t>
                  </w:r>
                </w:p>
              </w:tc>
              <w:tc>
                <w:tcPr>
                  <w:tcW w:w="680" w:type="pct"/>
                  <w:noWrap w:val="0"/>
                  <w:vAlign w:val="center"/>
                </w:tcPr>
                <w:p w14:paraId="0ED76BED">
                  <w:pPr>
                    <w:pStyle w:val="31"/>
                    <w:bidi w:val="0"/>
                    <w:jc w:val="center"/>
                    <w:rPr>
                      <w:rFonts w:hint="default" w:ascii="Times New Roman" w:hAnsi="Times New Roman" w:eastAsia="宋体" w:cs="Times New Roman"/>
                      <w:color w:val="000000"/>
                      <w:highlight w:val="none"/>
                      <w:lang w:eastAsia="zh-CN"/>
                    </w:rPr>
                  </w:pPr>
                  <w:r>
                    <w:rPr>
                      <w:rFonts w:hint="default" w:ascii="Times New Roman" w:hAnsi="Times New Roman" w:cs="Times New Roman"/>
                      <w:color w:val="000000"/>
                      <w:highlight w:val="none"/>
                      <w:lang w:val="en-US" w:eastAsia="zh-CN"/>
                    </w:rPr>
                    <w:t>/</w:t>
                  </w:r>
                </w:p>
              </w:tc>
              <w:tc>
                <w:tcPr>
                  <w:tcW w:w="1177" w:type="dxa"/>
                  <w:noWrap w:val="0"/>
                  <w:vAlign w:val="center"/>
                </w:tcPr>
                <w:p w14:paraId="01156363">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13.6</w:t>
                  </w:r>
                </w:p>
              </w:tc>
            </w:tr>
          </w:tbl>
          <w:p w14:paraId="587273D9">
            <w:pPr>
              <w:keepNext w:val="0"/>
              <w:keepLines w:val="0"/>
              <w:pageBreakBefore w:val="0"/>
              <w:widowControl w:val="0"/>
              <w:kinsoku/>
              <w:wordWrap/>
              <w:overflowPunct/>
              <w:topLinePunct w:val="0"/>
              <w:autoSpaceDE/>
              <w:autoSpaceDN/>
              <w:bidi w:val="0"/>
              <w:adjustRightInd/>
              <w:snapToGrid/>
              <w:ind w:firstLine="482" w:firstLineChars="200"/>
              <w:textAlignment w:val="auto"/>
              <w:rPr>
                <w:rStyle w:val="23"/>
                <w:rFonts w:hint="default" w:ascii="Times New Roman" w:hAnsi="Times New Roman" w:cs="Times New Roman"/>
                <w:b/>
                <w:bCs/>
                <w:color w:val="000000"/>
                <w:highlight w:val="none"/>
              </w:rPr>
            </w:pPr>
            <w:r>
              <w:rPr>
                <w:rStyle w:val="23"/>
                <w:rFonts w:hint="default" w:ascii="Times New Roman" w:hAnsi="Times New Roman" w:cs="Times New Roman"/>
                <w:b/>
                <w:bCs/>
                <w:color w:val="000000"/>
                <w:highlight w:val="none"/>
              </w:rPr>
              <w:t>（3）码头冲洗废水</w:t>
            </w:r>
          </w:p>
          <w:p w14:paraId="6C688AFE">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本</w:t>
            </w:r>
            <w:r>
              <w:rPr>
                <w:rFonts w:hint="default" w:ascii="Times New Roman" w:hAnsi="Times New Roman" w:cs="Times New Roman"/>
                <w:color w:val="000000"/>
                <w:highlight w:val="none"/>
              </w:rPr>
              <w:t>项目码头作业面面积为</w:t>
            </w:r>
            <w:r>
              <w:rPr>
                <w:rFonts w:hint="default" w:ascii="Times New Roman" w:hAnsi="Times New Roman" w:cs="Times New Roman"/>
                <w:color w:val="000000"/>
                <w:highlight w:val="none"/>
                <w:lang w:val="en-US" w:eastAsia="zh-CN"/>
              </w:rPr>
              <w:t>8800</w:t>
            </w:r>
            <w:r>
              <w:rPr>
                <w:rFonts w:hint="default" w:ascii="Times New Roman" w:hAnsi="Times New Roman" w:cs="Times New Roman"/>
                <w:color w:val="000000"/>
                <w:highlight w:val="none"/>
              </w:rPr>
              <w:t>m</w:t>
            </w:r>
            <w:r>
              <w:rPr>
                <w:rFonts w:hint="default" w:ascii="Times New Roman" w:hAnsi="Times New Roman" w:cs="Times New Roman"/>
                <w:color w:val="000000"/>
                <w:highlight w:val="none"/>
                <w:vertAlign w:val="superscript"/>
              </w:rPr>
              <w:t>2</w:t>
            </w:r>
            <w:r>
              <w:rPr>
                <w:rFonts w:hint="default" w:ascii="Times New Roman" w:hAnsi="Times New Roman" w:cs="Times New Roman"/>
                <w:color w:val="000000"/>
                <w:highlight w:val="none"/>
              </w:rPr>
              <w:t>，地面清洗用水按</w:t>
            </w:r>
            <w:r>
              <w:rPr>
                <w:rFonts w:hint="default" w:ascii="Times New Roman" w:hAnsi="Times New Roman" w:cs="Times New Roman"/>
                <w:color w:val="000000"/>
                <w:highlight w:val="none"/>
                <w:lang w:val="en-US" w:eastAsia="zh-CN"/>
              </w:rPr>
              <w:t>1</w:t>
            </w:r>
            <w:r>
              <w:rPr>
                <w:rFonts w:hint="default" w:ascii="Times New Roman" w:hAnsi="Times New Roman" w:cs="Times New Roman"/>
                <w:color w:val="000000"/>
                <w:highlight w:val="none"/>
              </w:rPr>
              <w:t>L/m</w:t>
            </w:r>
            <w:r>
              <w:rPr>
                <w:rFonts w:hint="default" w:ascii="Times New Roman" w:hAnsi="Times New Roman" w:cs="Times New Roman"/>
                <w:color w:val="000000"/>
                <w:highlight w:val="none"/>
                <w:vertAlign w:val="superscript"/>
              </w:rPr>
              <w:t>2</w:t>
            </w:r>
            <w:r>
              <w:rPr>
                <w:rFonts w:hint="default" w:ascii="Times New Roman" w:hAnsi="Times New Roman" w:cs="Times New Roman"/>
                <w:color w:val="000000"/>
                <w:highlight w:val="none"/>
              </w:rPr>
              <w:t>·次，每天清洗1次，则码头地面清洗用水量为</w:t>
            </w:r>
            <w:r>
              <w:rPr>
                <w:rFonts w:hint="default" w:ascii="Times New Roman" w:hAnsi="Times New Roman" w:cs="Times New Roman"/>
                <w:color w:val="000000"/>
                <w:highlight w:val="none"/>
                <w:lang w:val="en-US" w:eastAsia="zh-CN"/>
              </w:rPr>
              <w:t>8.8</w:t>
            </w:r>
            <w:r>
              <w:rPr>
                <w:rFonts w:hint="default" w:ascii="Times New Roman" w:hAnsi="Times New Roman" w:cs="Times New Roman"/>
                <w:color w:val="000000"/>
                <w:highlight w:val="none"/>
              </w:rPr>
              <w:t>m</w:t>
            </w:r>
            <w:r>
              <w:rPr>
                <w:rFonts w:hint="default" w:ascii="Times New Roman" w:hAnsi="Times New Roman" w:cs="Times New Roman"/>
                <w:color w:val="000000"/>
                <w:highlight w:val="none"/>
                <w:vertAlign w:val="superscript"/>
              </w:rPr>
              <w:t>3</w:t>
            </w:r>
            <w:r>
              <w:rPr>
                <w:rFonts w:hint="default" w:ascii="Times New Roman" w:hAnsi="Times New Roman" w:cs="Times New Roman"/>
                <w:color w:val="000000"/>
                <w:highlight w:val="none"/>
              </w:rPr>
              <w:t>/d，废水产生系数按0.85计，故项目地面清洗废水产生量为</w:t>
            </w:r>
            <w:r>
              <w:rPr>
                <w:rFonts w:hint="default" w:ascii="Times New Roman" w:hAnsi="Times New Roman" w:cs="Times New Roman"/>
                <w:color w:val="000000"/>
                <w:highlight w:val="none"/>
                <w:lang w:val="en-US" w:eastAsia="zh-CN"/>
              </w:rPr>
              <w:t>7.48</w:t>
            </w:r>
            <w:r>
              <w:rPr>
                <w:rFonts w:hint="default" w:ascii="Times New Roman" w:hAnsi="Times New Roman" w:cs="Times New Roman"/>
                <w:color w:val="000000"/>
                <w:highlight w:val="none"/>
              </w:rPr>
              <w:t>m</w:t>
            </w:r>
            <w:r>
              <w:rPr>
                <w:rFonts w:hint="default" w:ascii="Times New Roman" w:hAnsi="Times New Roman" w:cs="Times New Roman"/>
                <w:color w:val="000000"/>
                <w:highlight w:val="none"/>
                <w:vertAlign w:val="superscript"/>
              </w:rPr>
              <w:t>3</w:t>
            </w:r>
            <w:r>
              <w:rPr>
                <w:rFonts w:hint="default" w:ascii="Times New Roman" w:hAnsi="Times New Roman" w:cs="Times New Roman"/>
                <w:color w:val="000000"/>
                <w:highlight w:val="none"/>
              </w:rPr>
              <w:t>/d，主要污染因子为COD、BOD</w:t>
            </w:r>
            <w:r>
              <w:rPr>
                <w:rFonts w:hint="default" w:ascii="Times New Roman" w:hAnsi="Times New Roman" w:cs="Times New Roman"/>
                <w:color w:val="000000"/>
                <w:highlight w:val="none"/>
                <w:vertAlign w:val="subscript"/>
              </w:rPr>
              <w:t>5</w:t>
            </w:r>
            <w:r>
              <w:rPr>
                <w:rFonts w:hint="default" w:ascii="Times New Roman" w:hAnsi="Times New Roman" w:cs="Times New Roman"/>
                <w:color w:val="000000"/>
                <w:highlight w:val="none"/>
              </w:rPr>
              <w:t>、SS</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NH</w:t>
            </w:r>
            <w:r>
              <w:rPr>
                <w:rFonts w:hint="default" w:ascii="Times New Roman" w:hAnsi="Times New Roman" w:cs="Times New Roman"/>
                <w:color w:val="000000"/>
                <w:highlight w:val="none"/>
                <w:vertAlign w:val="subscript"/>
                <w:lang w:val="en-US" w:eastAsia="zh-CN"/>
              </w:rPr>
              <w:t>3</w:t>
            </w:r>
            <w:r>
              <w:rPr>
                <w:rFonts w:hint="default" w:ascii="Times New Roman" w:hAnsi="Times New Roman" w:cs="Times New Roman"/>
                <w:color w:val="000000"/>
                <w:highlight w:val="none"/>
                <w:lang w:val="en-US" w:eastAsia="zh-CN"/>
              </w:rPr>
              <w:t>-N</w:t>
            </w:r>
            <w:r>
              <w:rPr>
                <w:rFonts w:hint="default" w:ascii="Times New Roman" w:hAnsi="Times New Roman" w:cs="Times New Roman"/>
                <w:color w:val="000000"/>
                <w:highlight w:val="none"/>
              </w:rPr>
              <w:t>等</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除去雨天不用冲洗，正常情况下每天冲洗1次，一年冲洗次数约为200次，则码头冲洗废水产生量为1496</w:t>
            </w:r>
            <w:r>
              <w:rPr>
                <w:rFonts w:hint="default" w:ascii="Times New Roman" w:hAnsi="Times New Roman" w:cs="Times New Roman"/>
                <w:color w:val="000000"/>
                <w:highlight w:val="none"/>
              </w:rPr>
              <w:t>m</w:t>
            </w:r>
            <w:r>
              <w:rPr>
                <w:rFonts w:hint="default" w:ascii="Times New Roman" w:hAnsi="Times New Roman" w:cs="Times New Roman"/>
                <w:color w:val="000000"/>
                <w:highlight w:val="none"/>
                <w:vertAlign w:val="superscript"/>
              </w:rPr>
              <w:t>3</w:t>
            </w:r>
            <w:r>
              <w:rPr>
                <w:rFonts w:hint="default" w:ascii="Times New Roman" w:hAnsi="Times New Roman" w:cs="Times New Roman"/>
                <w:color w:val="000000"/>
                <w:highlight w:val="none"/>
              </w:rPr>
              <w:t>/</w:t>
            </w:r>
            <w:r>
              <w:rPr>
                <w:rFonts w:hint="default" w:ascii="Times New Roman" w:hAnsi="Times New Roman" w:cs="Times New Roman"/>
                <w:color w:val="000000"/>
                <w:highlight w:val="none"/>
                <w:lang w:val="en-US" w:eastAsia="zh-CN"/>
              </w:rPr>
              <w:t>a。</w:t>
            </w:r>
          </w:p>
          <w:p w14:paraId="2FAB3CA6">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码头区域设置废水收集沟，码头作业面清洗废水经收集后，接入港区自建污水处理站处理。</w:t>
            </w:r>
          </w:p>
          <w:p w14:paraId="14F9B15B">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eastAsia="宋体" w:cs="Times New Roman"/>
                <w:b/>
                <w:bCs/>
                <w:color w:val="000000"/>
                <w:highlight w:val="none"/>
                <w:lang w:eastAsia="zh-CN"/>
              </w:rPr>
            </w:pP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4</w:t>
            </w: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卸渔区</w:t>
            </w:r>
            <w:r>
              <w:rPr>
                <w:rFonts w:hint="default" w:ascii="Times New Roman" w:hAnsi="Times New Roman" w:cs="Times New Roman"/>
                <w:b/>
                <w:bCs/>
                <w:color w:val="000000"/>
                <w:highlight w:val="none"/>
                <w:lang w:eastAsia="zh-CN"/>
              </w:rPr>
              <w:t>冲洗废水</w:t>
            </w:r>
          </w:p>
          <w:p w14:paraId="031D122C">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项目卸渔区（包含室外卸渔场地、卸渔棚）面积约为22339</w:t>
            </w:r>
            <w:r>
              <w:rPr>
                <w:rFonts w:hint="default" w:ascii="Times New Roman" w:hAnsi="Times New Roman" w:cs="Times New Roman"/>
                <w:color w:val="000000"/>
                <w:highlight w:val="none"/>
              </w:rPr>
              <w:t>m</w:t>
            </w:r>
            <w:r>
              <w:rPr>
                <w:rFonts w:hint="default" w:ascii="Times New Roman" w:hAnsi="Times New Roman" w:cs="Times New Roman"/>
                <w:color w:val="000000"/>
                <w:highlight w:val="none"/>
                <w:vertAlign w:val="superscript"/>
              </w:rPr>
              <w:t>2</w:t>
            </w:r>
            <w:r>
              <w:rPr>
                <w:rFonts w:hint="default" w:ascii="Times New Roman" w:hAnsi="Times New Roman" w:cs="Times New Roman"/>
                <w:color w:val="000000"/>
                <w:highlight w:val="none"/>
              </w:rPr>
              <w:t>，地面清洗用水按</w:t>
            </w:r>
            <w:r>
              <w:rPr>
                <w:rFonts w:hint="default" w:ascii="Times New Roman" w:hAnsi="Times New Roman" w:cs="Times New Roman"/>
                <w:color w:val="000000"/>
                <w:highlight w:val="none"/>
                <w:lang w:val="en-US" w:eastAsia="zh-CN"/>
              </w:rPr>
              <w:t>1</w:t>
            </w:r>
            <w:r>
              <w:rPr>
                <w:rFonts w:hint="default" w:ascii="Times New Roman" w:hAnsi="Times New Roman" w:cs="Times New Roman"/>
                <w:color w:val="000000"/>
                <w:highlight w:val="none"/>
              </w:rPr>
              <w:t>L/m</w:t>
            </w:r>
            <w:r>
              <w:rPr>
                <w:rFonts w:hint="default" w:ascii="Times New Roman" w:hAnsi="Times New Roman" w:cs="Times New Roman"/>
                <w:color w:val="000000"/>
                <w:highlight w:val="none"/>
                <w:vertAlign w:val="superscript"/>
              </w:rPr>
              <w:t>2</w:t>
            </w:r>
            <w:r>
              <w:rPr>
                <w:rFonts w:hint="default" w:ascii="Times New Roman" w:hAnsi="Times New Roman" w:cs="Times New Roman"/>
                <w:color w:val="000000"/>
                <w:highlight w:val="none"/>
              </w:rPr>
              <w:t>·次，每天清洗1次，则场地清洗用水量为</w:t>
            </w:r>
            <w:r>
              <w:rPr>
                <w:rFonts w:hint="default" w:ascii="Times New Roman" w:hAnsi="Times New Roman" w:cs="Times New Roman"/>
                <w:color w:val="000000"/>
                <w:highlight w:val="none"/>
                <w:lang w:val="en-US" w:eastAsia="zh-CN"/>
              </w:rPr>
              <w:t>22.34</w:t>
            </w:r>
            <w:r>
              <w:rPr>
                <w:rFonts w:hint="default" w:ascii="Times New Roman" w:hAnsi="Times New Roman" w:cs="Times New Roman"/>
                <w:color w:val="000000"/>
                <w:highlight w:val="none"/>
              </w:rPr>
              <w:t>m</w:t>
            </w:r>
            <w:r>
              <w:rPr>
                <w:rFonts w:hint="default" w:ascii="Times New Roman" w:hAnsi="Times New Roman" w:cs="Times New Roman"/>
                <w:color w:val="000000"/>
                <w:highlight w:val="none"/>
                <w:vertAlign w:val="superscript"/>
              </w:rPr>
              <w:t>3</w:t>
            </w:r>
            <w:r>
              <w:rPr>
                <w:rFonts w:hint="default" w:ascii="Times New Roman" w:hAnsi="Times New Roman" w:cs="Times New Roman"/>
                <w:color w:val="000000"/>
                <w:highlight w:val="none"/>
              </w:rPr>
              <w:t>/d，废水产生系数按0.85计，故项目地面清洗废水产生量为</w:t>
            </w:r>
            <w:r>
              <w:rPr>
                <w:rFonts w:hint="default" w:ascii="Times New Roman" w:hAnsi="Times New Roman" w:cs="Times New Roman"/>
                <w:color w:val="000000"/>
                <w:highlight w:val="none"/>
                <w:lang w:val="en-US" w:eastAsia="zh-CN"/>
              </w:rPr>
              <w:t>18.99</w:t>
            </w:r>
            <w:r>
              <w:rPr>
                <w:rFonts w:hint="default" w:ascii="Times New Roman" w:hAnsi="Times New Roman" w:cs="Times New Roman"/>
                <w:color w:val="000000"/>
                <w:highlight w:val="none"/>
              </w:rPr>
              <w:t>m</w:t>
            </w:r>
            <w:r>
              <w:rPr>
                <w:rFonts w:hint="default" w:ascii="Times New Roman" w:hAnsi="Times New Roman" w:cs="Times New Roman"/>
                <w:color w:val="000000"/>
                <w:highlight w:val="none"/>
                <w:vertAlign w:val="superscript"/>
              </w:rPr>
              <w:t>3</w:t>
            </w:r>
            <w:r>
              <w:rPr>
                <w:rFonts w:hint="default" w:ascii="Times New Roman" w:hAnsi="Times New Roman" w:cs="Times New Roman"/>
                <w:color w:val="000000"/>
                <w:highlight w:val="none"/>
              </w:rPr>
              <w:t>/d</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主要污染因子为COD、BOD</w:t>
            </w:r>
            <w:r>
              <w:rPr>
                <w:rFonts w:hint="default" w:ascii="Times New Roman" w:hAnsi="Times New Roman" w:cs="Times New Roman"/>
                <w:color w:val="000000"/>
                <w:highlight w:val="none"/>
                <w:vertAlign w:val="subscript"/>
              </w:rPr>
              <w:t>5</w:t>
            </w:r>
            <w:r>
              <w:rPr>
                <w:rFonts w:hint="default" w:ascii="Times New Roman" w:hAnsi="Times New Roman" w:cs="Times New Roman"/>
                <w:color w:val="000000"/>
                <w:highlight w:val="none"/>
              </w:rPr>
              <w:t>、SS</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NH</w:t>
            </w:r>
            <w:r>
              <w:rPr>
                <w:rFonts w:hint="default" w:ascii="Times New Roman" w:hAnsi="Times New Roman" w:cs="Times New Roman"/>
                <w:color w:val="000000"/>
                <w:highlight w:val="none"/>
                <w:vertAlign w:val="subscript"/>
                <w:lang w:val="en-US" w:eastAsia="zh-CN"/>
              </w:rPr>
              <w:t>3</w:t>
            </w:r>
            <w:r>
              <w:rPr>
                <w:rFonts w:hint="default" w:ascii="Times New Roman" w:hAnsi="Times New Roman" w:cs="Times New Roman"/>
                <w:color w:val="000000"/>
                <w:highlight w:val="none"/>
                <w:lang w:val="en-US" w:eastAsia="zh-CN"/>
              </w:rPr>
              <w:t>-N</w:t>
            </w:r>
            <w:r>
              <w:rPr>
                <w:rFonts w:hint="default" w:ascii="Times New Roman" w:hAnsi="Times New Roman" w:cs="Times New Roman"/>
                <w:color w:val="000000"/>
                <w:highlight w:val="none"/>
              </w:rPr>
              <w:t>等。除去雨天不用冲洗，正常情况下每天冲洗1次，一年冲洗次数约为200次，则码头冲洗废水产生量为</w:t>
            </w:r>
            <w:r>
              <w:rPr>
                <w:rFonts w:hint="default" w:ascii="Times New Roman" w:hAnsi="Times New Roman" w:cs="Times New Roman"/>
                <w:color w:val="000000"/>
                <w:highlight w:val="none"/>
                <w:lang w:val="en-US" w:eastAsia="zh-CN"/>
              </w:rPr>
              <w:t>3798</w:t>
            </w:r>
            <w:r>
              <w:rPr>
                <w:rFonts w:hint="default" w:ascii="Times New Roman" w:hAnsi="Times New Roman" w:cs="Times New Roman"/>
                <w:color w:val="000000"/>
                <w:highlight w:val="none"/>
              </w:rPr>
              <w:t>m</w:t>
            </w:r>
            <w:r>
              <w:rPr>
                <w:rFonts w:hint="default" w:ascii="Times New Roman" w:hAnsi="Times New Roman" w:cs="Times New Roman"/>
                <w:color w:val="000000"/>
                <w:highlight w:val="none"/>
                <w:vertAlign w:val="superscript"/>
              </w:rPr>
              <w:t>3</w:t>
            </w:r>
            <w:r>
              <w:rPr>
                <w:rFonts w:hint="default" w:ascii="Times New Roman" w:hAnsi="Times New Roman" w:cs="Times New Roman"/>
                <w:color w:val="000000"/>
                <w:highlight w:val="none"/>
              </w:rPr>
              <w:t>/a。</w:t>
            </w:r>
            <w:r>
              <w:rPr>
                <w:rFonts w:hint="default" w:ascii="Times New Roman" w:hAnsi="Times New Roman" w:cs="Times New Roman"/>
                <w:color w:val="000000"/>
                <w:highlight w:val="none"/>
                <w:lang w:val="en-US" w:eastAsia="zh-CN"/>
              </w:rPr>
              <w:t>卸渔区</w:t>
            </w:r>
            <w:r>
              <w:rPr>
                <w:rFonts w:hint="default" w:ascii="Times New Roman" w:hAnsi="Times New Roman" w:cs="Times New Roman"/>
                <w:color w:val="000000"/>
                <w:highlight w:val="none"/>
              </w:rPr>
              <w:t>域设置废水收集沟，</w:t>
            </w:r>
            <w:r>
              <w:rPr>
                <w:rFonts w:hint="default" w:ascii="Times New Roman" w:hAnsi="Times New Roman" w:cs="Times New Roman"/>
                <w:color w:val="000000"/>
                <w:highlight w:val="none"/>
                <w:lang w:val="en-US" w:eastAsia="zh-CN"/>
              </w:rPr>
              <w:t>卸渔区</w:t>
            </w:r>
            <w:r>
              <w:rPr>
                <w:rFonts w:hint="default" w:ascii="Times New Roman" w:hAnsi="Times New Roman" w:cs="Times New Roman"/>
                <w:color w:val="000000"/>
                <w:highlight w:val="none"/>
              </w:rPr>
              <w:t>清洗废水经收集后，接入港区自建污水处理站处理。</w:t>
            </w:r>
          </w:p>
          <w:p w14:paraId="234E7682">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5</w:t>
            </w: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港</w:t>
            </w:r>
            <w:r>
              <w:rPr>
                <w:rFonts w:hint="default" w:ascii="Times New Roman" w:hAnsi="Times New Roman" w:eastAsia="宋体" w:cs="Times New Roman"/>
                <w:b/>
                <w:bCs/>
                <w:color w:val="000000"/>
                <w:highlight w:val="none"/>
                <w:lang w:eastAsia="zh-CN"/>
              </w:rPr>
              <w:t>区生活污水</w:t>
            </w:r>
          </w:p>
          <w:p w14:paraId="54F08A25">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rPr>
              <w:t>运营期</w:t>
            </w:r>
            <w:r>
              <w:rPr>
                <w:rFonts w:hint="default" w:ascii="Times New Roman" w:hAnsi="Times New Roman" w:cs="Times New Roman"/>
                <w:color w:val="000000"/>
                <w:highlight w:val="none"/>
                <w:lang w:val="en-US" w:eastAsia="zh-CN"/>
              </w:rPr>
              <w:t>港区</w:t>
            </w:r>
            <w:r>
              <w:rPr>
                <w:rFonts w:hint="default" w:ascii="Times New Roman" w:hAnsi="Times New Roman" w:cs="Times New Roman"/>
                <w:color w:val="000000"/>
                <w:highlight w:val="none"/>
              </w:rPr>
              <w:t>工作人员</w:t>
            </w:r>
            <w:r>
              <w:rPr>
                <w:rFonts w:hint="default" w:ascii="Times New Roman" w:hAnsi="Times New Roman" w:cs="Times New Roman"/>
                <w:color w:val="000000"/>
                <w:highlight w:val="none"/>
                <w:lang w:val="en-US" w:eastAsia="zh-CN"/>
              </w:rPr>
              <w:t>按28人计，港区设置有食堂，人均生活用水量为100L/d，污水产生系数按0.85计，则人均生活污水量为85L/d。经计算，港区工作人员生活污水量为2.38</w:t>
            </w:r>
            <w:r>
              <w:rPr>
                <w:rFonts w:hint="default" w:ascii="Times New Roman" w:hAnsi="Times New Roman" w:cs="Times New Roman"/>
                <w:color w:val="000000"/>
                <w:highlight w:val="none"/>
              </w:rPr>
              <w:t>m</w:t>
            </w:r>
            <w:r>
              <w:rPr>
                <w:rFonts w:hint="default" w:ascii="Times New Roman" w:hAnsi="Times New Roman" w:cs="Times New Roman"/>
                <w:color w:val="000000"/>
                <w:highlight w:val="none"/>
                <w:vertAlign w:val="superscript"/>
              </w:rPr>
              <w:t>3</w:t>
            </w:r>
            <w:r>
              <w:rPr>
                <w:rFonts w:hint="default" w:ascii="Times New Roman" w:hAnsi="Times New Roman" w:cs="Times New Roman"/>
                <w:color w:val="000000"/>
                <w:highlight w:val="none"/>
              </w:rPr>
              <w:t>/d</w:t>
            </w:r>
            <w:r>
              <w:rPr>
                <w:rFonts w:hint="default" w:ascii="Times New Roman" w:hAnsi="Times New Roman" w:cs="Times New Roman"/>
                <w:color w:val="000000"/>
                <w:highlight w:val="none"/>
                <w:lang w:val="en-US" w:eastAsia="zh-CN"/>
              </w:rPr>
              <w:t>。</w:t>
            </w:r>
          </w:p>
          <w:p w14:paraId="01449EFB">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港区陆域设置避灾安置房，在台风等自然灾害发生时，为进港避风的渔船上的渔民提供岸上的临时住所，保障其生命财产安全。避灾安置人员</w:t>
            </w:r>
            <w:r>
              <w:rPr>
                <w:rFonts w:hint="default" w:ascii="Times New Roman" w:hAnsi="Times New Roman" w:cs="Times New Roman"/>
                <w:color w:val="000000"/>
                <w:highlight w:val="none"/>
              </w:rPr>
              <w:t>按</w:t>
            </w:r>
            <w:r>
              <w:rPr>
                <w:rFonts w:hint="default" w:ascii="Times New Roman" w:hAnsi="Times New Roman" w:cs="Times New Roman"/>
                <w:color w:val="000000"/>
                <w:highlight w:val="none"/>
                <w:lang w:val="en-US" w:eastAsia="zh-CN"/>
              </w:rPr>
              <w:t>188</w:t>
            </w:r>
            <w:r>
              <w:rPr>
                <w:rFonts w:hint="default" w:ascii="Times New Roman" w:hAnsi="Times New Roman" w:cs="Times New Roman"/>
                <w:color w:val="000000"/>
                <w:highlight w:val="none"/>
              </w:rPr>
              <w:t>人计</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则避灾安置人员生活污水最大产生量为15.98</w:t>
            </w:r>
            <w:r>
              <w:rPr>
                <w:rFonts w:hint="default" w:ascii="Times New Roman" w:hAnsi="Times New Roman" w:cs="Times New Roman"/>
                <w:color w:val="000000"/>
                <w:highlight w:val="none"/>
              </w:rPr>
              <w:t>m</w:t>
            </w:r>
            <w:r>
              <w:rPr>
                <w:rFonts w:hint="default" w:ascii="Times New Roman" w:hAnsi="Times New Roman" w:cs="Times New Roman"/>
                <w:color w:val="000000"/>
                <w:highlight w:val="none"/>
                <w:vertAlign w:val="superscript"/>
              </w:rPr>
              <w:t>3</w:t>
            </w:r>
            <w:r>
              <w:rPr>
                <w:rFonts w:hint="default" w:ascii="Times New Roman" w:hAnsi="Times New Roman" w:cs="Times New Roman"/>
                <w:color w:val="000000"/>
                <w:highlight w:val="none"/>
              </w:rPr>
              <w:t>/d</w:t>
            </w:r>
            <w:r>
              <w:rPr>
                <w:rFonts w:hint="default" w:ascii="Times New Roman" w:hAnsi="Times New Roman" w:cs="Times New Roman"/>
                <w:color w:val="000000"/>
                <w:highlight w:val="none"/>
                <w:lang w:eastAsia="zh-CN"/>
              </w:rPr>
              <w:t>。</w:t>
            </w:r>
          </w:p>
          <w:p w14:paraId="596FE97A">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因此，港区生活污水日最大产生量合计为18.36</w:t>
            </w:r>
            <w:r>
              <w:rPr>
                <w:rFonts w:hint="default" w:ascii="Times New Roman" w:hAnsi="Times New Roman" w:cs="Times New Roman"/>
                <w:color w:val="000000"/>
                <w:highlight w:val="none"/>
              </w:rPr>
              <w:t>m</w:t>
            </w:r>
            <w:r>
              <w:rPr>
                <w:rFonts w:hint="default" w:ascii="Times New Roman" w:hAnsi="Times New Roman" w:cs="Times New Roman"/>
                <w:color w:val="000000"/>
                <w:highlight w:val="none"/>
                <w:vertAlign w:val="superscript"/>
              </w:rPr>
              <w:t>3</w:t>
            </w:r>
            <w:r>
              <w:rPr>
                <w:rFonts w:hint="default" w:ascii="Times New Roman" w:hAnsi="Times New Roman" w:cs="Times New Roman"/>
                <w:color w:val="000000"/>
                <w:highlight w:val="none"/>
              </w:rPr>
              <w:t>/d</w:t>
            </w:r>
            <w:r>
              <w:rPr>
                <w:rFonts w:hint="default" w:ascii="Times New Roman" w:hAnsi="Times New Roman" w:cs="Times New Roman"/>
                <w:color w:val="000000"/>
                <w:highlight w:val="none"/>
                <w:lang w:val="en-US" w:eastAsia="zh-CN"/>
              </w:rPr>
              <w:t>。港区生活污水主要污染物为</w:t>
            </w:r>
            <w:r>
              <w:rPr>
                <w:rFonts w:hint="default" w:ascii="Times New Roman" w:hAnsi="Times New Roman" w:cs="Times New Roman"/>
                <w:color w:val="000000"/>
                <w:highlight w:val="none"/>
              </w:rPr>
              <w:t>COD、BOD</w:t>
            </w:r>
            <w:r>
              <w:rPr>
                <w:rFonts w:hint="default" w:ascii="Times New Roman" w:hAnsi="Times New Roman" w:cs="Times New Roman"/>
                <w:color w:val="000000"/>
                <w:highlight w:val="none"/>
                <w:vertAlign w:val="subscript"/>
              </w:rPr>
              <w:t>5</w:t>
            </w:r>
            <w:r>
              <w:rPr>
                <w:rFonts w:hint="default" w:ascii="Times New Roman" w:hAnsi="Times New Roman" w:cs="Times New Roman"/>
                <w:color w:val="000000"/>
                <w:highlight w:val="none"/>
              </w:rPr>
              <w:t>、SS</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NH</w:t>
            </w:r>
            <w:r>
              <w:rPr>
                <w:rFonts w:hint="default" w:ascii="Times New Roman" w:hAnsi="Times New Roman" w:cs="Times New Roman"/>
                <w:color w:val="000000"/>
                <w:highlight w:val="none"/>
                <w:vertAlign w:val="subscript"/>
                <w:lang w:val="en-US" w:eastAsia="zh-CN"/>
              </w:rPr>
              <w:t>3</w:t>
            </w:r>
            <w:r>
              <w:rPr>
                <w:rFonts w:hint="default" w:ascii="Times New Roman" w:hAnsi="Times New Roman" w:cs="Times New Roman"/>
                <w:color w:val="000000"/>
                <w:highlight w:val="none"/>
                <w:lang w:val="en-US" w:eastAsia="zh-CN"/>
              </w:rPr>
              <w:t>-N、动植物油，产生浓度分别为400mg/L、220mg/L、200mg/L、35mg/L、100mg/L。食堂废水经隔油池沉淀后，与生活污水一同经过化粪池处理后，</w:t>
            </w:r>
            <w:r>
              <w:rPr>
                <w:rFonts w:hint="default" w:ascii="Times New Roman" w:hAnsi="Times New Roman" w:cs="Times New Roman"/>
                <w:color w:val="000000"/>
                <w:highlight w:val="none"/>
              </w:rPr>
              <w:t>接入港区自建污水处理站处理。</w:t>
            </w:r>
          </w:p>
          <w:p w14:paraId="703B475C">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eastAsia="宋体" w:cs="Times New Roman"/>
                <w:b/>
                <w:bCs/>
                <w:color w:val="000000"/>
                <w:highlight w:val="none"/>
                <w:lang w:val="en-US" w:eastAsia="zh-CN"/>
              </w:rPr>
            </w:pP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6</w:t>
            </w: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初期雨水</w:t>
            </w:r>
          </w:p>
          <w:p w14:paraId="0388F8EC">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下雨时散落在码头面</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卸渔区</w:t>
            </w:r>
            <w:r>
              <w:rPr>
                <w:rFonts w:hint="default" w:ascii="Times New Roman" w:hAnsi="Times New Roman" w:cs="Times New Roman"/>
                <w:color w:val="000000"/>
                <w:highlight w:val="none"/>
              </w:rPr>
              <w:t>的水产品等受雨水冲刷而散失，形成雨污水，因此需要收集初期雨水。雨天只有码头面</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卸渔区</w:t>
            </w:r>
            <w:r>
              <w:rPr>
                <w:rFonts w:hint="default" w:ascii="Times New Roman" w:hAnsi="Times New Roman" w:cs="Times New Roman"/>
                <w:color w:val="000000"/>
                <w:highlight w:val="none"/>
              </w:rPr>
              <w:t>初期雨水产生，雨天不进行码头面</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卸渔区</w:t>
            </w:r>
            <w:r>
              <w:rPr>
                <w:rFonts w:hint="default" w:ascii="Times New Roman" w:hAnsi="Times New Roman" w:cs="Times New Roman"/>
                <w:color w:val="000000"/>
                <w:highlight w:val="none"/>
              </w:rPr>
              <w:t>冲洗。</w:t>
            </w:r>
          </w:p>
          <w:p w14:paraId="179EEF4C">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u w:val="none"/>
                <w:lang w:val="en-US" w:eastAsia="zh-CN"/>
              </w:rPr>
            </w:pPr>
            <w:r>
              <w:rPr>
                <w:rFonts w:hint="default" w:ascii="Times New Roman" w:hAnsi="Times New Roman" w:cs="Times New Roman"/>
                <w:color w:val="000000"/>
                <w:highlight w:val="none"/>
                <w:u w:val="none"/>
                <w:lang w:val="en-US" w:eastAsia="zh-CN"/>
              </w:rPr>
              <w:t>根据《水运工程环境保护设计规范》（JTS 149-2018），初期雨水计算公式为：</w:t>
            </w:r>
          </w:p>
          <w:p w14:paraId="0FB20E0F">
            <w:pPr>
              <w:keepNext w:val="0"/>
              <w:keepLines w:val="0"/>
              <w:pageBreakBefore w:val="0"/>
              <w:widowControl w:val="0"/>
              <w:kinsoku/>
              <w:wordWrap/>
              <w:overflowPunct/>
              <w:topLinePunct w:val="0"/>
              <w:autoSpaceDE/>
              <w:autoSpaceDN/>
              <w:bidi w:val="0"/>
              <w:adjustRightInd/>
              <w:snapToGrid/>
              <w:ind w:firstLine="480" w:firstLineChars="200"/>
              <w:jc w:val="center"/>
              <w:textAlignment w:val="auto"/>
              <w:rPr>
                <w:rFonts w:hint="default" w:ascii="Times New Roman" w:hAnsi="Times New Roman" w:cs="Times New Roman"/>
                <w:color w:val="000000"/>
                <w:highlight w:val="none"/>
                <w:u w:val="none"/>
                <w:lang w:val="en-US" w:eastAsia="zh-CN"/>
              </w:rPr>
            </w:pPr>
            <w:r>
              <w:rPr>
                <w:rFonts w:hint="default" w:ascii="Times New Roman" w:hAnsi="Times New Roman" w:cs="Times New Roman"/>
                <w:i/>
                <w:iCs/>
                <w:color w:val="000000"/>
                <w:highlight w:val="none"/>
                <w:u w:val="none"/>
                <w:lang w:val="en-US" w:eastAsia="zh-CN"/>
              </w:rPr>
              <w:t>V</w:t>
            </w:r>
            <w:r>
              <w:rPr>
                <w:rFonts w:hint="default" w:ascii="Times New Roman" w:hAnsi="Times New Roman" w:cs="Times New Roman"/>
                <w:color w:val="000000"/>
                <w:highlight w:val="none"/>
                <w:u w:val="none"/>
                <w:lang w:val="en-US" w:eastAsia="zh-CN"/>
              </w:rPr>
              <w:t>=</w:t>
            </w:r>
            <w:r>
              <w:rPr>
                <w:rFonts w:hint="default" w:ascii="Times New Roman" w:hAnsi="Times New Roman" w:cs="Times New Roman"/>
                <w:i/>
                <w:iCs/>
                <w:color w:val="000000"/>
                <w:highlight w:val="none"/>
                <w:u w:val="none"/>
                <w:lang w:val="en-US" w:eastAsia="zh-CN"/>
              </w:rPr>
              <w:t>φ</w:t>
            </w:r>
            <w:r>
              <w:rPr>
                <w:rFonts w:hint="default" w:ascii="Times New Roman" w:hAnsi="Times New Roman" w:cs="Times New Roman"/>
                <w:color w:val="000000"/>
                <w:highlight w:val="none"/>
                <w:u w:val="none"/>
                <w:lang w:val="en-US" w:eastAsia="zh-CN"/>
              </w:rPr>
              <w:t>·</w:t>
            </w:r>
            <w:r>
              <w:rPr>
                <w:rFonts w:hint="default" w:ascii="Times New Roman" w:hAnsi="Times New Roman" w:cs="Times New Roman"/>
                <w:i/>
                <w:iCs/>
                <w:color w:val="000000"/>
                <w:highlight w:val="none"/>
                <w:u w:val="none"/>
                <w:lang w:val="en-US" w:eastAsia="zh-CN"/>
              </w:rPr>
              <w:t>h</w:t>
            </w:r>
            <w:r>
              <w:rPr>
                <w:rFonts w:hint="default" w:ascii="Times New Roman" w:hAnsi="Times New Roman" w:cs="Times New Roman"/>
                <w:color w:val="000000"/>
                <w:highlight w:val="none"/>
                <w:u w:val="none"/>
                <w:lang w:val="en-US" w:eastAsia="zh-CN"/>
              </w:rPr>
              <w:t>·</w:t>
            </w:r>
            <w:r>
              <w:rPr>
                <w:rFonts w:hint="default" w:ascii="Times New Roman" w:hAnsi="Times New Roman" w:cs="Times New Roman"/>
                <w:i/>
                <w:iCs/>
                <w:color w:val="000000"/>
                <w:highlight w:val="none"/>
                <w:u w:val="none"/>
                <w:lang w:val="en-US" w:eastAsia="zh-CN"/>
              </w:rPr>
              <w:t>F</w:t>
            </w:r>
          </w:p>
          <w:p w14:paraId="33146A22">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u w:val="none"/>
                <w:lang w:val="en-US" w:eastAsia="zh-CN"/>
              </w:rPr>
            </w:pPr>
            <w:r>
              <w:rPr>
                <w:rFonts w:hint="default" w:ascii="Times New Roman" w:hAnsi="Times New Roman" w:cs="Times New Roman"/>
                <w:color w:val="000000"/>
                <w:highlight w:val="none"/>
                <w:u w:val="none"/>
                <w:lang w:val="en-US" w:eastAsia="zh-CN"/>
              </w:rPr>
              <w:t>式中：V——初期雨水量（m</w:t>
            </w:r>
            <w:r>
              <w:rPr>
                <w:rFonts w:hint="default" w:ascii="Times New Roman" w:hAnsi="Times New Roman" w:cs="Times New Roman"/>
                <w:color w:val="000000"/>
                <w:highlight w:val="none"/>
                <w:u w:val="none"/>
                <w:vertAlign w:val="superscript"/>
                <w:lang w:val="en-US" w:eastAsia="zh-CN"/>
              </w:rPr>
              <w:t>3</w:t>
            </w:r>
            <w:r>
              <w:rPr>
                <w:rFonts w:hint="default" w:ascii="Times New Roman" w:hAnsi="Times New Roman" w:cs="Times New Roman"/>
                <w:color w:val="000000"/>
                <w:highlight w:val="none"/>
                <w:u w:val="none"/>
                <w:lang w:val="en-US" w:eastAsia="zh-CN"/>
              </w:rPr>
              <w:t>）；</w:t>
            </w:r>
          </w:p>
          <w:p w14:paraId="7DF45253">
            <w:pPr>
              <w:keepNext w:val="0"/>
              <w:keepLines w:val="0"/>
              <w:pageBreakBefore w:val="0"/>
              <w:widowControl w:val="0"/>
              <w:kinsoku/>
              <w:wordWrap/>
              <w:overflowPunct/>
              <w:topLinePunct w:val="0"/>
              <w:autoSpaceDE/>
              <w:autoSpaceDN/>
              <w:bidi w:val="0"/>
              <w:adjustRightInd/>
              <w:snapToGrid/>
              <w:ind w:firstLine="1200" w:firstLineChars="500"/>
              <w:textAlignment w:val="auto"/>
              <w:rPr>
                <w:rFonts w:hint="default" w:ascii="Times New Roman" w:hAnsi="Times New Roman" w:cs="Times New Roman"/>
                <w:color w:val="000000"/>
                <w:highlight w:val="none"/>
                <w:u w:val="none"/>
                <w:lang w:val="en-US" w:eastAsia="zh-CN"/>
              </w:rPr>
            </w:pPr>
            <w:r>
              <w:rPr>
                <w:rFonts w:hint="default" w:ascii="Times New Roman" w:hAnsi="Times New Roman" w:cs="Times New Roman"/>
                <w:color w:val="000000"/>
                <w:highlight w:val="none"/>
                <w:u w:val="none"/>
                <w:lang w:val="en-US" w:eastAsia="zh-CN"/>
              </w:rPr>
              <w:t>φ——径流系数，取0.9；</w:t>
            </w:r>
          </w:p>
          <w:p w14:paraId="10E408E7">
            <w:pPr>
              <w:keepNext w:val="0"/>
              <w:keepLines w:val="0"/>
              <w:pageBreakBefore w:val="0"/>
              <w:widowControl w:val="0"/>
              <w:kinsoku/>
              <w:wordWrap/>
              <w:overflowPunct/>
              <w:topLinePunct w:val="0"/>
              <w:autoSpaceDE/>
              <w:autoSpaceDN/>
              <w:bidi w:val="0"/>
              <w:adjustRightInd/>
              <w:snapToGrid/>
              <w:ind w:firstLine="1200" w:firstLineChars="500"/>
              <w:textAlignment w:val="auto"/>
              <w:rPr>
                <w:rFonts w:hint="default" w:ascii="Times New Roman" w:hAnsi="Times New Roman" w:cs="Times New Roman"/>
                <w:color w:val="000000"/>
                <w:highlight w:val="none"/>
                <w:u w:val="none"/>
                <w:lang w:val="en-US" w:eastAsia="zh-CN"/>
              </w:rPr>
            </w:pPr>
            <w:r>
              <w:rPr>
                <w:rFonts w:hint="default" w:ascii="Times New Roman" w:hAnsi="Times New Roman" w:cs="Times New Roman"/>
                <w:color w:val="000000"/>
                <w:highlight w:val="none"/>
                <w:u w:val="none"/>
                <w:lang w:val="en-US" w:eastAsia="zh-CN"/>
              </w:rPr>
              <w:t>h——降雨深度（m），取0.01；</w:t>
            </w:r>
          </w:p>
          <w:p w14:paraId="310FC2FB">
            <w:pPr>
              <w:ind w:firstLine="1200" w:firstLineChars="500"/>
              <w:rPr>
                <w:rFonts w:hint="default" w:ascii="Times New Roman" w:hAnsi="Times New Roman" w:cs="Times New Roman"/>
                <w:color w:val="000000"/>
                <w:highlight w:val="none"/>
                <w:u w:val="none"/>
              </w:rPr>
            </w:pPr>
            <w:r>
              <w:rPr>
                <w:rFonts w:hint="default" w:ascii="Times New Roman" w:hAnsi="Times New Roman" w:cs="Times New Roman"/>
                <w:color w:val="000000"/>
                <w:highlight w:val="none"/>
                <w:u w:val="none"/>
                <w:lang w:val="en-US" w:eastAsia="zh-CN"/>
              </w:rPr>
              <w:t>F——汇水面积（m</w:t>
            </w:r>
            <w:r>
              <w:rPr>
                <w:rFonts w:hint="default" w:ascii="Times New Roman" w:hAnsi="Times New Roman" w:cs="Times New Roman"/>
                <w:color w:val="000000"/>
                <w:highlight w:val="none"/>
                <w:u w:val="none"/>
                <w:vertAlign w:val="superscript"/>
                <w:lang w:val="en-US" w:eastAsia="zh-CN"/>
              </w:rPr>
              <w:t>2</w:t>
            </w:r>
            <w:r>
              <w:rPr>
                <w:rFonts w:hint="default" w:ascii="Times New Roman" w:hAnsi="Times New Roman" w:cs="Times New Roman"/>
                <w:color w:val="000000"/>
                <w:highlight w:val="none"/>
                <w:u w:val="none"/>
                <w:lang w:val="en-US" w:eastAsia="zh-CN"/>
              </w:rPr>
              <w:t>）。</w:t>
            </w:r>
          </w:p>
          <w:p w14:paraId="7C1258A5">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lang w:val="en-US" w:eastAsia="zh-CN"/>
              </w:rPr>
              <w:t>本项目</w:t>
            </w:r>
            <w:r>
              <w:rPr>
                <w:rFonts w:hint="default" w:ascii="Times New Roman" w:hAnsi="Times New Roman" w:cs="Times New Roman"/>
                <w:color w:val="000000"/>
                <w:highlight w:val="none"/>
              </w:rPr>
              <w:t>码头面</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室外卸渔场地</w:t>
            </w:r>
            <w:r>
              <w:rPr>
                <w:rFonts w:hint="default" w:ascii="Times New Roman" w:hAnsi="Times New Roman" w:cs="Times New Roman"/>
                <w:color w:val="000000"/>
                <w:highlight w:val="none"/>
              </w:rPr>
              <w:t>的汇水面积</w:t>
            </w:r>
            <w:r>
              <w:rPr>
                <w:rFonts w:hint="default" w:ascii="Times New Roman" w:hAnsi="Times New Roman" w:cs="Times New Roman"/>
                <w:color w:val="000000"/>
                <w:highlight w:val="none"/>
                <w:lang w:val="en-US" w:eastAsia="zh-CN"/>
              </w:rPr>
              <w:t>约</w:t>
            </w:r>
            <w:r>
              <w:rPr>
                <w:rFonts w:hint="default" w:ascii="Times New Roman" w:hAnsi="Times New Roman" w:cs="Times New Roman"/>
                <w:color w:val="000000"/>
                <w:highlight w:val="none"/>
              </w:rPr>
              <w:t>为</w:t>
            </w:r>
            <w:r>
              <w:rPr>
                <w:rFonts w:hint="default" w:ascii="Times New Roman" w:hAnsi="Times New Roman" w:cs="Times New Roman"/>
                <w:color w:val="000000"/>
                <w:highlight w:val="none"/>
                <w:lang w:val="en-US" w:eastAsia="zh-CN"/>
              </w:rPr>
              <w:t>23939</w:t>
            </w:r>
            <w:r>
              <w:rPr>
                <w:rFonts w:hint="default" w:ascii="Times New Roman" w:hAnsi="Times New Roman" w:cs="Times New Roman"/>
                <w:color w:val="000000"/>
                <w:highlight w:val="none"/>
              </w:rPr>
              <w:t>m</w:t>
            </w:r>
            <w:r>
              <w:rPr>
                <w:rFonts w:hint="default" w:ascii="Times New Roman" w:hAnsi="Times New Roman" w:cs="Times New Roman"/>
                <w:color w:val="000000"/>
                <w:highlight w:val="none"/>
                <w:vertAlign w:val="superscript"/>
              </w:rPr>
              <w:t>2</w:t>
            </w:r>
            <w:r>
              <w:rPr>
                <w:rFonts w:hint="default" w:ascii="Times New Roman" w:hAnsi="Times New Roman" w:cs="Times New Roman"/>
                <w:color w:val="000000"/>
                <w:highlight w:val="none"/>
              </w:rPr>
              <w:t>，计算得出初期雨水量为</w:t>
            </w:r>
            <w:r>
              <w:rPr>
                <w:rFonts w:hint="default" w:ascii="Times New Roman" w:hAnsi="Times New Roman" w:cs="Times New Roman"/>
                <w:color w:val="000000"/>
                <w:highlight w:val="none"/>
                <w:lang w:val="en-US" w:eastAsia="zh-CN"/>
              </w:rPr>
              <w:t>215.451</w:t>
            </w:r>
            <w:r>
              <w:rPr>
                <w:rFonts w:hint="default" w:ascii="Times New Roman" w:hAnsi="Times New Roman" w:cs="Times New Roman"/>
                <w:color w:val="000000"/>
                <w:highlight w:val="none"/>
              </w:rPr>
              <w:t>m</w:t>
            </w:r>
            <w:r>
              <w:rPr>
                <w:rFonts w:hint="default" w:ascii="Times New Roman" w:hAnsi="Times New Roman" w:cs="Times New Roman"/>
                <w:color w:val="000000"/>
                <w:highlight w:val="none"/>
                <w:vertAlign w:val="superscript"/>
              </w:rPr>
              <w:t>3</w:t>
            </w:r>
            <w:r>
              <w:rPr>
                <w:rFonts w:hint="default" w:ascii="Times New Roman" w:hAnsi="Times New Roman" w:cs="Times New Roman"/>
                <w:color w:val="000000"/>
                <w:highlight w:val="none"/>
                <w:vertAlign w:val="baseline"/>
                <w:lang w:val="en-US" w:eastAsia="zh-CN"/>
              </w:rPr>
              <w:t>/次，主要污染因子为SS。福清市年暴雨次数按50次估算，则</w:t>
            </w:r>
            <w:r>
              <w:rPr>
                <w:rFonts w:hint="default" w:ascii="Times New Roman" w:hAnsi="Times New Roman" w:cs="Times New Roman"/>
                <w:color w:val="000000"/>
                <w:highlight w:val="none"/>
              </w:rPr>
              <w:t>码头面</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卸渔区全年径流雨污水量约为10772.55</w:t>
            </w:r>
            <w:r>
              <w:rPr>
                <w:rFonts w:hint="default" w:ascii="Times New Roman" w:hAnsi="Times New Roman" w:cs="Times New Roman"/>
                <w:color w:val="000000"/>
                <w:highlight w:val="none"/>
              </w:rPr>
              <w:t>m</w:t>
            </w:r>
            <w:r>
              <w:rPr>
                <w:rFonts w:hint="default" w:ascii="Times New Roman" w:hAnsi="Times New Roman" w:cs="Times New Roman"/>
                <w:color w:val="000000"/>
                <w:highlight w:val="none"/>
                <w:vertAlign w:val="superscript"/>
              </w:rPr>
              <w:t>3</w:t>
            </w:r>
            <w:r>
              <w:rPr>
                <w:rFonts w:hint="default" w:ascii="Times New Roman" w:hAnsi="Times New Roman" w:cs="Times New Roman"/>
                <w:color w:val="000000"/>
                <w:highlight w:val="none"/>
                <w:vertAlign w:val="baseline"/>
                <w:lang w:val="en-US" w:eastAsia="zh-CN"/>
              </w:rPr>
              <w:t>/a。</w:t>
            </w:r>
          </w:p>
          <w:p w14:paraId="32181D92">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本项目拟在码头</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卸渔区</w:t>
            </w:r>
            <w:r>
              <w:rPr>
                <w:rFonts w:hint="default" w:ascii="Times New Roman" w:hAnsi="Times New Roman" w:cs="Times New Roman"/>
                <w:color w:val="000000"/>
                <w:highlight w:val="none"/>
              </w:rPr>
              <w:t>布设</w:t>
            </w:r>
            <w:r>
              <w:rPr>
                <w:rFonts w:hint="default" w:ascii="Times New Roman" w:hAnsi="Times New Roman" w:cs="Times New Roman"/>
                <w:color w:val="000000"/>
                <w:highlight w:val="none"/>
                <w:lang w:val="en-US" w:eastAsia="zh-CN"/>
              </w:rPr>
              <w:t>收集沟</w:t>
            </w:r>
            <w:r>
              <w:rPr>
                <w:rFonts w:hint="default" w:ascii="Times New Roman" w:hAnsi="Times New Roman" w:cs="Times New Roman"/>
                <w:color w:val="000000"/>
                <w:highlight w:val="none"/>
              </w:rPr>
              <w:t>，收集的初期雨水</w:t>
            </w:r>
            <w:r>
              <w:rPr>
                <w:rFonts w:hint="default" w:ascii="Times New Roman" w:hAnsi="Times New Roman" w:cs="Times New Roman"/>
                <w:color w:val="000000"/>
                <w:highlight w:val="none"/>
                <w:lang w:val="en-US" w:eastAsia="zh-CN"/>
              </w:rPr>
              <w:t>或冲洗废水</w:t>
            </w:r>
            <w:r>
              <w:rPr>
                <w:rFonts w:hint="default" w:ascii="Times New Roman" w:hAnsi="Times New Roman" w:cs="Times New Roman"/>
                <w:color w:val="000000"/>
                <w:highlight w:val="none"/>
              </w:rPr>
              <w:t>进入收集池</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容积为300</w:t>
            </w:r>
            <w:r>
              <w:rPr>
                <w:rFonts w:hint="default" w:ascii="Times New Roman" w:hAnsi="Times New Roman" w:cs="Times New Roman"/>
                <w:color w:val="000000"/>
                <w:highlight w:val="none"/>
              </w:rPr>
              <w:t>m</w:t>
            </w:r>
            <w:r>
              <w:rPr>
                <w:rFonts w:hint="default" w:ascii="Times New Roman" w:hAnsi="Times New Roman" w:cs="Times New Roman"/>
                <w:color w:val="000000"/>
                <w:highlight w:val="none"/>
                <w:vertAlign w:val="superscript"/>
              </w:rPr>
              <w:t>3</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，经港区污水处理</w:t>
            </w:r>
            <w:r>
              <w:rPr>
                <w:rFonts w:hint="default" w:ascii="Times New Roman" w:hAnsi="Times New Roman" w:cs="Times New Roman"/>
                <w:color w:val="000000"/>
                <w:highlight w:val="none"/>
                <w:lang w:val="en-US" w:eastAsia="zh-CN"/>
              </w:rPr>
              <w:t>站</w:t>
            </w:r>
            <w:r>
              <w:rPr>
                <w:rFonts w:hint="default" w:ascii="Times New Roman" w:hAnsi="Times New Roman" w:cs="Times New Roman"/>
                <w:color w:val="000000"/>
                <w:highlight w:val="none"/>
              </w:rPr>
              <w:t>处理后</w:t>
            </w:r>
            <w:r>
              <w:rPr>
                <w:rFonts w:hint="default" w:ascii="Times New Roman" w:hAnsi="Times New Roman" w:cs="Times New Roman"/>
                <w:color w:val="000000"/>
                <w:highlight w:val="none"/>
                <w:lang w:val="en-US" w:eastAsia="zh-CN"/>
              </w:rPr>
              <w:t>回用于港区绿化灌溉、洒水及冲洗用水</w:t>
            </w:r>
            <w:r>
              <w:rPr>
                <w:rFonts w:hint="default" w:ascii="Times New Roman" w:hAnsi="Times New Roman" w:cs="Times New Roman"/>
                <w:color w:val="000000"/>
                <w:highlight w:val="none"/>
              </w:rPr>
              <w:t>。收集池用于收集初期雨水</w:t>
            </w:r>
            <w:r>
              <w:rPr>
                <w:rFonts w:hint="default" w:ascii="Times New Roman" w:hAnsi="Times New Roman" w:cs="Times New Roman"/>
                <w:color w:val="000000"/>
                <w:highlight w:val="none"/>
                <w:lang w:val="en-US" w:eastAsia="zh-CN"/>
              </w:rPr>
              <w:t>或冲洗废水</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收集池前设置转换闸门，雨天收集前15分钟初期雨水后，转换闸门，15分钟后干净的雨水可通过收集管排放入海。</w:t>
            </w:r>
          </w:p>
          <w:p w14:paraId="07EB710F">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b w:val="0"/>
                <w:bCs w:val="0"/>
                <w:color w:val="000000"/>
                <w:highlight w:val="none"/>
                <w:lang w:val="en-US" w:eastAsia="zh-CN"/>
              </w:rPr>
            </w:pPr>
            <w:r>
              <w:rPr>
                <w:rFonts w:hint="default" w:ascii="Times New Roman" w:hAnsi="Times New Roman" w:cs="Times New Roman"/>
                <w:b w:val="0"/>
                <w:bCs w:val="0"/>
                <w:color w:val="000000"/>
                <w:highlight w:val="none"/>
                <w:lang w:val="en-US" w:eastAsia="zh-CN"/>
              </w:rPr>
              <w:t>本项目新增</w:t>
            </w:r>
            <w:r>
              <w:rPr>
                <w:rFonts w:hint="default" w:ascii="Times New Roman" w:hAnsi="Times New Roman" w:cs="Times New Roman"/>
                <w:color w:val="000000"/>
                <w:highlight w:val="none"/>
              </w:rPr>
              <w:t>废污水及污染物产排情况见</w:t>
            </w:r>
            <w:r>
              <w:rPr>
                <w:rFonts w:hint="default" w:ascii="Times New Roman" w:hAnsi="Times New Roman" w:cs="Times New Roman"/>
                <w:color w:val="000000"/>
                <w:highlight w:val="none"/>
                <w:lang w:eastAsia="zh-CN"/>
              </w:rPr>
              <w:fldChar w:fldCharType="begin"/>
            </w:r>
            <w:r>
              <w:rPr>
                <w:rFonts w:hint="default" w:ascii="Times New Roman" w:hAnsi="Times New Roman" w:cs="Times New Roman"/>
                <w:color w:val="000000"/>
                <w:highlight w:val="none"/>
                <w:lang w:eastAsia="zh-CN"/>
              </w:rPr>
              <w:instrText xml:space="preserve"> REF _Ref1767 \h </w:instrText>
            </w:r>
            <w:r>
              <w:rPr>
                <w:rFonts w:hint="default" w:ascii="Times New Roman" w:hAnsi="Times New Roman" w:cs="Times New Roman"/>
                <w:color w:val="000000"/>
                <w:highlight w:val="none"/>
                <w:lang w:eastAsia="zh-CN"/>
              </w:rPr>
              <w:fldChar w:fldCharType="separate"/>
            </w:r>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4.5</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3</w:t>
            </w:r>
            <w:r>
              <w:rPr>
                <w:rFonts w:hint="default" w:ascii="Times New Roman" w:hAnsi="Times New Roman" w:cs="Times New Roman"/>
                <w:color w:val="000000"/>
                <w:highlight w:val="none"/>
                <w:lang w:eastAsia="zh-CN"/>
              </w:rPr>
              <w:fldChar w:fldCharType="end"/>
            </w:r>
            <w:r>
              <w:rPr>
                <w:rFonts w:hint="default" w:ascii="Times New Roman" w:hAnsi="Times New Roman" w:cs="Times New Roman"/>
                <w:color w:val="000000"/>
                <w:highlight w:val="none"/>
                <w:lang w:eastAsia="zh-CN"/>
              </w:rPr>
              <w:t>。</w:t>
            </w:r>
          </w:p>
          <w:p w14:paraId="1D5B3873">
            <w:pPr>
              <w:pStyle w:val="30"/>
              <w:bidi w:val="0"/>
              <w:rPr>
                <w:rFonts w:hint="default" w:ascii="Times New Roman" w:hAnsi="Times New Roman" w:cs="Times New Roman"/>
                <w:color w:val="000000"/>
                <w:highlight w:val="none"/>
              </w:rPr>
            </w:pPr>
            <w:bookmarkStart w:id="382" w:name="_Ref1767"/>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4.5</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表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w:t>
            </w:r>
            <w:r>
              <w:rPr>
                <w:rFonts w:hint="default" w:ascii="Times New Roman" w:hAnsi="Times New Roman" w:cs="Times New Roman"/>
                <w:color w:val="000000"/>
                <w:highlight w:val="none"/>
              </w:rPr>
              <w:fldChar w:fldCharType="end"/>
            </w:r>
            <w:bookmarkEnd w:id="382"/>
            <w:r>
              <w:rPr>
                <w:rFonts w:hint="default" w:ascii="Times New Roman" w:hAnsi="Times New Roman" w:cs="Times New Roman"/>
                <w:color w:val="000000"/>
                <w:highlight w:val="none"/>
                <w:lang w:val="en-US" w:eastAsia="zh-CN"/>
              </w:rPr>
              <w:t xml:space="preserve"> 港区新增</w:t>
            </w:r>
            <w:r>
              <w:rPr>
                <w:rFonts w:hint="default" w:ascii="Times New Roman" w:hAnsi="Times New Roman" w:cs="Times New Roman"/>
                <w:color w:val="000000"/>
                <w:highlight w:val="none"/>
              </w:rPr>
              <w:t>废污水及污染物产排情况一览表</w:t>
            </w:r>
          </w:p>
          <w:tbl>
            <w:tblPr>
              <w:tblStyle w:val="32"/>
              <w:tblW w:w="497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273"/>
              <w:gridCol w:w="984"/>
              <w:gridCol w:w="995"/>
              <w:gridCol w:w="1026"/>
              <w:gridCol w:w="1122"/>
              <w:gridCol w:w="2797"/>
            </w:tblGrid>
            <w:tr w14:paraId="6B35B5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blHeader/>
              </w:trPr>
              <w:tc>
                <w:tcPr>
                  <w:tcW w:w="776" w:type="pct"/>
                  <w:vMerge w:val="restart"/>
                  <w:noWrap w:val="0"/>
                  <w:vAlign w:val="center"/>
                </w:tcPr>
                <w:p w14:paraId="13C54805">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废污水种类</w:t>
                  </w:r>
                </w:p>
              </w:tc>
              <w:tc>
                <w:tcPr>
                  <w:tcW w:w="600" w:type="pct"/>
                  <w:vMerge w:val="restart"/>
                  <w:noWrap w:val="0"/>
                  <w:vAlign w:val="center"/>
                </w:tcPr>
                <w:p w14:paraId="54541F6A">
                  <w:pPr>
                    <w:pStyle w:val="31"/>
                    <w:bidi w:val="0"/>
                    <w:jc w:val="center"/>
                    <w:rPr>
                      <w:rFonts w:hint="default" w:ascii="Times New Roman" w:hAnsi="Times New Roman" w:eastAsia="宋体" w:cs="Times New Roman"/>
                      <w:b/>
                      <w:bCs/>
                      <w:color w:val="000000"/>
                      <w:highlight w:val="none"/>
                      <w:lang w:val="en-US" w:eastAsia="zh-CN"/>
                    </w:rPr>
                  </w:pPr>
                  <w:r>
                    <w:rPr>
                      <w:rFonts w:hint="default" w:ascii="Times New Roman" w:hAnsi="Times New Roman" w:cs="Times New Roman"/>
                      <w:b/>
                      <w:bCs/>
                      <w:color w:val="000000"/>
                      <w:highlight w:val="none"/>
                      <w:lang w:val="en-US" w:eastAsia="zh-CN"/>
                    </w:rPr>
                    <w:t>废水产生量（m</w:t>
                  </w:r>
                  <w:r>
                    <w:rPr>
                      <w:rFonts w:hint="default" w:ascii="Times New Roman" w:hAnsi="Times New Roman" w:cs="Times New Roman"/>
                      <w:b/>
                      <w:bCs/>
                      <w:color w:val="000000"/>
                      <w:highlight w:val="none"/>
                      <w:vertAlign w:val="superscript"/>
                      <w:lang w:val="en-US" w:eastAsia="zh-CN"/>
                    </w:rPr>
                    <w:t>3</w:t>
                  </w:r>
                  <w:r>
                    <w:rPr>
                      <w:rFonts w:hint="default" w:ascii="Times New Roman" w:hAnsi="Times New Roman" w:cs="Times New Roman"/>
                      <w:b/>
                      <w:bCs/>
                      <w:color w:val="000000"/>
                      <w:highlight w:val="none"/>
                      <w:lang w:val="en-US" w:eastAsia="zh-CN"/>
                    </w:rPr>
                    <w:t>/d）</w:t>
                  </w:r>
                </w:p>
              </w:tc>
              <w:tc>
                <w:tcPr>
                  <w:tcW w:w="606" w:type="pct"/>
                  <w:vMerge w:val="restart"/>
                  <w:noWrap w:val="0"/>
                  <w:vAlign w:val="center"/>
                </w:tcPr>
                <w:p w14:paraId="38CCF3DF">
                  <w:pPr>
                    <w:pStyle w:val="31"/>
                    <w:bidi w:val="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污染物</w:t>
                  </w:r>
                </w:p>
              </w:tc>
              <w:tc>
                <w:tcPr>
                  <w:tcW w:w="1310" w:type="pct"/>
                  <w:gridSpan w:val="2"/>
                  <w:noWrap w:val="0"/>
                  <w:vAlign w:val="center"/>
                </w:tcPr>
                <w:p w14:paraId="4BC1A37A">
                  <w:pPr>
                    <w:pStyle w:val="31"/>
                    <w:bidi w:val="0"/>
                    <w:jc w:val="center"/>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lang w:val="en-US" w:eastAsia="zh-CN"/>
                    </w:rPr>
                    <w:t>产生情况</w:t>
                  </w:r>
                </w:p>
              </w:tc>
              <w:tc>
                <w:tcPr>
                  <w:tcW w:w="1706" w:type="pct"/>
                  <w:vMerge w:val="restart"/>
                  <w:noWrap w:val="0"/>
                  <w:vAlign w:val="center"/>
                </w:tcPr>
                <w:p w14:paraId="2DEB6DB6">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排放去向</w:t>
                  </w:r>
                </w:p>
              </w:tc>
            </w:tr>
            <w:tr w14:paraId="4A7590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blHeader/>
              </w:trPr>
              <w:tc>
                <w:tcPr>
                  <w:tcW w:w="776" w:type="pct"/>
                  <w:vMerge w:val="continue"/>
                  <w:noWrap w:val="0"/>
                  <w:vAlign w:val="center"/>
                </w:tcPr>
                <w:p w14:paraId="3E73C34D">
                  <w:pPr>
                    <w:pStyle w:val="31"/>
                    <w:bidi w:val="0"/>
                    <w:jc w:val="center"/>
                    <w:rPr>
                      <w:rFonts w:hint="default" w:ascii="Times New Roman" w:hAnsi="Times New Roman" w:cs="Times New Roman"/>
                      <w:b/>
                      <w:bCs/>
                      <w:color w:val="000000"/>
                      <w:highlight w:val="none"/>
                      <w:lang w:val="en-US" w:eastAsia="zh-CN"/>
                    </w:rPr>
                  </w:pPr>
                </w:p>
              </w:tc>
              <w:tc>
                <w:tcPr>
                  <w:tcW w:w="600" w:type="pct"/>
                  <w:vMerge w:val="continue"/>
                  <w:noWrap w:val="0"/>
                  <w:vAlign w:val="center"/>
                </w:tcPr>
                <w:p w14:paraId="5A7E7481">
                  <w:pPr>
                    <w:pStyle w:val="31"/>
                    <w:bidi w:val="0"/>
                    <w:jc w:val="center"/>
                    <w:rPr>
                      <w:rFonts w:hint="default" w:ascii="Times New Roman" w:hAnsi="Times New Roman" w:cs="Times New Roman"/>
                      <w:b/>
                      <w:bCs/>
                      <w:color w:val="000000"/>
                      <w:highlight w:val="none"/>
                    </w:rPr>
                  </w:pPr>
                </w:p>
              </w:tc>
              <w:tc>
                <w:tcPr>
                  <w:tcW w:w="606" w:type="pct"/>
                  <w:vMerge w:val="continue"/>
                  <w:noWrap w:val="0"/>
                  <w:vAlign w:val="center"/>
                </w:tcPr>
                <w:p w14:paraId="262BA27D">
                  <w:pPr>
                    <w:pStyle w:val="31"/>
                    <w:bidi w:val="0"/>
                    <w:rPr>
                      <w:rFonts w:hint="default" w:ascii="Times New Roman" w:hAnsi="Times New Roman" w:cs="Times New Roman"/>
                      <w:b/>
                      <w:bCs/>
                      <w:color w:val="000000"/>
                      <w:highlight w:val="none"/>
                      <w:lang w:val="en-US" w:eastAsia="zh-CN"/>
                    </w:rPr>
                  </w:pPr>
                </w:p>
              </w:tc>
              <w:tc>
                <w:tcPr>
                  <w:tcW w:w="625" w:type="pct"/>
                  <w:noWrap w:val="0"/>
                  <w:vAlign w:val="center"/>
                </w:tcPr>
                <w:p w14:paraId="6295131B">
                  <w:pPr>
                    <w:pStyle w:val="31"/>
                    <w:bidi w:val="0"/>
                    <w:jc w:val="center"/>
                    <w:rPr>
                      <w:rFonts w:hint="default" w:ascii="Times New Roman" w:hAnsi="Times New Roman" w:eastAsia="宋体" w:cs="Times New Roman"/>
                      <w:b/>
                      <w:bCs/>
                      <w:color w:val="000000"/>
                      <w:highlight w:val="none"/>
                      <w:lang w:val="en-US" w:eastAsia="zh-CN"/>
                    </w:rPr>
                  </w:pPr>
                  <w:r>
                    <w:rPr>
                      <w:rFonts w:hint="default" w:ascii="Times New Roman" w:hAnsi="Times New Roman" w:cs="Times New Roman"/>
                      <w:b/>
                      <w:bCs/>
                      <w:color w:val="000000"/>
                      <w:highlight w:val="none"/>
                      <w:lang w:val="en-US" w:eastAsia="zh-CN"/>
                    </w:rPr>
                    <w:t>产生浓度（mg/L）</w:t>
                  </w:r>
                </w:p>
              </w:tc>
              <w:tc>
                <w:tcPr>
                  <w:tcW w:w="684" w:type="pct"/>
                  <w:noWrap w:val="0"/>
                  <w:vAlign w:val="center"/>
                </w:tcPr>
                <w:p w14:paraId="6A7986BE">
                  <w:pPr>
                    <w:pStyle w:val="31"/>
                    <w:bidi w:val="0"/>
                    <w:jc w:val="center"/>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lang w:val="en-US" w:eastAsia="zh-CN"/>
                    </w:rPr>
                    <w:t>产生量（t/d）</w:t>
                  </w:r>
                </w:p>
              </w:tc>
              <w:tc>
                <w:tcPr>
                  <w:tcW w:w="1706" w:type="pct"/>
                  <w:vMerge w:val="continue"/>
                  <w:noWrap w:val="0"/>
                  <w:vAlign w:val="center"/>
                </w:tcPr>
                <w:p w14:paraId="0BAB819A">
                  <w:pPr>
                    <w:pStyle w:val="31"/>
                    <w:bidi w:val="0"/>
                    <w:jc w:val="center"/>
                    <w:rPr>
                      <w:rFonts w:hint="default" w:ascii="Times New Roman" w:hAnsi="Times New Roman" w:cs="Times New Roman"/>
                      <w:b/>
                      <w:bCs/>
                      <w:color w:val="000000"/>
                      <w:highlight w:val="none"/>
                      <w:lang w:val="en-US" w:eastAsia="zh-CN"/>
                    </w:rPr>
                  </w:pPr>
                </w:p>
              </w:tc>
            </w:tr>
            <w:tr w14:paraId="02D970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776" w:type="pct"/>
                  <w:noWrap w:val="0"/>
                  <w:vAlign w:val="center"/>
                </w:tcPr>
                <w:p w14:paraId="39A7FB62">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船舶含油污水</w:t>
                  </w:r>
                </w:p>
              </w:tc>
              <w:tc>
                <w:tcPr>
                  <w:tcW w:w="600" w:type="pct"/>
                  <w:noWrap w:val="0"/>
                  <w:vAlign w:val="center"/>
                </w:tcPr>
                <w:p w14:paraId="5210C6AF">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7.11</w:t>
                  </w:r>
                </w:p>
              </w:tc>
              <w:tc>
                <w:tcPr>
                  <w:tcW w:w="606" w:type="pct"/>
                  <w:noWrap w:val="0"/>
                  <w:vAlign w:val="center"/>
                </w:tcPr>
                <w:p w14:paraId="3A02EEEA">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石油类</w:t>
                  </w:r>
                </w:p>
              </w:tc>
              <w:tc>
                <w:tcPr>
                  <w:tcW w:w="625" w:type="pct"/>
                  <w:noWrap w:val="0"/>
                  <w:vAlign w:val="center"/>
                </w:tcPr>
                <w:p w14:paraId="245CC0DA">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10000</w:t>
                  </w:r>
                </w:p>
              </w:tc>
              <w:tc>
                <w:tcPr>
                  <w:tcW w:w="684" w:type="pct"/>
                  <w:noWrap w:val="0"/>
                  <w:vAlign w:val="center"/>
                </w:tcPr>
                <w:p w14:paraId="5663A3E7">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0.0711</w:t>
                  </w:r>
                </w:p>
              </w:tc>
              <w:tc>
                <w:tcPr>
                  <w:tcW w:w="1706" w:type="pct"/>
                  <w:noWrap w:val="0"/>
                  <w:vAlign w:val="center"/>
                </w:tcPr>
                <w:p w14:paraId="19EE9C35">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到港船舶含油污水由海事部门认可的船舶污染物接收单位接收处理，不在港区排放。</w:t>
                  </w:r>
                </w:p>
              </w:tc>
            </w:tr>
            <w:tr w14:paraId="6DA7F1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776" w:type="pct"/>
                  <w:vMerge w:val="restart"/>
                  <w:noWrap w:val="0"/>
                  <w:vAlign w:val="center"/>
                </w:tcPr>
                <w:p w14:paraId="71565403">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船舶生活污水</w:t>
                  </w:r>
                </w:p>
              </w:tc>
              <w:tc>
                <w:tcPr>
                  <w:tcW w:w="600" w:type="pct"/>
                  <w:vMerge w:val="restart"/>
                  <w:noWrap w:val="0"/>
                  <w:vAlign w:val="center"/>
                </w:tcPr>
                <w:p w14:paraId="192864DB">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13.6</w:t>
                  </w:r>
                </w:p>
              </w:tc>
              <w:tc>
                <w:tcPr>
                  <w:tcW w:w="606" w:type="pct"/>
                  <w:noWrap w:val="0"/>
                  <w:vAlign w:val="center"/>
                </w:tcPr>
                <w:p w14:paraId="090235BA">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COD</w:t>
                  </w:r>
                </w:p>
              </w:tc>
              <w:tc>
                <w:tcPr>
                  <w:tcW w:w="625" w:type="pct"/>
                  <w:noWrap w:val="0"/>
                  <w:vAlign w:val="center"/>
                </w:tcPr>
                <w:p w14:paraId="153B1334">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400</w:t>
                  </w:r>
                </w:p>
              </w:tc>
              <w:tc>
                <w:tcPr>
                  <w:tcW w:w="684" w:type="pct"/>
                  <w:noWrap w:val="0"/>
                  <w:vAlign w:val="center"/>
                </w:tcPr>
                <w:p w14:paraId="2800CE84">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 xml:space="preserve">0.0054 </w:t>
                  </w:r>
                </w:p>
              </w:tc>
              <w:tc>
                <w:tcPr>
                  <w:tcW w:w="1706" w:type="pct"/>
                  <w:vMerge w:val="restart"/>
                  <w:noWrap w:val="0"/>
                  <w:vAlign w:val="center"/>
                </w:tcPr>
                <w:p w14:paraId="792188D9">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到港船舶生活污水由海事部门认可的船舶污染物接收单位接收处理，不在港区排放。</w:t>
                  </w:r>
                </w:p>
              </w:tc>
            </w:tr>
            <w:tr w14:paraId="7D2429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776" w:type="pct"/>
                  <w:vMerge w:val="continue"/>
                  <w:noWrap w:val="0"/>
                  <w:vAlign w:val="center"/>
                </w:tcPr>
                <w:p w14:paraId="7CC4594D">
                  <w:pPr>
                    <w:pStyle w:val="31"/>
                    <w:bidi w:val="0"/>
                    <w:jc w:val="center"/>
                    <w:rPr>
                      <w:rFonts w:hint="default" w:ascii="Times New Roman" w:hAnsi="Times New Roman" w:cs="Times New Roman"/>
                      <w:color w:val="000000"/>
                      <w:highlight w:val="none"/>
                      <w:lang w:val="en-US" w:eastAsia="zh-CN"/>
                    </w:rPr>
                  </w:pPr>
                </w:p>
              </w:tc>
              <w:tc>
                <w:tcPr>
                  <w:tcW w:w="600" w:type="pct"/>
                  <w:vMerge w:val="continue"/>
                  <w:noWrap w:val="0"/>
                  <w:vAlign w:val="center"/>
                </w:tcPr>
                <w:p w14:paraId="6FAF581E">
                  <w:pPr>
                    <w:pStyle w:val="31"/>
                    <w:bidi w:val="0"/>
                    <w:rPr>
                      <w:rFonts w:hint="default" w:ascii="Times New Roman" w:hAnsi="Times New Roman" w:cs="Times New Roman"/>
                      <w:color w:val="000000"/>
                      <w:highlight w:val="none"/>
                      <w:lang w:val="en-US" w:eastAsia="zh-CN"/>
                    </w:rPr>
                  </w:pPr>
                </w:p>
              </w:tc>
              <w:tc>
                <w:tcPr>
                  <w:tcW w:w="606" w:type="pct"/>
                  <w:noWrap w:val="0"/>
                  <w:vAlign w:val="center"/>
                </w:tcPr>
                <w:p w14:paraId="66D8722E">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BOD</w:t>
                  </w:r>
                  <w:r>
                    <w:rPr>
                      <w:rFonts w:hint="default" w:ascii="Times New Roman" w:hAnsi="Times New Roman" w:cs="Times New Roman"/>
                      <w:color w:val="000000"/>
                      <w:highlight w:val="none"/>
                      <w:vertAlign w:val="subscript"/>
                      <w:lang w:val="en-US" w:eastAsia="zh-CN"/>
                    </w:rPr>
                    <w:t>5</w:t>
                  </w:r>
                </w:p>
              </w:tc>
              <w:tc>
                <w:tcPr>
                  <w:tcW w:w="625" w:type="pct"/>
                  <w:noWrap w:val="0"/>
                  <w:vAlign w:val="center"/>
                </w:tcPr>
                <w:p w14:paraId="2D7EB2C6">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150</w:t>
                  </w:r>
                </w:p>
              </w:tc>
              <w:tc>
                <w:tcPr>
                  <w:tcW w:w="684" w:type="pct"/>
                  <w:noWrap w:val="0"/>
                  <w:vAlign w:val="center"/>
                </w:tcPr>
                <w:p w14:paraId="7C006054">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 xml:space="preserve">0.0020 </w:t>
                  </w:r>
                </w:p>
              </w:tc>
              <w:tc>
                <w:tcPr>
                  <w:tcW w:w="1706" w:type="pct"/>
                  <w:vMerge w:val="continue"/>
                  <w:noWrap w:val="0"/>
                  <w:vAlign w:val="center"/>
                </w:tcPr>
                <w:p w14:paraId="1F5A344B">
                  <w:pPr>
                    <w:pStyle w:val="31"/>
                    <w:bidi w:val="0"/>
                    <w:jc w:val="center"/>
                    <w:rPr>
                      <w:rFonts w:hint="default" w:ascii="Times New Roman" w:hAnsi="Times New Roman" w:cs="Times New Roman"/>
                      <w:color w:val="000000"/>
                      <w:highlight w:val="none"/>
                      <w:lang w:val="en-US" w:eastAsia="zh-CN"/>
                    </w:rPr>
                  </w:pPr>
                </w:p>
              </w:tc>
            </w:tr>
            <w:tr w14:paraId="17A33E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776" w:type="pct"/>
                  <w:vMerge w:val="continue"/>
                  <w:noWrap w:val="0"/>
                  <w:vAlign w:val="center"/>
                </w:tcPr>
                <w:p w14:paraId="4499C2ED">
                  <w:pPr>
                    <w:pStyle w:val="31"/>
                    <w:bidi w:val="0"/>
                    <w:jc w:val="center"/>
                    <w:rPr>
                      <w:rFonts w:hint="default" w:ascii="Times New Roman" w:hAnsi="Times New Roman" w:cs="Times New Roman"/>
                      <w:color w:val="000000"/>
                      <w:highlight w:val="none"/>
                      <w:lang w:val="en-US" w:eastAsia="zh-CN"/>
                    </w:rPr>
                  </w:pPr>
                </w:p>
              </w:tc>
              <w:tc>
                <w:tcPr>
                  <w:tcW w:w="600" w:type="pct"/>
                  <w:vMerge w:val="continue"/>
                  <w:noWrap w:val="0"/>
                  <w:vAlign w:val="center"/>
                </w:tcPr>
                <w:p w14:paraId="7D4CFB0C">
                  <w:pPr>
                    <w:pStyle w:val="31"/>
                    <w:bidi w:val="0"/>
                    <w:rPr>
                      <w:rFonts w:hint="default" w:ascii="Times New Roman" w:hAnsi="Times New Roman" w:cs="Times New Roman"/>
                      <w:color w:val="000000"/>
                      <w:highlight w:val="none"/>
                      <w:lang w:val="en-US" w:eastAsia="zh-CN"/>
                    </w:rPr>
                  </w:pPr>
                </w:p>
              </w:tc>
              <w:tc>
                <w:tcPr>
                  <w:tcW w:w="606" w:type="pct"/>
                  <w:noWrap w:val="0"/>
                  <w:vAlign w:val="center"/>
                </w:tcPr>
                <w:p w14:paraId="4EDE86F0">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SS</w:t>
                  </w:r>
                </w:p>
              </w:tc>
              <w:tc>
                <w:tcPr>
                  <w:tcW w:w="625" w:type="pct"/>
                  <w:noWrap w:val="0"/>
                  <w:vAlign w:val="center"/>
                </w:tcPr>
                <w:p w14:paraId="447B72FA">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350</w:t>
                  </w:r>
                </w:p>
              </w:tc>
              <w:tc>
                <w:tcPr>
                  <w:tcW w:w="684" w:type="pct"/>
                  <w:noWrap w:val="0"/>
                  <w:vAlign w:val="center"/>
                </w:tcPr>
                <w:p w14:paraId="6AE61A53">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 xml:space="preserve">0.0048 </w:t>
                  </w:r>
                </w:p>
              </w:tc>
              <w:tc>
                <w:tcPr>
                  <w:tcW w:w="1706" w:type="pct"/>
                  <w:vMerge w:val="continue"/>
                  <w:noWrap w:val="0"/>
                  <w:vAlign w:val="center"/>
                </w:tcPr>
                <w:p w14:paraId="453A886F">
                  <w:pPr>
                    <w:pStyle w:val="31"/>
                    <w:bidi w:val="0"/>
                    <w:jc w:val="center"/>
                    <w:rPr>
                      <w:rFonts w:hint="default" w:ascii="Times New Roman" w:hAnsi="Times New Roman" w:cs="Times New Roman"/>
                      <w:color w:val="000000"/>
                      <w:highlight w:val="none"/>
                      <w:lang w:val="en-US" w:eastAsia="zh-CN"/>
                    </w:rPr>
                  </w:pPr>
                </w:p>
              </w:tc>
            </w:tr>
            <w:tr w14:paraId="07050E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776" w:type="pct"/>
                  <w:vMerge w:val="continue"/>
                  <w:noWrap w:val="0"/>
                  <w:vAlign w:val="center"/>
                </w:tcPr>
                <w:p w14:paraId="1F3BCBC3">
                  <w:pPr>
                    <w:pStyle w:val="31"/>
                    <w:bidi w:val="0"/>
                    <w:jc w:val="center"/>
                    <w:rPr>
                      <w:rFonts w:hint="default" w:ascii="Times New Roman" w:hAnsi="Times New Roman" w:cs="Times New Roman"/>
                      <w:color w:val="000000"/>
                      <w:highlight w:val="none"/>
                      <w:lang w:val="en-US" w:eastAsia="zh-CN"/>
                    </w:rPr>
                  </w:pPr>
                </w:p>
              </w:tc>
              <w:tc>
                <w:tcPr>
                  <w:tcW w:w="600" w:type="pct"/>
                  <w:vMerge w:val="continue"/>
                  <w:noWrap w:val="0"/>
                  <w:vAlign w:val="center"/>
                </w:tcPr>
                <w:p w14:paraId="1124841F">
                  <w:pPr>
                    <w:pStyle w:val="31"/>
                    <w:bidi w:val="0"/>
                    <w:rPr>
                      <w:rFonts w:hint="default" w:ascii="Times New Roman" w:hAnsi="Times New Roman" w:cs="Times New Roman"/>
                      <w:color w:val="000000"/>
                      <w:highlight w:val="none"/>
                      <w:lang w:val="en-US" w:eastAsia="zh-CN"/>
                    </w:rPr>
                  </w:pPr>
                </w:p>
              </w:tc>
              <w:tc>
                <w:tcPr>
                  <w:tcW w:w="606" w:type="pct"/>
                  <w:noWrap w:val="0"/>
                  <w:vAlign w:val="center"/>
                </w:tcPr>
                <w:p w14:paraId="05181173">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NH</w:t>
                  </w:r>
                  <w:r>
                    <w:rPr>
                      <w:rFonts w:hint="default" w:ascii="Times New Roman" w:hAnsi="Times New Roman" w:cs="Times New Roman"/>
                      <w:color w:val="000000"/>
                      <w:highlight w:val="none"/>
                      <w:vertAlign w:val="subscript"/>
                      <w:lang w:val="en-US" w:eastAsia="zh-CN"/>
                    </w:rPr>
                    <w:t>3</w:t>
                  </w:r>
                  <w:r>
                    <w:rPr>
                      <w:rFonts w:hint="default" w:ascii="Times New Roman" w:hAnsi="Times New Roman" w:cs="Times New Roman"/>
                      <w:color w:val="000000"/>
                      <w:highlight w:val="none"/>
                      <w:lang w:val="en-US" w:eastAsia="zh-CN"/>
                    </w:rPr>
                    <w:t>-N</w:t>
                  </w:r>
                </w:p>
              </w:tc>
              <w:tc>
                <w:tcPr>
                  <w:tcW w:w="625" w:type="pct"/>
                  <w:noWrap w:val="0"/>
                  <w:vAlign w:val="center"/>
                </w:tcPr>
                <w:p w14:paraId="7B03E8AE">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35</w:t>
                  </w:r>
                </w:p>
              </w:tc>
              <w:tc>
                <w:tcPr>
                  <w:tcW w:w="684" w:type="pct"/>
                  <w:noWrap w:val="0"/>
                  <w:vAlign w:val="center"/>
                </w:tcPr>
                <w:p w14:paraId="3B88FA26">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 xml:space="preserve">0.0005 </w:t>
                  </w:r>
                </w:p>
              </w:tc>
              <w:tc>
                <w:tcPr>
                  <w:tcW w:w="1706" w:type="pct"/>
                  <w:vMerge w:val="continue"/>
                  <w:noWrap w:val="0"/>
                  <w:vAlign w:val="center"/>
                </w:tcPr>
                <w:p w14:paraId="0B2DB010">
                  <w:pPr>
                    <w:pStyle w:val="31"/>
                    <w:bidi w:val="0"/>
                    <w:jc w:val="center"/>
                    <w:rPr>
                      <w:rFonts w:hint="default" w:ascii="Times New Roman" w:hAnsi="Times New Roman" w:cs="Times New Roman"/>
                      <w:color w:val="000000"/>
                      <w:highlight w:val="none"/>
                      <w:lang w:val="en-US" w:eastAsia="zh-CN"/>
                    </w:rPr>
                  </w:pPr>
                </w:p>
              </w:tc>
            </w:tr>
            <w:tr w14:paraId="359616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776" w:type="pct"/>
                  <w:vMerge w:val="restart"/>
                  <w:noWrap w:val="0"/>
                  <w:vAlign w:val="center"/>
                </w:tcPr>
                <w:p w14:paraId="3CE2FEE8">
                  <w:pPr>
                    <w:pStyle w:val="31"/>
                    <w:bidi w:val="0"/>
                    <w:jc w:val="center"/>
                    <w:rPr>
                      <w:rFonts w:hint="default" w:ascii="Times New Roman" w:hAnsi="Times New Roman" w:cs="Times New Roman"/>
                      <w:color w:val="000000"/>
                      <w:highlight w:val="none"/>
                      <w:lang w:val="en-US" w:eastAsia="zh-CN"/>
                    </w:rPr>
                  </w:pPr>
                  <w:r>
                    <w:rPr>
                      <w:rStyle w:val="23"/>
                      <w:rFonts w:hint="default" w:ascii="Times New Roman" w:hAnsi="Times New Roman" w:cs="Times New Roman"/>
                      <w:color w:val="000000"/>
                      <w:highlight w:val="none"/>
                    </w:rPr>
                    <w:t>码头冲洗废水</w:t>
                  </w:r>
                </w:p>
              </w:tc>
              <w:tc>
                <w:tcPr>
                  <w:tcW w:w="600" w:type="pct"/>
                  <w:vMerge w:val="restart"/>
                  <w:noWrap w:val="0"/>
                  <w:vAlign w:val="center"/>
                </w:tcPr>
                <w:p w14:paraId="0AA21C72">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7.48</w:t>
                  </w:r>
                </w:p>
              </w:tc>
              <w:tc>
                <w:tcPr>
                  <w:tcW w:w="606" w:type="pct"/>
                  <w:noWrap w:val="0"/>
                  <w:vAlign w:val="center"/>
                </w:tcPr>
                <w:p w14:paraId="4853BAFB">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COD</w:t>
                  </w:r>
                </w:p>
              </w:tc>
              <w:tc>
                <w:tcPr>
                  <w:tcW w:w="625" w:type="pct"/>
                  <w:noWrap w:val="0"/>
                  <w:vAlign w:val="center"/>
                </w:tcPr>
                <w:p w14:paraId="689B2962">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500</w:t>
                  </w:r>
                </w:p>
              </w:tc>
              <w:tc>
                <w:tcPr>
                  <w:tcW w:w="684" w:type="pct"/>
                  <w:noWrap w:val="0"/>
                  <w:vAlign w:val="center"/>
                </w:tcPr>
                <w:p w14:paraId="0DEA4963">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 xml:space="preserve">0.0037 </w:t>
                  </w:r>
                </w:p>
              </w:tc>
              <w:tc>
                <w:tcPr>
                  <w:tcW w:w="1706" w:type="pct"/>
                  <w:vMerge w:val="restart"/>
                  <w:noWrap w:val="0"/>
                  <w:vAlign w:val="center"/>
                </w:tcPr>
                <w:p w14:paraId="5D30E9D6">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rPr>
                    <w:t>码头区域设置收集沟，码头作业面清洗废水经收集后，接入港区自建污水处理站处理。</w:t>
                  </w:r>
                </w:p>
              </w:tc>
            </w:tr>
            <w:tr w14:paraId="4272BC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776" w:type="pct"/>
                  <w:vMerge w:val="continue"/>
                  <w:noWrap w:val="0"/>
                  <w:vAlign w:val="center"/>
                </w:tcPr>
                <w:p w14:paraId="25D037E7">
                  <w:pPr>
                    <w:pStyle w:val="31"/>
                    <w:bidi w:val="0"/>
                    <w:jc w:val="center"/>
                    <w:rPr>
                      <w:rFonts w:hint="default" w:ascii="Times New Roman" w:hAnsi="Times New Roman" w:cs="Times New Roman"/>
                      <w:color w:val="000000"/>
                      <w:highlight w:val="none"/>
                      <w:lang w:val="en-US" w:eastAsia="zh-CN"/>
                    </w:rPr>
                  </w:pPr>
                </w:p>
              </w:tc>
              <w:tc>
                <w:tcPr>
                  <w:tcW w:w="600" w:type="pct"/>
                  <w:vMerge w:val="continue"/>
                  <w:noWrap w:val="0"/>
                  <w:vAlign w:val="center"/>
                </w:tcPr>
                <w:p w14:paraId="727072F1">
                  <w:pPr>
                    <w:pStyle w:val="31"/>
                    <w:bidi w:val="0"/>
                    <w:rPr>
                      <w:rFonts w:hint="default" w:ascii="Times New Roman" w:hAnsi="Times New Roman" w:cs="Times New Roman"/>
                      <w:color w:val="000000"/>
                      <w:highlight w:val="none"/>
                      <w:lang w:val="en-US" w:eastAsia="zh-CN"/>
                    </w:rPr>
                  </w:pPr>
                </w:p>
              </w:tc>
              <w:tc>
                <w:tcPr>
                  <w:tcW w:w="606" w:type="pct"/>
                  <w:noWrap w:val="0"/>
                  <w:vAlign w:val="center"/>
                </w:tcPr>
                <w:p w14:paraId="3CB761AA">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BOD</w:t>
                  </w:r>
                  <w:r>
                    <w:rPr>
                      <w:rFonts w:hint="default" w:ascii="Times New Roman" w:hAnsi="Times New Roman" w:cs="Times New Roman"/>
                      <w:color w:val="000000"/>
                      <w:highlight w:val="none"/>
                      <w:vertAlign w:val="subscript"/>
                      <w:lang w:val="en-US" w:eastAsia="zh-CN"/>
                    </w:rPr>
                    <w:t>5</w:t>
                  </w:r>
                </w:p>
              </w:tc>
              <w:tc>
                <w:tcPr>
                  <w:tcW w:w="625" w:type="pct"/>
                  <w:noWrap w:val="0"/>
                  <w:vAlign w:val="center"/>
                </w:tcPr>
                <w:p w14:paraId="47162EC1">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300</w:t>
                  </w:r>
                </w:p>
              </w:tc>
              <w:tc>
                <w:tcPr>
                  <w:tcW w:w="684" w:type="pct"/>
                  <w:noWrap w:val="0"/>
                  <w:vAlign w:val="center"/>
                </w:tcPr>
                <w:p w14:paraId="69DF4604">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 xml:space="preserve">0.0022 </w:t>
                  </w:r>
                </w:p>
              </w:tc>
              <w:tc>
                <w:tcPr>
                  <w:tcW w:w="1706" w:type="pct"/>
                  <w:vMerge w:val="continue"/>
                  <w:noWrap w:val="0"/>
                  <w:vAlign w:val="center"/>
                </w:tcPr>
                <w:p w14:paraId="37185850">
                  <w:pPr>
                    <w:pStyle w:val="31"/>
                    <w:bidi w:val="0"/>
                    <w:jc w:val="center"/>
                    <w:rPr>
                      <w:rFonts w:hint="default" w:ascii="Times New Roman" w:hAnsi="Times New Roman" w:cs="Times New Roman"/>
                      <w:color w:val="000000"/>
                      <w:highlight w:val="none"/>
                      <w:lang w:val="en-US" w:eastAsia="zh-CN"/>
                    </w:rPr>
                  </w:pPr>
                </w:p>
              </w:tc>
            </w:tr>
            <w:tr w14:paraId="5304C1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776" w:type="pct"/>
                  <w:vMerge w:val="continue"/>
                  <w:noWrap w:val="0"/>
                  <w:vAlign w:val="center"/>
                </w:tcPr>
                <w:p w14:paraId="68D874B2">
                  <w:pPr>
                    <w:pStyle w:val="31"/>
                    <w:bidi w:val="0"/>
                    <w:jc w:val="center"/>
                    <w:rPr>
                      <w:rFonts w:hint="default" w:ascii="Times New Roman" w:hAnsi="Times New Roman" w:cs="Times New Roman"/>
                      <w:color w:val="000000"/>
                      <w:highlight w:val="none"/>
                      <w:lang w:val="en-US" w:eastAsia="zh-CN"/>
                    </w:rPr>
                  </w:pPr>
                </w:p>
              </w:tc>
              <w:tc>
                <w:tcPr>
                  <w:tcW w:w="600" w:type="pct"/>
                  <w:vMerge w:val="continue"/>
                  <w:noWrap w:val="0"/>
                  <w:vAlign w:val="center"/>
                </w:tcPr>
                <w:p w14:paraId="5D89435D">
                  <w:pPr>
                    <w:pStyle w:val="31"/>
                    <w:bidi w:val="0"/>
                    <w:rPr>
                      <w:rFonts w:hint="default" w:ascii="Times New Roman" w:hAnsi="Times New Roman" w:cs="Times New Roman"/>
                      <w:color w:val="000000"/>
                      <w:highlight w:val="none"/>
                      <w:lang w:val="en-US" w:eastAsia="zh-CN"/>
                    </w:rPr>
                  </w:pPr>
                </w:p>
              </w:tc>
              <w:tc>
                <w:tcPr>
                  <w:tcW w:w="606" w:type="pct"/>
                  <w:noWrap w:val="0"/>
                  <w:vAlign w:val="center"/>
                </w:tcPr>
                <w:p w14:paraId="45026714">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SS</w:t>
                  </w:r>
                </w:p>
              </w:tc>
              <w:tc>
                <w:tcPr>
                  <w:tcW w:w="625" w:type="pct"/>
                  <w:noWrap w:val="0"/>
                  <w:vAlign w:val="center"/>
                </w:tcPr>
                <w:p w14:paraId="63838D5C">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400</w:t>
                  </w:r>
                </w:p>
              </w:tc>
              <w:tc>
                <w:tcPr>
                  <w:tcW w:w="684" w:type="pct"/>
                  <w:noWrap w:val="0"/>
                  <w:vAlign w:val="center"/>
                </w:tcPr>
                <w:p w14:paraId="140EF83B">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 xml:space="preserve">0.0030 </w:t>
                  </w:r>
                </w:p>
              </w:tc>
              <w:tc>
                <w:tcPr>
                  <w:tcW w:w="1706" w:type="pct"/>
                  <w:vMerge w:val="continue"/>
                  <w:noWrap w:val="0"/>
                  <w:vAlign w:val="center"/>
                </w:tcPr>
                <w:p w14:paraId="4C806EFB">
                  <w:pPr>
                    <w:pStyle w:val="31"/>
                    <w:bidi w:val="0"/>
                    <w:jc w:val="center"/>
                    <w:rPr>
                      <w:rFonts w:hint="default" w:ascii="Times New Roman" w:hAnsi="Times New Roman" w:cs="Times New Roman"/>
                      <w:color w:val="000000"/>
                      <w:highlight w:val="none"/>
                      <w:lang w:val="en-US" w:eastAsia="zh-CN"/>
                    </w:rPr>
                  </w:pPr>
                </w:p>
              </w:tc>
            </w:tr>
            <w:tr w14:paraId="085ACD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776" w:type="pct"/>
                  <w:vMerge w:val="continue"/>
                  <w:noWrap w:val="0"/>
                  <w:vAlign w:val="center"/>
                </w:tcPr>
                <w:p w14:paraId="4C5C38A4">
                  <w:pPr>
                    <w:pStyle w:val="31"/>
                    <w:bidi w:val="0"/>
                    <w:jc w:val="center"/>
                    <w:rPr>
                      <w:rFonts w:hint="default" w:ascii="Times New Roman" w:hAnsi="Times New Roman" w:cs="Times New Roman"/>
                      <w:color w:val="000000"/>
                      <w:highlight w:val="none"/>
                      <w:lang w:val="en-US" w:eastAsia="zh-CN"/>
                    </w:rPr>
                  </w:pPr>
                </w:p>
              </w:tc>
              <w:tc>
                <w:tcPr>
                  <w:tcW w:w="600" w:type="pct"/>
                  <w:vMerge w:val="continue"/>
                  <w:noWrap w:val="0"/>
                  <w:vAlign w:val="center"/>
                </w:tcPr>
                <w:p w14:paraId="79F0A4AA">
                  <w:pPr>
                    <w:pStyle w:val="31"/>
                    <w:bidi w:val="0"/>
                    <w:rPr>
                      <w:rFonts w:hint="default" w:ascii="Times New Roman" w:hAnsi="Times New Roman" w:cs="Times New Roman"/>
                      <w:color w:val="000000"/>
                      <w:highlight w:val="none"/>
                      <w:lang w:val="en-US" w:eastAsia="zh-CN"/>
                    </w:rPr>
                  </w:pPr>
                </w:p>
              </w:tc>
              <w:tc>
                <w:tcPr>
                  <w:tcW w:w="606" w:type="pct"/>
                  <w:noWrap w:val="0"/>
                  <w:vAlign w:val="center"/>
                </w:tcPr>
                <w:p w14:paraId="72447E40">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NH</w:t>
                  </w:r>
                  <w:r>
                    <w:rPr>
                      <w:rFonts w:hint="default" w:ascii="Times New Roman" w:hAnsi="Times New Roman" w:cs="Times New Roman"/>
                      <w:color w:val="000000"/>
                      <w:highlight w:val="none"/>
                      <w:vertAlign w:val="subscript"/>
                      <w:lang w:val="en-US" w:eastAsia="zh-CN"/>
                    </w:rPr>
                    <w:t>3</w:t>
                  </w:r>
                  <w:r>
                    <w:rPr>
                      <w:rFonts w:hint="default" w:ascii="Times New Roman" w:hAnsi="Times New Roman" w:cs="Times New Roman"/>
                      <w:color w:val="000000"/>
                      <w:highlight w:val="none"/>
                      <w:lang w:val="en-US" w:eastAsia="zh-CN"/>
                    </w:rPr>
                    <w:t>-N</w:t>
                  </w:r>
                </w:p>
              </w:tc>
              <w:tc>
                <w:tcPr>
                  <w:tcW w:w="625" w:type="pct"/>
                  <w:noWrap w:val="0"/>
                  <w:vAlign w:val="center"/>
                </w:tcPr>
                <w:p w14:paraId="10CB02EE">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40</w:t>
                  </w:r>
                </w:p>
              </w:tc>
              <w:tc>
                <w:tcPr>
                  <w:tcW w:w="684" w:type="pct"/>
                  <w:noWrap w:val="0"/>
                  <w:vAlign w:val="center"/>
                </w:tcPr>
                <w:p w14:paraId="7B1E3F4E">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 xml:space="preserve">0.0003 </w:t>
                  </w:r>
                </w:p>
              </w:tc>
              <w:tc>
                <w:tcPr>
                  <w:tcW w:w="1706" w:type="pct"/>
                  <w:vMerge w:val="continue"/>
                  <w:noWrap w:val="0"/>
                  <w:vAlign w:val="center"/>
                </w:tcPr>
                <w:p w14:paraId="21E0C075">
                  <w:pPr>
                    <w:pStyle w:val="31"/>
                    <w:bidi w:val="0"/>
                    <w:jc w:val="center"/>
                    <w:rPr>
                      <w:rFonts w:hint="default" w:ascii="Times New Roman" w:hAnsi="Times New Roman" w:cs="Times New Roman"/>
                      <w:color w:val="000000"/>
                      <w:highlight w:val="none"/>
                      <w:lang w:val="en-US" w:eastAsia="zh-CN"/>
                    </w:rPr>
                  </w:pPr>
                </w:p>
              </w:tc>
            </w:tr>
            <w:tr w14:paraId="1DE828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776" w:type="pct"/>
                  <w:vMerge w:val="restart"/>
                  <w:noWrap w:val="0"/>
                  <w:vAlign w:val="center"/>
                </w:tcPr>
                <w:p w14:paraId="1A58786C">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卸渔区</w:t>
                  </w:r>
                  <w:r>
                    <w:rPr>
                      <w:rFonts w:hint="default" w:ascii="Times New Roman" w:hAnsi="Times New Roman" w:cs="Times New Roman"/>
                      <w:color w:val="000000"/>
                      <w:highlight w:val="none"/>
                      <w:lang w:eastAsia="zh-CN"/>
                    </w:rPr>
                    <w:t>冲洗废水</w:t>
                  </w:r>
                </w:p>
              </w:tc>
              <w:tc>
                <w:tcPr>
                  <w:tcW w:w="600" w:type="pct"/>
                  <w:vMerge w:val="restart"/>
                  <w:noWrap w:val="0"/>
                  <w:vAlign w:val="center"/>
                </w:tcPr>
                <w:p w14:paraId="7F8D7D08">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18.99</w:t>
                  </w:r>
                </w:p>
              </w:tc>
              <w:tc>
                <w:tcPr>
                  <w:tcW w:w="606" w:type="pct"/>
                  <w:noWrap w:val="0"/>
                  <w:vAlign w:val="center"/>
                </w:tcPr>
                <w:p w14:paraId="7E546592">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COD</w:t>
                  </w:r>
                </w:p>
              </w:tc>
              <w:tc>
                <w:tcPr>
                  <w:tcW w:w="625" w:type="pct"/>
                  <w:noWrap w:val="0"/>
                  <w:vAlign w:val="center"/>
                </w:tcPr>
                <w:p w14:paraId="6DC82444">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500</w:t>
                  </w:r>
                </w:p>
              </w:tc>
              <w:tc>
                <w:tcPr>
                  <w:tcW w:w="684" w:type="pct"/>
                  <w:noWrap w:val="0"/>
                  <w:vAlign w:val="center"/>
                </w:tcPr>
                <w:p w14:paraId="7564B732">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 xml:space="preserve">0.0112 </w:t>
                  </w:r>
                </w:p>
              </w:tc>
              <w:tc>
                <w:tcPr>
                  <w:tcW w:w="1706" w:type="pct"/>
                  <w:vMerge w:val="restart"/>
                  <w:noWrap w:val="0"/>
                  <w:vAlign w:val="center"/>
                </w:tcPr>
                <w:p w14:paraId="51409F5F">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卸渔区</w:t>
                  </w:r>
                  <w:r>
                    <w:rPr>
                      <w:rFonts w:hint="default" w:ascii="Times New Roman" w:hAnsi="Times New Roman" w:cs="Times New Roman"/>
                      <w:color w:val="000000"/>
                      <w:highlight w:val="none"/>
                    </w:rPr>
                    <w:t>域设置收集沟，</w:t>
                  </w:r>
                  <w:r>
                    <w:rPr>
                      <w:rFonts w:hint="default" w:ascii="Times New Roman" w:hAnsi="Times New Roman" w:cs="Times New Roman"/>
                      <w:color w:val="000000"/>
                      <w:highlight w:val="none"/>
                      <w:lang w:val="en-US" w:eastAsia="zh-CN"/>
                    </w:rPr>
                    <w:t>卸渔区</w:t>
                  </w:r>
                  <w:r>
                    <w:rPr>
                      <w:rFonts w:hint="default" w:ascii="Times New Roman" w:hAnsi="Times New Roman" w:cs="Times New Roman"/>
                      <w:color w:val="000000"/>
                      <w:highlight w:val="none"/>
                    </w:rPr>
                    <w:t>清洗废水经收集后，接入港区自建污水处理站处理。</w:t>
                  </w:r>
                </w:p>
              </w:tc>
            </w:tr>
            <w:tr w14:paraId="463C6B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776" w:type="pct"/>
                  <w:vMerge w:val="continue"/>
                  <w:noWrap w:val="0"/>
                  <w:vAlign w:val="center"/>
                </w:tcPr>
                <w:p w14:paraId="3F7AFB75">
                  <w:pPr>
                    <w:pStyle w:val="31"/>
                    <w:bidi w:val="0"/>
                    <w:jc w:val="center"/>
                    <w:rPr>
                      <w:rFonts w:hint="default" w:ascii="Times New Roman" w:hAnsi="Times New Roman" w:cs="Times New Roman"/>
                      <w:color w:val="000000"/>
                      <w:highlight w:val="none"/>
                      <w:lang w:val="en-US" w:eastAsia="zh-CN"/>
                    </w:rPr>
                  </w:pPr>
                </w:p>
              </w:tc>
              <w:tc>
                <w:tcPr>
                  <w:tcW w:w="600" w:type="pct"/>
                  <w:vMerge w:val="continue"/>
                  <w:noWrap w:val="0"/>
                  <w:vAlign w:val="center"/>
                </w:tcPr>
                <w:p w14:paraId="1F3F6EF1">
                  <w:pPr>
                    <w:pStyle w:val="31"/>
                    <w:bidi w:val="0"/>
                    <w:rPr>
                      <w:rFonts w:hint="default" w:ascii="Times New Roman" w:hAnsi="Times New Roman" w:cs="Times New Roman"/>
                      <w:color w:val="000000"/>
                      <w:highlight w:val="none"/>
                      <w:lang w:val="en-US" w:eastAsia="zh-CN"/>
                    </w:rPr>
                  </w:pPr>
                </w:p>
              </w:tc>
              <w:tc>
                <w:tcPr>
                  <w:tcW w:w="606" w:type="pct"/>
                  <w:noWrap w:val="0"/>
                  <w:vAlign w:val="center"/>
                </w:tcPr>
                <w:p w14:paraId="450501C0">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BOD</w:t>
                  </w:r>
                  <w:r>
                    <w:rPr>
                      <w:rFonts w:hint="default" w:ascii="Times New Roman" w:hAnsi="Times New Roman" w:cs="Times New Roman"/>
                      <w:color w:val="000000"/>
                      <w:highlight w:val="none"/>
                      <w:vertAlign w:val="subscript"/>
                      <w:lang w:val="en-US" w:eastAsia="zh-CN"/>
                    </w:rPr>
                    <w:t>5</w:t>
                  </w:r>
                </w:p>
              </w:tc>
              <w:tc>
                <w:tcPr>
                  <w:tcW w:w="625" w:type="pct"/>
                  <w:noWrap w:val="0"/>
                  <w:vAlign w:val="center"/>
                </w:tcPr>
                <w:p w14:paraId="364041AB">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300</w:t>
                  </w:r>
                </w:p>
              </w:tc>
              <w:tc>
                <w:tcPr>
                  <w:tcW w:w="684" w:type="pct"/>
                  <w:noWrap w:val="0"/>
                  <w:vAlign w:val="center"/>
                </w:tcPr>
                <w:p w14:paraId="7487D89A">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 xml:space="preserve">0.0067 </w:t>
                  </w:r>
                </w:p>
              </w:tc>
              <w:tc>
                <w:tcPr>
                  <w:tcW w:w="1706" w:type="pct"/>
                  <w:vMerge w:val="continue"/>
                  <w:noWrap w:val="0"/>
                  <w:vAlign w:val="center"/>
                </w:tcPr>
                <w:p w14:paraId="442CBD88">
                  <w:pPr>
                    <w:pStyle w:val="31"/>
                    <w:bidi w:val="0"/>
                    <w:jc w:val="center"/>
                    <w:rPr>
                      <w:rFonts w:hint="default" w:ascii="Times New Roman" w:hAnsi="Times New Roman" w:cs="Times New Roman"/>
                      <w:color w:val="000000"/>
                      <w:highlight w:val="none"/>
                      <w:lang w:val="en-US" w:eastAsia="zh-CN"/>
                    </w:rPr>
                  </w:pPr>
                </w:p>
              </w:tc>
            </w:tr>
            <w:tr w14:paraId="23AC4C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776" w:type="pct"/>
                  <w:vMerge w:val="continue"/>
                  <w:noWrap w:val="0"/>
                  <w:vAlign w:val="center"/>
                </w:tcPr>
                <w:p w14:paraId="70B93882">
                  <w:pPr>
                    <w:pStyle w:val="31"/>
                    <w:bidi w:val="0"/>
                    <w:jc w:val="center"/>
                    <w:rPr>
                      <w:rFonts w:hint="default" w:ascii="Times New Roman" w:hAnsi="Times New Roman" w:cs="Times New Roman"/>
                      <w:color w:val="000000"/>
                      <w:highlight w:val="none"/>
                      <w:lang w:val="en-US" w:eastAsia="zh-CN"/>
                    </w:rPr>
                  </w:pPr>
                </w:p>
              </w:tc>
              <w:tc>
                <w:tcPr>
                  <w:tcW w:w="600" w:type="pct"/>
                  <w:vMerge w:val="continue"/>
                  <w:noWrap w:val="0"/>
                  <w:vAlign w:val="center"/>
                </w:tcPr>
                <w:p w14:paraId="02A9AFE0">
                  <w:pPr>
                    <w:pStyle w:val="31"/>
                    <w:bidi w:val="0"/>
                    <w:rPr>
                      <w:rFonts w:hint="default" w:ascii="Times New Roman" w:hAnsi="Times New Roman" w:cs="Times New Roman"/>
                      <w:color w:val="000000"/>
                      <w:highlight w:val="none"/>
                      <w:lang w:val="en-US" w:eastAsia="zh-CN"/>
                    </w:rPr>
                  </w:pPr>
                </w:p>
              </w:tc>
              <w:tc>
                <w:tcPr>
                  <w:tcW w:w="606" w:type="pct"/>
                  <w:noWrap w:val="0"/>
                  <w:vAlign w:val="center"/>
                </w:tcPr>
                <w:p w14:paraId="61DD85B8">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SS</w:t>
                  </w:r>
                </w:p>
              </w:tc>
              <w:tc>
                <w:tcPr>
                  <w:tcW w:w="625" w:type="pct"/>
                  <w:noWrap w:val="0"/>
                  <w:vAlign w:val="center"/>
                </w:tcPr>
                <w:p w14:paraId="20209788">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400</w:t>
                  </w:r>
                </w:p>
              </w:tc>
              <w:tc>
                <w:tcPr>
                  <w:tcW w:w="684" w:type="pct"/>
                  <w:noWrap w:val="0"/>
                  <w:vAlign w:val="center"/>
                </w:tcPr>
                <w:p w14:paraId="73220F96">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 xml:space="preserve">0.0089 </w:t>
                  </w:r>
                </w:p>
              </w:tc>
              <w:tc>
                <w:tcPr>
                  <w:tcW w:w="1706" w:type="pct"/>
                  <w:vMerge w:val="continue"/>
                  <w:noWrap w:val="0"/>
                  <w:vAlign w:val="center"/>
                </w:tcPr>
                <w:p w14:paraId="4280CCF9">
                  <w:pPr>
                    <w:pStyle w:val="31"/>
                    <w:bidi w:val="0"/>
                    <w:jc w:val="center"/>
                    <w:rPr>
                      <w:rFonts w:hint="default" w:ascii="Times New Roman" w:hAnsi="Times New Roman" w:cs="Times New Roman"/>
                      <w:color w:val="000000"/>
                      <w:highlight w:val="none"/>
                      <w:lang w:val="en-US" w:eastAsia="zh-CN"/>
                    </w:rPr>
                  </w:pPr>
                </w:p>
              </w:tc>
            </w:tr>
            <w:tr w14:paraId="2547C5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776" w:type="pct"/>
                  <w:vMerge w:val="continue"/>
                  <w:noWrap w:val="0"/>
                  <w:vAlign w:val="center"/>
                </w:tcPr>
                <w:p w14:paraId="54A7BACA">
                  <w:pPr>
                    <w:pStyle w:val="31"/>
                    <w:bidi w:val="0"/>
                    <w:jc w:val="center"/>
                    <w:rPr>
                      <w:rFonts w:hint="default" w:ascii="Times New Roman" w:hAnsi="Times New Roman" w:cs="Times New Roman"/>
                      <w:color w:val="000000"/>
                      <w:highlight w:val="none"/>
                      <w:lang w:val="en-US" w:eastAsia="zh-CN"/>
                    </w:rPr>
                  </w:pPr>
                </w:p>
              </w:tc>
              <w:tc>
                <w:tcPr>
                  <w:tcW w:w="600" w:type="pct"/>
                  <w:vMerge w:val="continue"/>
                  <w:noWrap w:val="0"/>
                  <w:vAlign w:val="center"/>
                </w:tcPr>
                <w:p w14:paraId="07AAB813">
                  <w:pPr>
                    <w:pStyle w:val="31"/>
                    <w:bidi w:val="0"/>
                    <w:rPr>
                      <w:rFonts w:hint="default" w:ascii="Times New Roman" w:hAnsi="Times New Roman" w:cs="Times New Roman"/>
                      <w:color w:val="000000"/>
                      <w:highlight w:val="none"/>
                      <w:lang w:val="en-US" w:eastAsia="zh-CN"/>
                    </w:rPr>
                  </w:pPr>
                </w:p>
              </w:tc>
              <w:tc>
                <w:tcPr>
                  <w:tcW w:w="606" w:type="pct"/>
                  <w:noWrap w:val="0"/>
                  <w:vAlign w:val="center"/>
                </w:tcPr>
                <w:p w14:paraId="4F12CCBF">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NH</w:t>
                  </w:r>
                  <w:r>
                    <w:rPr>
                      <w:rFonts w:hint="default" w:ascii="Times New Roman" w:hAnsi="Times New Roman" w:cs="Times New Roman"/>
                      <w:color w:val="000000"/>
                      <w:highlight w:val="none"/>
                      <w:vertAlign w:val="subscript"/>
                      <w:lang w:val="en-US" w:eastAsia="zh-CN"/>
                    </w:rPr>
                    <w:t>3</w:t>
                  </w:r>
                  <w:r>
                    <w:rPr>
                      <w:rFonts w:hint="default" w:ascii="Times New Roman" w:hAnsi="Times New Roman" w:cs="Times New Roman"/>
                      <w:color w:val="000000"/>
                      <w:highlight w:val="none"/>
                      <w:lang w:val="en-US" w:eastAsia="zh-CN"/>
                    </w:rPr>
                    <w:t>-N</w:t>
                  </w:r>
                </w:p>
              </w:tc>
              <w:tc>
                <w:tcPr>
                  <w:tcW w:w="625" w:type="pct"/>
                  <w:noWrap w:val="0"/>
                  <w:vAlign w:val="center"/>
                </w:tcPr>
                <w:p w14:paraId="34394F13">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40</w:t>
                  </w:r>
                </w:p>
              </w:tc>
              <w:tc>
                <w:tcPr>
                  <w:tcW w:w="684" w:type="pct"/>
                  <w:noWrap w:val="0"/>
                  <w:vAlign w:val="center"/>
                </w:tcPr>
                <w:p w14:paraId="005866E0">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 xml:space="preserve">0.0009 </w:t>
                  </w:r>
                </w:p>
              </w:tc>
              <w:tc>
                <w:tcPr>
                  <w:tcW w:w="1706" w:type="pct"/>
                  <w:vMerge w:val="continue"/>
                  <w:noWrap w:val="0"/>
                  <w:vAlign w:val="center"/>
                </w:tcPr>
                <w:p w14:paraId="7FA4D33B">
                  <w:pPr>
                    <w:pStyle w:val="31"/>
                    <w:bidi w:val="0"/>
                    <w:jc w:val="center"/>
                    <w:rPr>
                      <w:rFonts w:hint="default" w:ascii="Times New Roman" w:hAnsi="Times New Roman" w:cs="Times New Roman"/>
                      <w:color w:val="000000"/>
                      <w:highlight w:val="none"/>
                      <w:lang w:val="en-US" w:eastAsia="zh-CN"/>
                    </w:rPr>
                  </w:pPr>
                </w:p>
              </w:tc>
            </w:tr>
            <w:tr w14:paraId="763A9D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776" w:type="pct"/>
                  <w:vMerge w:val="restart"/>
                  <w:noWrap w:val="0"/>
                  <w:vAlign w:val="center"/>
                </w:tcPr>
                <w:p w14:paraId="7CC5A32F">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港区生活污水</w:t>
                  </w:r>
                </w:p>
              </w:tc>
              <w:tc>
                <w:tcPr>
                  <w:tcW w:w="600" w:type="pct"/>
                  <w:vMerge w:val="restart"/>
                  <w:noWrap w:val="0"/>
                  <w:vAlign w:val="center"/>
                </w:tcPr>
                <w:p w14:paraId="449BDE59">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18.36</w:t>
                  </w:r>
                </w:p>
              </w:tc>
              <w:tc>
                <w:tcPr>
                  <w:tcW w:w="606" w:type="pct"/>
                  <w:noWrap w:val="0"/>
                  <w:vAlign w:val="center"/>
                </w:tcPr>
                <w:p w14:paraId="277F4E45">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COD</w:t>
                  </w:r>
                </w:p>
              </w:tc>
              <w:tc>
                <w:tcPr>
                  <w:tcW w:w="625" w:type="pct"/>
                  <w:noWrap w:val="0"/>
                  <w:vAlign w:val="center"/>
                </w:tcPr>
                <w:p w14:paraId="628EF9CD">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400</w:t>
                  </w:r>
                </w:p>
              </w:tc>
              <w:tc>
                <w:tcPr>
                  <w:tcW w:w="684" w:type="pct"/>
                  <w:noWrap w:val="0"/>
                  <w:vAlign w:val="center"/>
                </w:tcPr>
                <w:p w14:paraId="5F6C3D09">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 xml:space="preserve">0.0073 </w:t>
                  </w:r>
                </w:p>
              </w:tc>
              <w:tc>
                <w:tcPr>
                  <w:tcW w:w="1706" w:type="pct"/>
                  <w:vMerge w:val="restart"/>
                  <w:noWrap w:val="0"/>
                  <w:vAlign w:val="center"/>
                </w:tcPr>
                <w:p w14:paraId="69D454C5">
                  <w:pPr>
                    <w:pStyle w:val="31"/>
                    <w:bidi w:val="0"/>
                    <w:jc w:val="center"/>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食堂废水经隔油沉淀后，与生活污水一同经过化粪池处理后，</w:t>
                  </w:r>
                  <w:r>
                    <w:rPr>
                      <w:rFonts w:hint="default" w:ascii="Times New Roman" w:hAnsi="Times New Roman" w:cs="Times New Roman"/>
                      <w:color w:val="000000"/>
                      <w:highlight w:val="none"/>
                    </w:rPr>
                    <w:t>接入港区自建污水处理站处理</w:t>
                  </w:r>
                  <w:r>
                    <w:rPr>
                      <w:rFonts w:hint="default" w:ascii="Times New Roman" w:hAnsi="Times New Roman" w:cs="Times New Roman"/>
                      <w:color w:val="000000"/>
                      <w:highlight w:val="none"/>
                      <w:lang w:eastAsia="zh-CN"/>
                    </w:rPr>
                    <w:t>。</w:t>
                  </w:r>
                </w:p>
              </w:tc>
            </w:tr>
            <w:tr w14:paraId="3AEDD3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776" w:type="pct"/>
                  <w:vMerge w:val="continue"/>
                  <w:noWrap w:val="0"/>
                  <w:vAlign w:val="center"/>
                </w:tcPr>
                <w:p w14:paraId="7A295443">
                  <w:pPr>
                    <w:pStyle w:val="31"/>
                    <w:bidi w:val="0"/>
                    <w:jc w:val="center"/>
                    <w:rPr>
                      <w:rFonts w:hint="default" w:ascii="Times New Roman" w:hAnsi="Times New Roman" w:cs="Times New Roman"/>
                      <w:color w:val="000000"/>
                      <w:highlight w:val="none"/>
                      <w:lang w:val="en-US" w:eastAsia="zh-CN"/>
                    </w:rPr>
                  </w:pPr>
                </w:p>
              </w:tc>
              <w:tc>
                <w:tcPr>
                  <w:tcW w:w="600" w:type="pct"/>
                  <w:vMerge w:val="continue"/>
                  <w:noWrap w:val="0"/>
                  <w:vAlign w:val="center"/>
                </w:tcPr>
                <w:p w14:paraId="7582A182">
                  <w:pPr>
                    <w:pStyle w:val="31"/>
                    <w:bidi w:val="0"/>
                    <w:rPr>
                      <w:rFonts w:hint="default" w:ascii="Times New Roman" w:hAnsi="Times New Roman" w:cs="Times New Roman"/>
                      <w:color w:val="000000"/>
                      <w:highlight w:val="none"/>
                      <w:lang w:val="en-US" w:eastAsia="zh-CN"/>
                    </w:rPr>
                  </w:pPr>
                </w:p>
              </w:tc>
              <w:tc>
                <w:tcPr>
                  <w:tcW w:w="606" w:type="pct"/>
                  <w:noWrap w:val="0"/>
                  <w:vAlign w:val="center"/>
                </w:tcPr>
                <w:p w14:paraId="5CB09030">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BOD</w:t>
                  </w:r>
                  <w:r>
                    <w:rPr>
                      <w:rFonts w:hint="default" w:ascii="Times New Roman" w:hAnsi="Times New Roman" w:cs="Times New Roman"/>
                      <w:color w:val="000000"/>
                      <w:highlight w:val="none"/>
                      <w:vertAlign w:val="subscript"/>
                      <w:lang w:val="en-US" w:eastAsia="zh-CN"/>
                    </w:rPr>
                    <w:t>5</w:t>
                  </w:r>
                </w:p>
              </w:tc>
              <w:tc>
                <w:tcPr>
                  <w:tcW w:w="625" w:type="pct"/>
                  <w:noWrap w:val="0"/>
                  <w:vAlign w:val="center"/>
                </w:tcPr>
                <w:p w14:paraId="4B9916D4">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220</w:t>
                  </w:r>
                </w:p>
              </w:tc>
              <w:tc>
                <w:tcPr>
                  <w:tcW w:w="684" w:type="pct"/>
                  <w:noWrap w:val="0"/>
                  <w:vAlign w:val="center"/>
                </w:tcPr>
                <w:p w14:paraId="1EDB668C">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 xml:space="preserve">0.0040 </w:t>
                  </w:r>
                </w:p>
              </w:tc>
              <w:tc>
                <w:tcPr>
                  <w:tcW w:w="1706" w:type="pct"/>
                  <w:vMerge w:val="continue"/>
                  <w:noWrap w:val="0"/>
                  <w:vAlign w:val="center"/>
                </w:tcPr>
                <w:p w14:paraId="258BFD69">
                  <w:pPr>
                    <w:pStyle w:val="31"/>
                    <w:bidi w:val="0"/>
                    <w:jc w:val="center"/>
                    <w:rPr>
                      <w:rFonts w:hint="default" w:ascii="Times New Roman" w:hAnsi="Times New Roman" w:cs="Times New Roman"/>
                      <w:color w:val="000000"/>
                      <w:highlight w:val="none"/>
                      <w:lang w:val="en-US" w:eastAsia="zh-CN"/>
                    </w:rPr>
                  </w:pPr>
                </w:p>
              </w:tc>
            </w:tr>
            <w:tr w14:paraId="454FF8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776" w:type="pct"/>
                  <w:vMerge w:val="continue"/>
                  <w:noWrap w:val="0"/>
                  <w:vAlign w:val="center"/>
                </w:tcPr>
                <w:p w14:paraId="0F0CFCC5">
                  <w:pPr>
                    <w:pStyle w:val="31"/>
                    <w:bidi w:val="0"/>
                    <w:jc w:val="center"/>
                    <w:rPr>
                      <w:rFonts w:hint="default" w:ascii="Times New Roman" w:hAnsi="Times New Roman" w:cs="Times New Roman"/>
                      <w:color w:val="000000"/>
                      <w:highlight w:val="none"/>
                      <w:lang w:val="en-US" w:eastAsia="zh-CN"/>
                    </w:rPr>
                  </w:pPr>
                </w:p>
              </w:tc>
              <w:tc>
                <w:tcPr>
                  <w:tcW w:w="600" w:type="pct"/>
                  <w:vMerge w:val="continue"/>
                  <w:noWrap w:val="0"/>
                  <w:vAlign w:val="center"/>
                </w:tcPr>
                <w:p w14:paraId="6AFD2597">
                  <w:pPr>
                    <w:pStyle w:val="31"/>
                    <w:bidi w:val="0"/>
                    <w:rPr>
                      <w:rFonts w:hint="default" w:ascii="Times New Roman" w:hAnsi="Times New Roman" w:cs="Times New Roman"/>
                      <w:color w:val="000000"/>
                      <w:highlight w:val="none"/>
                      <w:lang w:val="en-US" w:eastAsia="zh-CN"/>
                    </w:rPr>
                  </w:pPr>
                </w:p>
              </w:tc>
              <w:tc>
                <w:tcPr>
                  <w:tcW w:w="606" w:type="pct"/>
                  <w:noWrap w:val="0"/>
                  <w:vAlign w:val="center"/>
                </w:tcPr>
                <w:p w14:paraId="3782C588">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SS</w:t>
                  </w:r>
                </w:p>
              </w:tc>
              <w:tc>
                <w:tcPr>
                  <w:tcW w:w="625" w:type="pct"/>
                  <w:noWrap w:val="0"/>
                  <w:vAlign w:val="center"/>
                </w:tcPr>
                <w:p w14:paraId="68C46BCA">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200</w:t>
                  </w:r>
                </w:p>
              </w:tc>
              <w:tc>
                <w:tcPr>
                  <w:tcW w:w="684" w:type="pct"/>
                  <w:noWrap w:val="0"/>
                  <w:vAlign w:val="center"/>
                </w:tcPr>
                <w:p w14:paraId="02196014">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 xml:space="preserve">0.0037 </w:t>
                  </w:r>
                </w:p>
              </w:tc>
              <w:tc>
                <w:tcPr>
                  <w:tcW w:w="1706" w:type="pct"/>
                  <w:vMerge w:val="continue"/>
                  <w:noWrap w:val="0"/>
                  <w:vAlign w:val="center"/>
                </w:tcPr>
                <w:p w14:paraId="62FD01B0">
                  <w:pPr>
                    <w:pStyle w:val="31"/>
                    <w:bidi w:val="0"/>
                    <w:jc w:val="center"/>
                    <w:rPr>
                      <w:rFonts w:hint="default" w:ascii="Times New Roman" w:hAnsi="Times New Roman" w:cs="Times New Roman"/>
                      <w:color w:val="000000"/>
                      <w:highlight w:val="none"/>
                      <w:lang w:val="en-US" w:eastAsia="zh-CN"/>
                    </w:rPr>
                  </w:pPr>
                </w:p>
              </w:tc>
            </w:tr>
            <w:tr w14:paraId="51E2D3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776" w:type="pct"/>
                  <w:vMerge w:val="continue"/>
                  <w:noWrap w:val="0"/>
                  <w:vAlign w:val="center"/>
                </w:tcPr>
                <w:p w14:paraId="36572993">
                  <w:pPr>
                    <w:pStyle w:val="31"/>
                    <w:bidi w:val="0"/>
                    <w:jc w:val="center"/>
                    <w:rPr>
                      <w:rFonts w:hint="default" w:ascii="Times New Roman" w:hAnsi="Times New Roman" w:cs="Times New Roman"/>
                      <w:color w:val="000000"/>
                      <w:highlight w:val="none"/>
                      <w:lang w:val="en-US" w:eastAsia="zh-CN"/>
                    </w:rPr>
                  </w:pPr>
                </w:p>
              </w:tc>
              <w:tc>
                <w:tcPr>
                  <w:tcW w:w="600" w:type="pct"/>
                  <w:vMerge w:val="continue"/>
                  <w:noWrap w:val="0"/>
                  <w:vAlign w:val="center"/>
                </w:tcPr>
                <w:p w14:paraId="4A4B067E">
                  <w:pPr>
                    <w:pStyle w:val="31"/>
                    <w:bidi w:val="0"/>
                    <w:rPr>
                      <w:rFonts w:hint="default" w:ascii="Times New Roman" w:hAnsi="Times New Roman" w:cs="Times New Roman"/>
                      <w:color w:val="000000"/>
                      <w:highlight w:val="none"/>
                      <w:lang w:val="en-US" w:eastAsia="zh-CN"/>
                    </w:rPr>
                  </w:pPr>
                </w:p>
              </w:tc>
              <w:tc>
                <w:tcPr>
                  <w:tcW w:w="606" w:type="pct"/>
                  <w:noWrap w:val="0"/>
                  <w:vAlign w:val="center"/>
                </w:tcPr>
                <w:p w14:paraId="170CB797">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NH</w:t>
                  </w:r>
                  <w:r>
                    <w:rPr>
                      <w:rFonts w:hint="default" w:ascii="Times New Roman" w:hAnsi="Times New Roman" w:cs="Times New Roman"/>
                      <w:color w:val="000000"/>
                      <w:highlight w:val="none"/>
                      <w:vertAlign w:val="subscript"/>
                      <w:lang w:val="en-US" w:eastAsia="zh-CN"/>
                    </w:rPr>
                    <w:t>3</w:t>
                  </w:r>
                  <w:r>
                    <w:rPr>
                      <w:rFonts w:hint="default" w:ascii="Times New Roman" w:hAnsi="Times New Roman" w:cs="Times New Roman"/>
                      <w:color w:val="000000"/>
                      <w:highlight w:val="none"/>
                      <w:lang w:val="en-US" w:eastAsia="zh-CN"/>
                    </w:rPr>
                    <w:t>-N</w:t>
                  </w:r>
                </w:p>
              </w:tc>
              <w:tc>
                <w:tcPr>
                  <w:tcW w:w="625" w:type="pct"/>
                  <w:noWrap w:val="0"/>
                  <w:vAlign w:val="center"/>
                </w:tcPr>
                <w:p w14:paraId="7B4E86CF">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35</w:t>
                  </w:r>
                </w:p>
              </w:tc>
              <w:tc>
                <w:tcPr>
                  <w:tcW w:w="684" w:type="pct"/>
                  <w:noWrap w:val="0"/>
                  <w:vAlign w:val="center"/>
                </w:tcPr>
                <w:p w14:paraId="31327B4D">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 xml:space="preserve">0.0006 </w:t>
                  </w:r>
                </w:p>
              </w:tc>
              <w:tc>
                <w:tcPr>
                  <w:tcW w:w="1706" w:type="pct"/>
                  <w:vMerge w:val="continue"/>
                  <w:noWrap w:val="0"/>
                  <w:vAlign w:val="center"/>
                </w:tcPr>
                <w:p w14:paraId="1946CFE0">
                  <w:pPr>
                    <w:pStyle w:val="31"/>
                    <w:bidi w:val="0"/>
                    <w:jc w:val="center"/>
                    <w:rPr>
                      <w:rFonts w:hint="default" w:ascii="Times New Roman" w:hAnsi="Times New Roman" w:cs="Times New Roman"/>
                      <w:color w:val="000000"/>
                      <w:highlight w:val="none"/>
                      <w:lang w:val="en-US" w:eastAsia="zh-CN"/>
                    </w:rPr>
                  </w:pPr>
                </w:p>
              </w:tc>
            </w:tr>
            <w:tr w14:paraId="1D6A2D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776" w:type="pct"/>
                  <w:vMerge w:val="continue"/>
                  <w:noWrap w:val="0"/>
                  <w:vAlign w:val="center"/>
                </w:tcPr>
                <w:p w14:paraId="1F388F04">
                  <w:pPr>
                    <w:pStyle w:val="31"/>
                    <w:bidi w:val="0"/>
                    <w:jc w:val="center"/>
                    <w:rPr>
                      <w:rFonts w:hint="default" w:ascii="Times New Roman" w:hAnsi="Times New Roman" w:cs="Times New Roman"/>
                      <w:color w:val="000000"/>
                      <w:highlight w:val="none"/>
                      <w:lang w:val="en-US" w:eastAsia="zh-CN"/>
                    </w:rPr>
                  </w:pPr>
                </w:p>
              </w:tc>
              <w:tc>
                <w:tcPr>
                  <w:tcW w:w="600" w:type="pct"/>
                  <w:vMerge w:val="continue"/>
                  <w:noWrap w:val="0"/>
                  <w:vAlign w:val="center"/>
                </w:tcPr>
                <w:p w14:paraId="024561C7">
                  <w:pPr>
                    <w:pStyle w:val="31"/>
                    <w:bidi w:val="0"/>
                    <w:rPr>
                      <w:rFonts w:hint="default" w:ascii="Times New Roman" w:hAnsi="Times New Roman" w:cs="Times New Roman"/>
                      <w:color w:val="000000"/>
                      <w:highlight w:val="none"/>
                      <w:lang w:val="en-US" w:eastAsia="zh-CN"/>
                    </w:rPr>
                  </w:pPr>
                </w:p>
              </w:tc>
              <w:tc>
                <w:tcPr>
                  <w:tcW w:w="606" w:type="pct"/>
                  <w:noWrap w:val="0"/>
                  <w:vAlign w:val="center"/>
                </w:tcPr>
                <w:p w14:paraId="0871C323">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动植物油</w:t>
                  </w:r>
                </w:p>
              </w:tc>
              <w:tc>
                <w:tcPr>
                  <w:tcW w:w="625" w:type="pct"/>
                  <w:noWrap w:val="0"/>
                  <w:vAlign w:val="center"/>
                </w:tcPr>
                <w:p w14:paraId="63CD0D71">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100</w:t>
                  </w:r>
                </w:p>
              </w:tc>
              <w:tc>
                <w:tcPr>
                  <w:tcW w:w="684" w:type="pct"/>
                  <w:noWrap w:val="0"/>
                  <w:vAlign w:val="center"/>
                </w:tcPr>
                <w:p w14:paraId="5F927FCB">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 xml:space="preserve">0.0018 </w:t>
                  </w:r>
                </w:p>
              </w:tc>
              <w:tc>
                <w:tcPr>
                  <w:tcW w:w="1706" w:type="pct"/>
                  <w:vMerge w:val="continue"/>
                  <w:noWrap w:val="0"/>
                  <w:vAlign w:val="center"/>
                </w:tcPr>
                <w:p w14:paraId="7629E40A">
                  <w:pPr>
                    <w:pStyle w:val="31"/>
                    <w:bidi w:val="0"/>
                    <w:jc w:val="center"/>
                    <w:rPr>
                      <w:rFonts w:hint="default" w:ascii="Times New Roman" w:hAnsi="Times New Roman" w:cs="Times New Roman"/>
                      <w:color w:val="000000"/>
                      <w:highlight w:val="none"/>
                      <w:lang w:val="en-US" w:eastAsia="zh-CN"/>
                    </w:rPr>
                  </w:pPr>
                </w:p>
              </w:tc>
            </w:tr>
            <w:tr w14:paraId="6FB7F0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776" w:type="pct"/>
                  <w:noWrap w:val="0"/>
                  <w:vAlign w:val="center"/>
                </w:tcPr>
                <w:p w14:paraId="5E21E11E">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合计</w:t>
                  </w:r>
                </w:p>
              </w:tc>
              <w:tc>
                <w:tcPr>
                  <w:tcW w:w="600" w:type="pct"/>
                  <w:noWrap w:val="0"/>
                  <w:vAlign w:val="center"/>
                </w:tcPr>
                <w:p w14:paraId="56FAAEC9">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65.54</w:t>
                  </w:r>
                </w:p>
              </w:tc>
              <w:tc>
                <w:tcPr>
                  <w:tcW w:w="606" w:type="pct"/>
                  <w:noWrap w:val="0"/>
                  <w:vAlign w:val="center"/>
                </w:tcPr>
                <w:p w14:paraId="0276776B">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w:t>
                  </w:r>
                </w:p>
              </w:tc>
              <w:tc>
                <w:tcPr>
                  <w:tcW w:w="625" w:type="pct"/>
                  <w:noWrap w:val="0"/>
                  <w:vAlign w:val="center"/>
                </w:tcPr>
                <w:p w14:paraId="6CD9E410">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w:t>
                  </w:r>
                </w:p>
              </w:tc>
              <w:tc>
                <w:tcPr>
                  <w:tcW w:w="684" w:type="pct"/>
                  <w:noWrap w:val="0"/>
                  <w:vAlign w:val="center"/>
                </w:tcPr>
                <w:p w14:paraId="6F6A7C77">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w:t>
                  </w:r>
                </w:p>
              </w:tc>
              <w:tc>
                <w:tcPr>
                  <w:tcW w:w="1706" w:type="pct"/>
                  <w:noWrap w:val="0"/>
                  <w:vAlign w:val="center"/>
                </w:tcPr>
                <w:p w14:paraId="7789EF0F">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w:t>
                  </w:r>
                </w:p>
              </w:tc>
            </w:tr>
          </w:tbl>
          <w:p w14:paraId="784092AC">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eastAsia="宋体" w:cs="Times New Roman"/>
                <w:b/>
                <w:bCs/>
                <w:color w:val="000000"/>
                <w:highlight w:val="none"/>
                <w:lang w:eastAsia="zh-CN"/>
              </w:rPr>
            </w:pP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7</w:t>
            </w: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扩建后全港区</w:t>
            </w:r>
            <w:r>
              <w:rPr>
                <w:rFonts w:hint="default" w:ascii="Times New Roman" w:hAnsi="Times New Roman" w:cs="Times New Roman"/>
                <w:b/>
                <w:bCs/>
                <w:color w:val="000000"/>
                <w:highlight w:val="none"/>
                <w:lang w:eastAsia="zh-CN"/>
              </w:rPr>
              <w:t>废污水及污染物产排情况汇总</w:t>
            </w:r>
          </w:p>
          <w:p w14:paraId="37C75DB7">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b w:val="0"/>
                <w:bCs w:val="0"/>
                <w:color w:val="000000"/>
                <w:highlight w:val="none"/>
                <w:lang w:val="en-US" w:eastAsia="zh-CN"/>
              </w:rPr>
              <w:t>海亮沃口一级渔港建成后，现有二级渔港废污水拟纳入本扩建项目污水处理站一同处理。现有工程污水量为61.07t/d，其中港区冲洗废水量为</w:t>
            </w:r>
            <w:r>
              <w:rPr>
                <w:rFonts w:hint="default" w:ascii="Times New Roman" w:hAnsi="Times New Roman" w:cs="Times New Roman"/>
                <w:color w:val="000000"/>
                <w:highlight w:val="none"/>
                <w:lang w:val="en-US" w:eastAsia="zh-CN"/>
              </w:rPr>
              <w:t>5.75t/d，生活污水量为1.08t/d，船舶生活污水量为45.2t/d，船舶含油污水量为9.04t/d；卸渔区初期雨水量为25.47m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/次（卸渔区面积2830m</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lang w:val="en-US" w:eastAsia="zh-CN"/>
              </w:rPr>
              <w:t>，直排至港池）。</w:t>
            </w:r>
          </w:p>
          <w:p w14:paraId="45F6AC35">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b w:val="0"/>
                <w:bCs w:val="0"/>
                <w:color w:val="000000"/>
                <w:highlight w:val="none"/>
                <w:lang w:val="en-US" w:eastAsia="zh-CN"/>
              </w:rPr>
            </w:pPr>
            <w:r>
              <w:rPr>
                <w:rFonts w:hint="default" w:ascii="Times New Roman" w:hAnsi="Times New Roman" w:cs="Times New Roman"/>
                <w:color w:val="000000"/>
                <w:highlight w:val="none"/>
                <w:lang w:val="en-US" w:eastAsia="zh-CN"/>
              </w:rPr>
              <w:t>扩建后，全港区污水量为126.61</w:t>
            </w:r>
            <w:r>
              <w:rPr>
                <w:rFonts w:hint="default" w:ascii="Times New Roman" w:hAnsi="Times New Roman" w:cs="Times New Roman"/>
                <w:b w:val="0"/>
                <w:bCs w:val="0"/>
                <w:color w:val="000000"/>
                <w:highlight w:val="none"/>
                <w:lang w:val="en-US" w:eastAsia="zh-CN"/>
              </w:rPr>
              <w:t>t/d，其中港区冲洗废水量为</w:t>
            </w:r>
            <w:r>
              <w:rPr>
                <w:rFonts w:hint="default" w:ascii="Times New Roman" w:hAnsi="Times New Roman" w:cs="Times New Roman"/>
                <w:color w:val="000000"/>
                <w:highlight w:val="none"/>
                <w:lang w:val="en-US" w:eastAsia="zh-CN"/>
              </w:rPr>
              <w:t>32.22t/d，生活污水量为19.44t/d，船舶生活污水量为58.8t/d，船舶含油污水量为16.15t/d；卸渔区初期雨水一次最大量为240.921m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/次（现有二级渔港25.47m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/次，新建码头面、室外卸渔场地215.451</w:t>
            </w:r>
            <w:r>
              <w:rPr>
                <w:rFonts w:hint="default" w:ascii="Times New Roman" w:hAnsi="Times New Roman" w:cs="Times New Roman"/>
                <w:color w:val="000000"/>
                <w:highlight w:val="none"/>
              </w:rPr>
              <w:t>m</w:t>
            </w:r>
            <w:r>
              <w:rPr>
                <w:rFonts w:hint="default" w:ascii="Times New Roman" w:hAnsi="Times New Roman" w:cs="Times New Roman"/>
                <w:color w:val="000000"/>
                <w:highlight w:val="none"/>
                <w:vertAlign w:val="superscript"/>
              </w:rPr>
              <w:t>3</w:t>
            </w:r>
            <w:r>
              <w:rPr>
                <w:rFonts w:hint="default" w:ascii="Times New Roman" w:hAnsi="Times New Roman" w:cs="Times New Roman"/>
                <w:color w:val="000000"/>
                <w:highlight w:val="none"/>
                <w:vertAlign w:val="baseline"/>
                <w:lang w:val="en-US" w:eastAsia="zh-CN"/>
              </w:rPr>
              <w:t>/次</w:t>
            </w:r>
            <w:r>
              <w:rPr>
                <w:rFonts w:hint="default" w:ascii="Times New Roman" w:hAnsi="Times New Roman" w:cs="Times New Roman"/>
                <w:color w:val="000000"/>
                <w:highlight w:val="none"/>
                <w:lang w:val="en-US" w:eastAsia="zh-CN"/>
              </w:rPr>
              <w:t>）。拟设置1个容积300</w:t>
            </w:r>
            <w:r>
              <w:rPr>
                <w:rFonts w:hint="default" w:ascii="Times New Roman" w:hAnsi="Times New Roman" w:cs="Times New Roman"/>
                <w:color w:val="000000"/>
                <w:highlight w:val="none"/>
              </w:rPr>
              <w:t>m</w:t>
            </w:r>
            <w:r>
              <w:rPr>
                <w:rFonts w:hint="default" w:ascii="Times New Roman" w:hAnsi="Times New Roman" w:cs="Times New Roman"/>
                <w:color w:val="000000"/>
                <w:highlight w:val="none"/>
                <w:vertAlign w:val="superscript"/>
              </w:rPr>
              <w:t>3</w:t>
            </w:r>
            <w:r>
              <w:rPr>
                <w:rFonts w:hint="default" w:ascii="Times New Roman" w:hAnsi="Times New Roman" w:cs="Times New Roman"/>
                <w:color w:val="000000"/>
                <w:highlight w:val="none"/>
                <w:lang w:val="en-US" w:eastAsia="zh-CN"/>
              </w:rPr>
              <w:t>的收集池，</w:t>
            </w:r>
            <w:r>
              <w:rPr>
                <w:rFonts w:hint="default" w:ascii="Times New Roman" w:hAnsi="Times New Roman" w:cs="Times New Roman"/>
                <w:color w:val="000000"/>
                <w:highlight w:val="none"/>
              </w:rPr>
              <w:t>收集池前设置转换闸门，雨天收集前15分钟初期雨水后，转换闸门，</w:t>
            </w:r>
            <w:r>
              <w:rPr>
                <w:rFonts w:hint="default" w:ascii="Times New Roman" w:hAnsi="Times New Roman" w:cs="Times New Roman"/>
                <w:color w:val="000000"/>
                <w:highlight w:val="none"/>
                <w:lang w:val="en-US" w:eastAsia="zh-CN"/>
              </w:rPr>
              <w:t>初期雨水进入污水处理站处理后回用，</w:t>
            </w:r>
            <w:r>
              <w:rPr>
                <w:rFonts w:hint="default" w:ascii="Times New Roman" w:hAnsi="Times New Roman" w:cs="Times New Roman"/>
                <w:color w:val="000000"/>
                <w:highlight w:val="none"/>
              </w:rPr>
              <w:t>15分钟后干净的雨水可通过收集管排放入海</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不下雨时冲洗废水进入收集池，进入污水处理站处理后回用。</w:t>
            </w:r>
          </w:p>
          <w:p w14:paraId="3AC47788">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根据污染源强分析，本项目扩建后码头冲洗废水、卸渔区冲洗废水、港区生活污水产生量为51.66</w:t>
            </w:r>
            <w:r>
              <w:rPr>
                <w:rFonts w:hint="default" w:ascii="Times New Roman" w:hAnsi="Times New Roman" w:cs="Times New Roman"/>
                <w:color w:val="000000"/>
                <w:highlight w:val="none"/>
              </w:rPr>
              <w:t>m</w:t>
            </w:r>
            <w:r>
              <w:rPr>
                <w:rFonts w:hint="default" w:ascii="Times New Roman" w:hAnsi="Times New Roman" w:cs="Times New Roman"/>
                <w:color w:val="000000"/>
                <w:highlight w:val="none"/>
                <w:vertAlign w:val="superscript"/>
              </w:rPr>
              <w:t>3</w:t>
            </w:r>
            <w:r>
              <w:rPr>
                <w:rFonts w:hint="default" w:ascii="Times New Roman" w:hAnsi="Times New Roman" w:cs="Times New Roman"/>
                <w:color w:val="000000"/>
                <w:highlight w:val="none"/>
                <w:vertAlign w:val="baseline"/>
                <w:lang w:val="en-US" w:eastAsia="zh-CN"/>
              </w:rPr>
              <w:t>/d，经自建污水处理站处理后</w:t>
            </w:r>
            <w:r>
              <w:rPr>
                <w:rFonts w:hint="default" w:ascii="Times New Roman" w:hAnsi="Times New Roman" w:cs="Times New Roman"/>
                <w:color w:val="000000"/>
                <w:highlight w:val="none"/>
              </w:rPr>
              <w:t>回用于港区绿化灌溉、洒水及冲洗用水</w:t>
            </w:r>
            <w:r>
              <w:rPr>
                <w:rFonts w:hint="default" w:ascii="Times New Roman" w:hAnsi="Times New Roman" w:cs="Times New Roman"/>
                <w:color w:val="000000"/>
                <w:highlight w:val="none"/>
                <w:lang w:val="en-US" w:eastAsia="zh-CN"/>
              </w:rPr>
              <w:t>。</w:t>
            </w:r>
            <w:r>
              <w:rPr>
                <w:rFonts w:hint="default" w:ascii="Times New Roman" w:hAnsi="Times New Roman" w:cs="Times New Roman"/>
                <w:color w:val="000000"/>
                <w:highlight w:val="none"/>
                <w:vertAlign w:val="baseline"/>
                <w:lang w:val="en-US" w:eastAsia="zh-CN"/>
              </w:rPr>
              <w:t>考虑到水量波动以及长期规划，建议污水处理站处理规模取100</w:t>
            </w:r>
            <w:r>
              <w:rPr>
                <w:rFonts w:hint="default" w:ascii="Times New Roman" w:hAnsi="Times New Roman" w:cs="Times New Roman"/>
                <w:color w:val="000000"/>
                <w:highlight w:val="none"/>
              </w:rPr>
              <w:t>m</w:t>
            </w:r>
            <w:r>
              <w:rPr>
                <w:rFonts w:hint="default" w:ascii="Times New Roman" w:hAnsi="Times New Roman" w:cs="Times New Roman"/>
                <w:color w:val="000000"/>
                <w:highlight w:val="none"/>
                <w:vertAlign w:val="superscript"/>
              </w:rPr>
              <w:t>3</w:t>
            </w:r>
            <w:r>
              <w:rPr>
                <w:rFonts w:hint="default" w:ascii="Times New Roman" w:hAnsi="Times New Roman" w:cs="Times New Roman"/>
                <w:color w:val="000000"/>
                <w:highlight w:val="none"/>
                <w:vertAlign w:val="baseline"/>
                <w:lang w:val="en-US" w:eastAsia="zh-CN"/>
              </w:rPr>
              <w:t>/d。</w:t>
            </w:r>
            <w:r>
              <w:rPr>
                <w:rFonts w:hint="default" w:ascii="Times New Roman" w:hAnsi="Times New Roman" w:cs="Times New Roman"/>
                <w:color w:val="000000"/>
                <w:highlight w:val="none"/>
                <w:lang w:val="en-US" w:eastAsia="zh-CN"/>
              </w:rPr>
              <w:t>水平衡图见</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REF _Ref31014 \h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rPr>
              <w:t>图</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4.5</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1</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val="en-US" w:eastAsia="zh-CN"/>
              </w:rPr>
              <w:t>。</w:t>
            </w:r>
          </w:p>
          <w:p w14:paraId="408FE686">
            <w:pPr>
              <w:pStyle w:val="30"/>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4.5</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表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val="en-US" w:eastAsia="zh-CN"/>
              </w:rPr>
              <w:t xml:space="preserve"> 扩建后全港区</w:t>
            </w:r>
            <w:r>
              <w:rPr>
                <w:rFonts w:hint="default" w:ascii="Times New Roman" w:hAnsi="Times New Roman" w:cs="Times New Roman"/>
                <w:color w:val="000000"/>
                <w:highlight w:val="none"/>
              </w:rPr>
              <w:t>废污水及污染物产排情况一览表</w:t>
            </w:r>
          </w:p>
          <w:tbl>
            <w:tblPr>
              <w:tblStyle w:val="22"/>
              <w:tblW w:w="823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0"/>
              <w:gridCol w:w="869"/>
              <w:gridCol w:w="775"/>
              <w:gridCol w:w="1578"/>
              <w:gridCol w:w="847"/>
              <w:gridCol w:w="740"/>
              <w:gridCol w:w="740"/>
              <w:gridCol w:w="740"/>
              <w:gridCol w:w="740"/>
              <w:gridCol w:w="749"/>
            </w:tblGrid>
            <w:tr w14:paraId="520CA9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atLeast"/>
                <w:tblHeader/>
              </w:trPr>
              <w:tc>
                <w:tcPr>
                  <w:tcW w:w="1329" w:type="dxa"/>
                  <w:gridSpan w:val="2"/>
                  <w:vMerge w:val="restart"/>
                  <w:noWrap w:val="0"/>
                  <w:vAlign w:val="center"/>
                </w:tcPr>
                <w:p w14:paraId="17921A48">
                  <w:pPr>
                    <w:pStyle w:val="31"/>
                    <w:bidi w:val="0"/>
                    <w:jc w:val="center"/>
                    <w:rPr>
                      <w:rFonts w:hint="default" w:ascii="Times New Roman" w:hAnsi="Times New Roman" w:cs="Times New Roman"/>
                      <w:b/>
                      <w:bCs/>
                      <w:color w:val="000000"/>
                      <w:highlight w:val="none"/>
                      <w:lang w:eastAsia="zh-CN"/>
                    </w:rPr>
                  </w:pPr>
                  <w:r>
                    <w:rPr>
                      <w:rFonts w:hint="default" w:ascii="Times New Roman" w:hAnsi="Times New Roman" w:cs="Times New Roman"/>
                      <w:b/>
                      <w:bCs/>
                      <w:color w:val="000000"/>
                      <w:highlight w:val="none"/>
                      <w:lang w:val="en-US" w:eastAsia="zh-CN"/>
                    </w:rPr>
                    <w:t>污水类别</w:t>
                  </w:r>
                </w:p>
              </w:tc>
              <w:tc>
                <w:tcPr>
                  <w:tcW w:w="775" w:type="dxa"/>
                  <w:vMerge w:val="restart"/>
                  <w:noWrap w:val="0"/>
                  <w:vAlign w:val="center"/>
                </w:tcPr>
                <w:p w14:paraId="44CFDD6B">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废水量（t/d）</w:t>
                  </w:r>
                </w:p>
              </w:tc>
              <w:tc>
                <w:tcPr>
                  <w:tcW w:w="1578" w:type="dxa"/>
                  <w:vMerge w:val="restart"/>
                  <w:noWrap w:val="0"/>
                  <w:vAlign w:val="center"/>
                </w:tcPr>
                <w:p w14:paraId="3A7AEB08">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项目</w:t>
                  </w:r>
                </w:p>
              </w:tc>
              <w:tc>
                <w:tcPr>
                  <w:tcW w:w="4556" w:type="dxa"/>
                  <w:gridSpan w:val="6"/>
                  <w:noWrap w:val="0"/>
                  <w:vAlign w:val="center"/>
                </w:tcPr>
                <w:p w14:paraId="061EF95B">
                  <w:pPr>
                    <w:pStyle w:val="31"/>
                    <w:bidi w:val="0"/>
                    <w:jc w:val="center"/>
                    <w:rPr>
                      <w:rFonts w:hint="default" w:ascii="Times New Roman" w:hAnsi="Times New Roman" w:cs="Times New Roman"/>
                      <w:b/>
                      <w:bCs/>
                      <w:color w:val="000000"/>
                      <w:highlight w:val="none"/>
                      <w:lang w:eastAsia="zh-CN"/>
                    </w:rPr>
                  </w:pPr>
                  <w:r>
                    <w:rPr>
                      <w:rFonts w:hint="default" w:ascii="Times New Roman" w:hAnsi="Times New Roman" w:cs="Times New Roman"/>
                      <w:b/>
                      <w:bCs/>
                      <w:color w:val="000000"/>
                      <w:highlight w:val="none"/>
                      <w:lang w:val="en-US" w:eastAsia="zh-CN"/>
                    </w:rPr>
                    <w:t>污染物</w:t>
                  </w:r>
                </w:p>
              </w:tc>
            </w:tr>
            <w:tr w14:paraId="57CE16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1" w:hRule="atLeast"/>
                <w:tblHeader/>
              </w:trPr>
              <w:tc>
                <w:tcPr>
                  <w:tcW w:w="1329" w:type="dxa"/>
                  <w:gridSpan w:val="2"/>
                  <w:vMerge w:val="continue"/>
                  <w:noWrap w:val="0"/>
                  <w:vAlign w:val="center"/>
                </w:tcPr>
                <w:p w14:paraId="40BAC81D">
                  <w:pPr>
                    <w:pStyle w:val="31"/>
                    <w:bidi w:val="0"/>
                    <w:jc w:val="center"/>
                    <w:rPr>
                      <w:rFonts w:hint="default" w:ascii="Times New Roman" w:hAnsi="Times New Roman" w:cs="Times New Roman"/>
                      <w:color w:val="000000"/>
                      <w:highlight w:val="none"/>
                      <w:lang w:val="en-US" w:eastAsia="zh-CN"/>
                    </w:rPr>
                  </w:pPr>
                </w:p>
              </w:tc>
              <w:tc>
                <w:tcPr>
                  <w:tcW w:w="775" w:type="dxa"/>
                  <w:vMerge w:val="continue"/>
                  <w:noWrap w:val="0"/>
                  <w:vAlign w:val="center"/>
                </w:tcPr>
                <w:p w14:paraId="6295A731">
                  <w:pPr>
                    <w:pStyle w:val="31"/>
                    <w:bidi w:val="0"/>
                    <w:jc w:val="center"/>
                    <w:rPr>
                      <w:rFonts w:hint="default" w:ascii="Times New Roman" w:hAnsi="Times New Roman" w:cs="Times New Roman"/>
                      <w:color w:val="000000"/>
                      <w:highlight w:val="none"/>
                      <w:lang w:val="en-US" w:eastAsia="zh-CN"/>
                    </w:rPr>
                  </w:pPr>
                </w:p>
              </w:tc>
              <w:tc>
                <w:tcPr>
                  <w:tcW w:w="1578" w:type="dxa"/>
                  <w:vMerge w:val="continue"/>
                  <w:noWrap w:val="0"/>
                  <w:vAlign w:val="center"/>
                </w:tcPr>
                <w:p w14:paraId="426CEB55">
                  <w:pPr>
                    <w:pStyle w:val="31"/>
                    <w:bidi w:val="0"/>
                    <w:jc w:val="center"/>
                    <w:rPr>
                      <w:rFonts w:hint="default" w:ascii="Times New Roman" w:hAnsi="Times New Roman" w:cs="Times New Roman"/>
                      <w:color w:val="000000"/>
                      <w:highlight w:val="none"/>
                      <w:lang w:val="en-US" w:eastAsia="zh-CN"/>
                    </w:rPr>
                  </w:pPr>
                </w:p>
              </w:tc>
              <w:tc>
                <w:tcPr>
                  <w:tcW w:w="847" w:type="dxa"/>
                  <w:noWrap w:val="0"/>
                  <w:vAlign w:val="center"/>
                </w:tcPr>
                <w:p w14:paraId="5963FA0C">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COD</w:t>
                  </w:r>
                </w:p>
              </w:tc>
              <w:tc>
                <w:tcPr>
                  <w:tcW w:w="740" w:type="dxa"/>
                  <w:noWrap w:val="0"/>
                  <w:vAlign w:val="center"/>
                </w:tcPr>
                <w:p w14:paraId="28373970">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BOD</w:t>
                  </w:r>
                  <w:r>
                    <w:rPr>
                      <w:rFonts w:hint="default" w:ascii="Times New Roman" w:hAnsi="Times New Roman" w:cs="Times New Roman"/>
                      <w:b/>
                      <w:bCs/>
                      <w:color w:val="000000"/>
                      <w:highlight w:val="none"/>
                      <w:vertAlign w:val="subscript"/>
                      <w:lang w:val="en-US" w:eastAsia="zh-CN"/>
                    </w:rPr>
                    <w:t>5</w:t>
                  </w:r>
                </w:p>
              </w:tc>
              <w:tc>
                <w:tcPr>
                  <w:tcW w:w="740" w:type="dxa"/>
                  <w:noWrap w:val="0"/>
                  <w:vAlign w:val="center"/>
                </w:tcPr>
                <w:p w14:paraId="1C5F9CC9">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SS</w:t>
                  </w:r>
                </w:p>
              </w:tc>
              <w:tc>
                <w:tcPr>
                  <w:tcW w:w="740" w:type="dxa"/>
                  <w:noWrap w:val="0"/>
                  <w:vAlign w:val="center"/>
                </w:tcPr>
                <w:p w14:paraId="33CBFC12">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氨氮</w:t>
                  </w:r>
                </w:p>
              </w:tc>
              <w:tc>
                <w:tcPr>
                  <w:tcW w:w="740" w:type="dxa"/>
                  <w:noWrap w:val="0"/>
                  <w:vAlign w:val="center"/>
                </w:tcPr>
                <w:p w14:paraId="3376D0DA">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石油类</w:t>
                  </w:r>
                </w:p>
              </w:tc>
              <w:tc>
                <w:tcPr>
                  <w:tcW w:w="749" w:type="dxa"/>
                  <w:noWrap w:val="0"/>
                  <w:vAlign w:val="center"/>
                </w:tcPr>
                <w:p w14:paraId="641B736F">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动植物油</w:t>
                  </w:r>
                </w:p>
              </w:tc>
            </w:tr>
            <w:tr w14:paraId="771436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atLeast"/>
              </w:trPr>
              <w:tc>
                <w:tcPr>
                  <w:tcW w:w="460" w:type="dxa"/>
                  <w:vMerge w:val="restart"/>
                  <w:noWrap w:val="0"/>
                  <w:vAlign w:val="center"/>
                </w:tcPr>
                <w:p w14:paraId="3A0BE7F5">
                  <w:pPr>
                    <w:pStyle w:val="31"/>
                    <w:bidi w:val="0"/>
                    <w:ind w:firstLine="0" w:firstLineChars="0"/>
                    <w:jc w:val="center"/>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现有工程</w:t>
                  </w:r>
                </w:p>
              </w:tc>
              <w:tc>
                <w:tcPr>
                  <w:tcW w:w="869" w:type="dxa"/>
                  <w:vMerge w:val="restart"/>
                  <w:noWrap w:val="0"/>
                  <w:vAlign w:val="center"/>
                </w:tcPr>
                <w:p w14:paraId="6658B233">
                  <w:pPr>
                    <w:pStyle w:val="31"/>
                    <w:bidi w:val="0"/>
                    <w:ind w:firstLine="0" w:firstLineChars="0"/>
                    <w:jc w:val="center"/>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港区生活污水</w:t>
                  </w:r>
                </w:p>
              </w:tc>
              <w:tc>
                <w:tcPr>
                  <w:tcW w:w="775" w:type="dxa"/>
                  <w:vMerge w:val="restart"/>
                  <w:noWrap w:val="0"/>
                  <w:vAlign w:val="center"/>
                </w:tcPr>
                <w:p w14:paraId="7AFC1246">
                  <w:pPr>
                    <w:pStyle w:val="31"/>
                    <w:bidi w:val="0"/>
                    <w:ind w:firstLine="0" w:firstLineChars="0"/>
                    <w:jc w:val="center"/>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1.08</w:t>
                  </w:r>
                </w:p>
              </w:tc>
              <w:tc>
                <w:tcPr>
                  <w:tcW w:w="1578" w:type="dxa"/>
                  <w:noWrap w:val="0"/>
                  <w:vAlign w:val="center"/>
                </w:tcPr>
                <w:p w14:paraId="48D7BBE6">
                  <w:pPr>
                    <w:pStyle w:val="31"/>
                    <w:bidi w:val="0"/>
                    <w:ind w:firstLine="0" w:firstLineChars="0"/>
                    <w:jc w:val="center"/>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产生浓度（mg/L）</w:t>
                  </w:r>
                </w:p>
              </w:tc>
              <w:tc>
                <w:tcPr>
                  <w:tcW w:w="847" w:type="dxa"/>
                  <w:noWrap w:val="0"/>
                  <w:vAlign w:val="center"/>
                </w:tcPr>
                <w:p w14:paraId="35915474">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400</w:t>
                  </w:r>
                </w:p>
              </w:tc>
              <w:tc>
                <w:tcPr>
                  <w:tcW w:w="740" w:type="dxa"/>
                  <w:noWrap w:val="0"/>
                  <w:vAlign w:val="center"/>
                </w:tcPr>
                <w:p w14:paraId="17D194CE">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220</w:t>
                  </w:r>
                </w:p>
              </w:tc>
              <w:tc>
                <w:tcPr>
                  <w:tcW w:w="740" w:type="dxa"/>
                  <w:noWrap w:val="0"/>
                  <w:vAlign w:val="center"/>
                </w:tcPr>
                <w:p w14:paraId="25E2DD41">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200</w:t>
                  </w:r>
                </w:p>
              </w:tc>
              <w:tc>
                <w:tcPr>
                  <w:tcW w:w="740" w:type="dxa"/>
                  <w:noWrap w:val="0"/>
                  <w:vAlign w:val="center"/>
                </w:tcPr>
                <w:p w14:paraId="6375E9CF">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35</w:t>
                  </w:r>
                </w:p>
              </w:tc>
              <w:tc>
                <w:tcPr>
                  <w:tcW w:w="740" w:type="dxa"/>
                  <w:noWrap w:val="0"/>
                  <w:vAlign w:val="center"/>
                </w:tcPr>
                <w:p w14:paraId="7C45D3D7">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w:t>
                  </w:r>
                </w:p>
              </w:tc>
              <w:tc>
                <w:tcPr>
                  <w:tcW w:w="749" w:type="dxa"/>
                  <w:noWrap w:val="0"/>
                  <w:vAlign w:val="center"/>
                </w:tcPr>
                <w:p w14:paraId="3B5278CC">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100</w:t>
                  </w:r>
                </w:p>
              </w:tc>
            </w:tr>
            <w:tr w14:paraId="1F8F57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atLeast"/>
              </w:trPr>
              <w:tc>
                <w:tcPr>
                  <w:tcW w:w="460" w:type="dxa"/>
                  <w:vMerge w:val="continue"/>
                  <w:noWrap w:val="0"/>
                  <w:vAlign w:val="center"/>
                </w:tcPr>
                <w:p w14:paraId="399C6FB4">
                  <w:pPr>
                    <w:pStyle w:val="31"/>
                    <w:bidi w:val="0"/>
                    <w:jc w:val="center"/>
                    <w:rPr>
                      <w:rFonts w:hint="default" w:ascii="Times New Roman" w:hAnsi="Times New Roman" w:cs="Times New Roman"/>
                      <w:color w:val="000000"/>
                      <w:highlight w:val="none"/>
                      <w:lang w:eastAsia="zh-CN"/>
                    </w:rPr>
                  </w:pPr>
                </w:p>
              </w:tc>
              <w:tc>
                <w:tcPr>
                  <w:tcW w:w="869" w:type="dxa"/>
                  <w:vMerge w:val="continue"/>
                  <w:noWrap w:val="0"/>
                  <w:vAlign w:val="center"/>
                </w:tcPr>
                <w:p w14:paraId="177D95EE">
                  <w:pPr>
                    <w:pStyle w:val="31"/>
                    <w:bidi w:val="0"/>
                    <w:jc w:val="center"/>
                    <w:rPr>
                      <w:rFonts w:hint="default" w:ascii="Times New Roman" w:hAnsi="Times New Roman" w:cs="Times New Roman"/>
                      <w:color w:val="000000"/>
                      <w:highlight w:val="none"/>
                      <w:lang w:eastAsia="zh-CN"/>
                    </w:rPr>
                  </w:pPr>
                </w:p>
              </w:tc>
              <w:tc>
                <w:tcPr>
                  <w:tcW w:w="775" w:type="dxa"/>
                  <w:vMerge w:val="continue"/>
                  <w:noWrap w:val="0"/>
                  <w:vAlign w:val="center"/>
                </w:tcPr>
                <w:p w14:paraId="73503639">
                  <w:pPr>
                    <w:pStyle w:val="31"/>
                    <w:bidi w:val="0"/>
                    <w:jc w:val="center"/>
                    <w:rPr>
                      <w:rFonts w:hint="default" w:ascii="Times New Roman" w:hAnsi="Times New Roman" w:cs="Times New Roman"/>
                      <w:color w:val="000000"/>
                      <w:highlight w:val="none"/>
                      <w:lang w:eastAsia="zh-CN"/>
                    </w:rPr>
                  </w:pPr>
                </w:p>
              </w:tc>
              <w:tc>
                <w:tcPr>
                  <w:tcW w:w="1578" w:type="dxa"/>
                  <w:noWrap w:val="0"/>
                  <w:vAlign w:val="center"/>
                </w:tcPr>
                <w:p w14:paraId="5CCC9020">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产生量（kg/d）</w:t>
                  </w:r>
                </w:p>
              </w:tc>
              <w:tc>
                <w:tcPr>
                  <w:tcW w:w="847" w:type="dxa"/>
                  <w:noWrap w:val="0"/>
                  <w:vAlign w:val="center"/>
                </w:tcPr>
                <w:p w14:paraId="0EAE932F">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 xml:space="preserve">0.43 </w:t>
                  </w:r>
                </w:p>
              </w:tc>
              <w:tc>
                <w:tcPr>
                  <w:tcW w:w="740" w:type="dxa"/>
                  <w:noWrap w:val="0"/>
                  <w:vAlign w:val="center"/>
                </w:tcPr>
                <w:p w14:paraId="76FB4ADF">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 xml:space="preserve">0.24 </w:t>
                  </w:r>
                </w:p>
              </w:tc>
              <w:tc>
                <w:tcPr>
                  <w:tcW w:w="740" w:type="dxa"/>
                  <w:noWrap w:val="0"/>
                  <w:vAlign w:val="center"/>
                </w:tcPr>
                <w:p w14:paraId="206D3CCD">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 xml:space="preserve">0.22 </w:t>
                  </w:r>
                </w:p>
              </w:tc>
              <w:tc>
                <w:tcPr>
                  <w:tcW w:w="740" w:type="dxa"/>
                  <w:noWrap w:val="0"/>
                  <w:vAlign w:val="center"/>
                </w:tcPr>
                <w:p w14:paraId="72E91E80">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 xml:space="preserve">0.04 </w:t>
                  </w:r>
                </w:p>
              </w:tc>
              <w:tc>
                <w:tcPr>
                  <w:tcW w:w="740" w:type="dxa"/>
                  <w:noWrap w:val="0"/>
                  <w:vAlign w:val="center"/>
                </w:tcPr>
                <w:p w14:paraId="3CC931E4">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w:t>
                  </w:r>
                </w:p>
              </w:tc>
              <w:tc>
                <w:tcPr>
                  <w:tcW w:w="749" w:type="dxa"/>
                  <w:noWrap w:val="0"/>
                  <w:vAlign w:val="center"/>
                </w:tcPr>
                <w:p w14:paraId="279AC1B6">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 xml:space="preserve">0.11 </w:t>
                  </w:r>
                </w:p>
              </w:tc>
            </w:tr>
            <w:tr w14:paraId="15E237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atLeast"/>
              </w:trPr>
              <w:tc>
                <w:tcPr>
                  <w:tcW w:w="460" w:type="dxa"/>
                  <w:vMerge w:val="continue"/>
                  <w:noWrap w:val="0"/>
                  <w:vAlign w:val="center"/>
                </w:tcPr>
                <w:p w14:paraId="6306F9B7">
                  <w:pPr>
                    <w:pStyle w:val="31"/>
                    <w:bidi w:val="0"/>
                    <w:jc w:val="center"/>
                    <w:rPr>
                      <w:rFonts w:hint="default" w:ascii="Times New Roman" w:hAnsi="Times New Roman" w:cs="Times New Roman"/>
                      <w:color w:val="000000"/>
                      <w:highlight w:val="none"/>
                      <w:lang w:eastAsia="zh-CN"/>
                    </w:rPr>
                  </w:pPr>
                </w:p>
              </w:tc>
              <w:tc>
                <w:tcPr>
                  <w:tcW w:w="869" w:type="dxa"/>
                  <w:vMerge w:val="restart"/>
                  <w:noWrap w:val="0"/>
                  <w:vAlign w:val="center"/>
                </w:tcPr>
                <w:p w14:paraId="2F090521">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港区冲洗废水</w:t>
                  </w:r>
                </w:p>
              </w:tc>
              <w:tc>
                <w:tcPr>
                  <w:tcW w:w="775" w:type="dxa"/>
                  <w:vMerge w:val="restart"/>
                  <w:noWrap w:val="0"/>
                  <w:vAlign w:val="center"/>
                </w:tcPr>
                <w:p w14:paraId="214878B1">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5.75</w:t>
                  </w:r>
                </w:p>
              </w:tc>
              <w:tc>
                <w:tcPr>
                  <w:tcW w:w="1578" w:type="dxa"/>
                  <w:noWrap w:val="0"/>
                  <w:vAlign w:val="center"/>
                </w:tcPr>
                <w:p w14:paraId="4E462D48">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产生浓度（mg/L）</w:t>
                  </w:r>
                </w:p>
              </w:tc>
              <w:tc>
                <w:tcPr>
                  <w:tcW w:w="847" w:type="dxa"/>
                  <w:noWrap w:val="0"/>
                  <w:vAlign w:val="center"/>
                </w:tcPr>
                <w:p w14:paraId="0031ADA0">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500</w:t>
                  </w:r>
                </w:p>
              </w:tc>
              <w:tc>
                <w:tcPr>
                  <w:tcW w:w="740" w:type="dxa"/>
                  <w:noWrap w:val="0"/>
                  <w:vAlign w:val="center"/>
                </w:tcPr>
                <w:p w14:paraId="348E5217">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300</w:t>
                  </w:r>
                </w:p>
              </w:tc>
              <w:tc>
                <w:tcPr>
                  <w:tcW w:w="740" w:type="dxa"/>
                  <w:noWrap w:val="0"/>
                  <w:vAlign w:val="center"/>
                </w:tcPr>
                <w:p w14:paraId="20E1B010">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400</w:t>
                  </w:r>
                </w:p>
              </w:tc>
              <w:tc>
                <w:tcPr>
                  <w:tcW w:w="740" w:type="dxa"/>
                  <w:noWrap w:val="0"/>
                  <w:vAlign w:val="center"/>
                </w:tcPr>
                <w:p w14:paraId="6A4DA1CC">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40</w:t>
                  </w:r>
                </w:p>
              </w:tc>
              <w:tc>
                <w:tcPr>
                  <w:tcW w:w="740" w:type="dxa"/>
                  <w:noWrap w:val="0"/>
                  <w:vAlign w:val="center"/>
                </w:tcPr>
                <w:p w14:paraId="3EEA6EFB">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w:t>
                  </w:r>
                </w:p>
              </w:tc>
              <w:tc>
                <w:tcPr>
                  <w:tcW w:w="749" w:type="dxa"/>
                  <w:noWrap w:val="0"/>
                  <w:vAlign w:val="center"/>
                </w:tcPr>
                <w:p w14:paraId="49A3E7EF">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w:t>
                  </w:r>
                </w:p>
              </w:tc>
            </w:tr>
            <w:tr w14:paraId="05947C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atLeast"/>
              </w:trPr>
              <w:tc>
                <w:tcPr>
                  <w:tcW w:w="460" w:type="dxa"/>
                  <w:vMerge w:val="continue"/>
                  <w:noWrap w:val="0"/>
                  <w:vAlign w:val="center"/>
                </w:tcPr>
                <w:p w14:paraId="489E56EA">
                  <w:pPr>
                    <w:pStyle w:val="31"/>
                    <w:bidi w:val="0"/>
                    <w:jc w:val="center"/>
                    <w:rPr>
                      <w:rFonts w:hint="default" w:ascii="Times New Roman" w:hAnsi="Times New Roman" w:cs="Times New Roman"/>
                      <w:color w:val="000000"/>
                      <w:highlight w:val="none"/>
                      <w:lang w:eastAsia="zh-CN"/>
                    </w:rPr>
                  </w:pPr>
                </w:p>
              </w:tc>
              <w:tc>
                <w:tcPr>
                  <w:tcW w:w="869" w:type="dxa"/>
                  <w:vMerge w:val="continue"/>
                  <w:noWrap w:val="0"/>
                  <w:vAlign w:val="center"/>
                </w:tcPr>
                <w:p w14:paraId="016D0FFD">
                  <w:pPr>
                    <w:pStyle w:val="31"/>
                    <w:bidi w:val="0"/>
                    <w:jc w:val="center"/>
                    <w:rPr>
                      <w:rFonts w:hint="default" w:ascii="Times New Roman" w:hAnsi="Times New Roman" w:cs="Times New Roman"/>
                      <w:color w:val="000000"/>
                      <w:highlight w:val="none"/>
                      <w:lang w:eastAsia="zh-CN"/>
                    </w:rPr>
                  </w:pPr>
                </w:p>
              </w:tc>
              <w:tc>
                <w:tcPr>
                  <w:tcW w:w="775" w:type="dxa"/>
                  <w:vMerge w:val="continue"/>
                  <w:noWrap w:val="0"/>
                  <w:vAlign w:val="center"/>
                </w:tcPr>
                <w:p w14:paraId="72943A2D">
                  <w:pPr>
                    <w:pStyle w:val="31"/>
                    <w:bidi w:val="0"/>
                    <w:jc w:val="center"/>
                    <w:rPr>
                      <w:rFonts w:hint="default" w:ascii="Times New Roman" w:hAnsi="Times New Roman" w:cs="Times New Roman"/>
                      <w:color w:val="000000"/>
                      <w:highlight w:val="none"/>
                      <w:lang w:eastAsia="zh-CN"/>
                    </w:rPr>
                  </w:pPr>
                </w:p>
              </w:tc>
              <w:tc>
                <w:tcPr>
                  <w:tcW w:w="1578" w:type="dxa"/>
                  <w:noWrap w:val="0"/>
                  <w:vAlign w:val="center"/>
                </w:tcPr>
                <w:p w14:paraId="101CABD4">
                  <w:pPr>
                    <w:pStyle w:val="31"/>
                    <w:bidi w:val="0"/>
                    <w:ind w:firstLine="0" w:firstLineChars="0"/>
                    <w:jc w:val="center"/>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产生量（kg/d）</w:t>
                  </w:r>
                </w:p>
              </w:tc>
              <w:tc>
                <w:tcPr>
                  <w:tcW w:w="847" w:type="dxa"/>
                  <w:noWrap w:val="0"/>
                  <w:vAlign w:val="center"/>
                </w:tcPr>
                <w:p w14:paraId="1813C6E2">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 xml:space="preserve">2.88 </w:t>
                  </w:r>
                </w:p>
              </w:tc>
              <w:tc>
                <w:tcPr>
                  <w:tcW w:w="740" w:type="dxa"/>
                  <w:noWrap w:val="0"/>
                  <w:vAlign w:val="center"/>
                </w:tcPr>
                <w:p w14:paraId="35BC53B4">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 xml:space="preserve">1.73 </w:t>
                  </w:r>
                </w:p>
              </w:tc>
              <w:tc>
                <w:tcPr>
                  <w:tcW w:w="740" w:type="dxa"/>
                  <w:noWrap w:val="0"/>
                  <w:vAlign w:val="center"/>
                </w:tcPr>
                <w:p w14:paraId="632781A4">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 xml:space="preserve">2.30 </w:t>
                  </w:r>
                </w:p>
              </w:tc>
              <w:tc>
                <w:tcPr>
                  <w:tcW w:w="740" w:type="dxa"/>
                  <w:noWrap w:val="0"/>
                  <w:vAlign w:val="center"/>
                </w:tcPr>
                <w:p w14:paraId="48F67719">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 xml:space="preserve">0.23 </w:t>
                  </w:r>
                </w:p>
              </w:tc>
              <w:tc>
                <w:tcPr>
                  <w:tcW w:w="740" w:type="dxa"/>
                  <w:noWrap w:val="0"/>
                  <w:vAlign w:val="center"/>
                </w:tcPr>
                <w:p w14:paraId="31710F17">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w:t>
                  </w:r>
                </w:p>
              </w:tc>
              <w:tc>
                <w:tcPr>
                  <w:tcW w:w="749" w:type="dxa"/>
                  <w:noWrap w:val="0"/>
                  <w:vAlign w:val="center"/>
                </w:tcPr>
                <w:p w14:paraId="4DF5B0BB">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w:t>
                  </w:r>
                </w:p>
              </w:tc>
            </w:tr>
            <w:tr w14:paraId="5E4206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atLeast"/>
              </w:trPr>
              <w:tc>
                <w:tcPr>
                  <w:tcW w:w="460" w:type="dxa"/>
                  <w:vMerge w:val="continue"/>
                  <w:noWrap w:val="0"/>
                  <w:vAlign w:val="center"/>
                </w:tcPr>
                <w:p w14:paraId="207B8C68">
                  <w:pPr>
                    <w:pStyle w:val="31"/>
                    <w:bidi w:val="0"/>
                    <w:jc w:val="center"/>
                    <w:rPr>
                      <w:rFonts w:hint="default" w:ascii="Times New Roman" w:hAnsi="Times New Roman" w:cs="Times New Roman"/>
                      <w:color w:val="000000"/>
                      <w:highlight w:val="none"/>
                      <w:lang w:eastAsia="zh-CN"/>
                    </w:rPr>
                  </w:pPr>
                </w:p>
              </w:tc>
              <w:tc>
                <w:tcPr>
                  <w:tcW w:w="869" w:type="dxa"/>
                  <w:vMerge w:val="restart"/>
                  <w:noWrap w:val="0"/>
                  <w:vAlign w:val="center"/>
                </w:tcPr>
                <w:p w14:paraId="4B0C6E55">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船舶生活污水</w:t>
                  </w:r>
                </w:p>
              </w:tc>
              <w:tc>
                <w:tcPr>
                  <w:tcW w:w="775" w:type="dxa"/>
                  <w:vMerge w:val="restart"/>
                  <w:noWrap w:val="0"/>
                  <w:vAlign w:val="center"/>
                </w:tcPr>
                <w:p w14:paraId="055101C5">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45.2</w:t>
                  </w:r>
                </w:p>
              </w:tc>
              <w:tc>
                <w:tcPr>
                  <w:tcW w:w="1578" w:type="dxa"/>
                  <w:noWrap w:val="0"/>
                  <w:vAlign w:val="center"/>
                </w:tcPr>
                <w:p w14:paraId="0272B23E">
                  <w:pPr>
                    <w:pStyle w:val="31"/>
                    <w:bidi w:val="0"/>
                    <w:ind w:firstLine="0" w:firstLineChars="0"/>
                    <w:jc w:val="center"/>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产生浓度（mg/L）</w:t>
                  </w:r>
                </w:p>
              </w:tc>
              <w:tc>
                <w:tcPr>
                  <w:tcW w:w="847" w:type="dxa"/>
                  <w:noWrap w:val="0"/>
                  <w:vAlign w:val="center"/>
                </w:tcPr>
                <w:p w14:paraId="05CF730E">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400</w:t>
                  </w:r>
                </w:p>
              </w:tc>
              <w:tc>
                <w:tcPr>
                  <w:tcW w:w="740" w:type="dxa"/>
                  <w:noWrap w:val="0"/>
                  <w:vAlign w:val="center"/>
                </w:tcPr>
                <w:p w14:paraId="4F7A244F">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150</w:t>
                  </w:r>
                </w:p>
              </w:tc>
              <w:tc>
                <w:tcPr>
                  <w:tcW w:w="740" w:type="dxa"/>
                  <w:noWrap w:val="0"/>
                  <w:vAlign w:val="center"/>
                </w:tcPr>
                <w:p w14:paraId="3667A00C">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350</w:t>
                  </w:r>
                </w:p>
              </w:tc>
              <w:tc>
                <w:tcPr>
                  <w:tcW w:w="740" w:type="dxa"/>
                  <w:noWrap w:val="0"/>
                  <w:vAlign w:val="center"/>
                </w:tcPr>
                <w:p w14:paraId="690533F5">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35</w:t>
                  </w:r>
                </w:p>
              </w:tc>
              <w:tc>
                <w:tcPr>
                  <w:tcW w:w="740" w:type="dxa"/>
                  <w:noWrap w:val="0"/>
                  <w:vAlign w:val="center"/>
                </w:tcPr>
                <w:p w14:paraId="5E7ADA58">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w:t>
                  </w:r>
                </w:p>
              </w:tc>
              <w:tc>
                <w:tcPr>
                  <w:tcW w:w="749" w:type="dxa"/>
                  <w:noWrap w:val="0"/>
                  <w:vAlign w:val="center"/>
                </w:tcPr>
                <w:p w14:paraId="49A0DBD8">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w:t>
                  </w:r>
                </w:p>
              </w:tc>
            </w:tr>
            <w:tr w14:paraId="1F2F08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atLeast"/>
              </w:trPr>
              <w:tc>
                <w:tcPr>
                  <w:tcW w:w="460" w:type="dxa"/>
                  <w:vMerge w:val="continue"/>
                  <w:noWrap w:val="0"/>
                  <w:vAlign w:val="center"/>
                </w:tcPr>
                <w:p w14:paraId="278DAF54">
                  <w:pPr>
                    <w:pStyle w:val="31"/>
                    <w:bidi w:val="0"/>
                    <w:jc w:val="center"/>
                    <w:rPr>
                      <w:rFonts w:hint="default" w:ascii="Times New Roman" w:hAnsi="Times New Roman" w:cs="Times New Roman"/>
                      <w:color w:val="000000"/>
                      <w:highlight w:val="none"/>
                      <w:lang w:eastAsia="zh-CN"/>
                    </w:rPr>
                  </w:pPr>
                </w:p>
              </w:tc>
              <w:tc>
                <w:tcPr>
                  <w:tcW w:w="869" w:type="dxa"/>
                  <w:vMerge w:val="continue"/>
                  <w:noWrap w:val="0"/>
                  <w:vAlign w:val="center"/>
                </w:tcPr>
                <w:p w14:paraId="1A6C5CC6">
                  <w:pPr>
                    <w:pStyle w:val="31"/>
                    <w:bidi w:val="0"/>
                    <w:jc w:val="center"/>
                    <w:rPr>
                      <w:rFonts w:hint="default" w:ascii="Times New Roman" w:hAnsi="Times New Roman" w:cs="Times New Roman"/>
                      <w:color w:val="000000"/>
                      <w:highlight w:val="none"/>
                      <w:lang w:eastAsia="zh-CN"/>
                    </w:rPr>
                  </w:pPr>
                </w:p>
              </w:tc>
              <w:tc>
                <w:tcPr>
                  <w:tcW w:w="775" w:type="dxa"/>
                  <w:vMerge w:val="continue"/>
                  <w:noWrap w:val="0"/>
                  <w:vAlign w:val="center"/>
                </w:tcPr>
                <w:p w14:paraId="4667554F">
                  <w:pPr>
                    <w:pStyle w:val="31"/>
                    <w:bidi w:val="0"/>
                    <w:jc w:val="center"/>
                    <w:rPr>
                      <w:rFonts w:hint="default" w:ascii="Times New Roman" w:hAnsi="Times New Roman" w:cs="Times New Roman"/>
                      <w:color w:val="000000"/>
                      <w:highlight w:val="none"/>
                      <w:lang w:eastAsia="zh-CN"/>
                    </w:rPr>
                  </w:pPr>
                </w:p>
              </w:tc>
              <w:tc>
                <w:tcPr>
                  <w:tcW w:w="1578" w:type="dxa"/>
                  <w:noWrap w:val="0"/>
                  <w:vAlign w:val="center"/>
                </w:tcPr>
                <w:p w14:paraId="214FEC1D">
                  <w:pPr>
                    <w:pStyle w:val="31"/>
                    <w:bidi w:val="0"/>
                    <w:ind w:firstLine="0" w:firstLineChars="0"/>
                    <w:jc w:val="center"/>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产生量（kg/d）</w:t>
                  </w:r>
                </w:p>
              </w:tc>
              <w:tc>
                <w:tcPr>
                  <w:tcW w:w="847" w:type="dxa"/>
                  <w:noWrap w:val="0"/>
                  <w:vAlign w:val="center"/>
                </w:tcPr>
                <w:p w14:paraId="0E2905F8">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 xml:space="preserve">18.08 </w:t>
                  </w:r>
                </w:p>
              </w:tc>
              <w:tc>
                <w:tcPr>
                  <w:tcW w:w="740" w:type="dxa"/>
                  <w:noWrap w:val="0"/>
                  <w:vAlign w:val="center"/>
                </w:tcPr>
                <w:p w14:paraId="630DC232">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 xml:space="preserve">6.78 </w:t>
                  </w:r>
                </w:p>
              </w:tc>
              <w:tc>
                <w:tcPr>
                  <w:tcW w:w="740" w:type="dxa"/>
                  <w:noWrap w:val="0"/>
                  <w:vAlign w:val="center"/>
                </w:tcPr>
                <w:p w14:paraId="6485B8A2">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 xml:space="preserve">15.82 </w:t>
                  </w:r>
                </w:p>
              </w:tc>
              <w:tc>
                <w:tcPr>
                  <w:tcW w:w="740" w:type="dxa"/>
                  <w:noWrap w:val="0"/>
                  <w:vAlign w:val="center"/>
                </w:tcPr>
                <w:p w14:paraId="7A55EC0C">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 xml:space="preserve">1.58 </w:t>
                  </w:r>
                </w:p>
              </w:tc>
              <w:tc>
                <w:tcPr>
                  <w:tcW w:w="740" w:type="dxa"/>
                  <w:noWrap w:val="0"/>
                  <w:vAlign w:val="center"/>
                </w:tcPr>
                <w:p w14:paraId="39274EB5">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w:t>
                  </w:r>
                </w:p>
              </w:tc>
              <w:tc>
                <w:tcPr>
                  <w:tcW w:w="749" w:type="dxa"/>
                  <w:noWrap w:val="0"/>
                  <w:vAlign w:val="center"/>
                </w:tcPr>
                <w:p w14:paraId="36986731">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w:t>
                  </w:r>
                </w:p>
              </w:tc>
            </w:tr>
            <w:tr w14:paraId="3F5B55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atLeast"/>
              </w:trPr>
              <w:tc>
                <w:tcPr>
                  <w:tcW w:w="460" w:type="dxa"/>
                  <w:vMerge w:val="continue"/>
                  <w:noWrap w:val="0"/>
                  <w:vAlign w:val="center"/>
                </w:tcPr>
                <w:p w14:paraId="0C86A7C2">
                  <w:pPr>
                    <w:pStyle w:val="31"/>
                    <w:bidi w:val="0"/>
                    <w:jc w:val="center"/>
                    <w:rPr>
                      <w:rFonts w:hint="default" w:ascii="Times New Roman" w:hAnsi="Times New Roman" w:cs="Times New Roman"/>
                      <w:color w:val="000000"/>
                      <w:highlight w:val="none"/>
                      <w:lang w:eastAsia="zh-CN"/>
                    </w:rPr>
                  </w:pPr>
                </w:p>
              </w:tc>
              <w:tc>
                <w:tcPr>
                  <w:tcW w:w="869" w:type="dxa"/>
                  <w:vMerge w:val="restart"/>
                  <w:noWrap w:val="0"/>
                  <w:vAlign w:val="center"/>
                </w:tcPr>
                <w:p w14:paraId="4FF1C41B">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船舶含油污水</w:t>
                  </w:r>
                </w:p>
              </w:tc>
              <w:tc>
                <w:tcPr>
                  <w:tcW w:w="775" w:type="dxa"/>
                  <w:vMerge w:val="restart"/>
                  <w:noWrap w:val="0"/>
                  <w:vAlign w:val="center"/>
                </w:tcPr>
                <w:p w14:paraId="3E248222">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9.04</w:t>
                  </w:r>
                </w:p>
              </w:tc>
              <w:tc>
                <w:tcPr>
                  <w:tcW w:w="1578" w:type="dxa"/>
                  <w:noWrap w:val="0"/>
                  <w:vAlign w:val="center"/>
                </w:tcPr>
                <w:p w14:paraId="136ED614">
                  <w:pPr>
                    <w:pStyle w:val="31"/>
                    <w:bidi w:val="0"/>
                    <w:ind w:firstLine="0" w:firstLineChars="0"/>
                    <w:jc w:val="center"/>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产生浓度（mg/L）</w:t>
                  </w:r>
                </w:p>
              </w:tc>
              <w:tc>
                <w:tcPr>
                  <w:tcW w:w="847" w:type="dxa"/>
                  <w:noWrap w:val="0"/>
                  <w:vAlign w:val="center"/>
                </w:tcPr>
                <w:p w14:paraId="0980C505">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w:t>
                  </w:r>
                </w:p>
              </w:tc>
              <w:tc>
                <w:tcPr>
                  <w:tcW w:w="740" w:type="dxa"/>
                  <w:noWrap w:val="0"/>
                  <w:vAlign w:val="center"/>
                </w:tcPr>
                <w:p w14:paraId="74C770FC">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w:t>
                  </w:r>
                </w:p>
              </w:tc>
              <w:tc>
                <w:tcPr>
                  <w:tcW w:w="740" w:type="dxa"/>
                  <w:noWrap w:val="0"/>
                  <w:vAlign w:val="center"/>
                </w:tcPr>
                <w:p w14:paraId="212229D4">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w:t>
                  </w:r>
                </w:p>
              </w:tc>
              <w:tc>
                <w:tcPr>
                  <w:tcW w:w="740" w:type="dxa"/>
                  <w:noWrap w:val="0"/>
                  <w:vAlign w:val="center"/>
                </w:tcPr>
                <w:p w14:paraId="30651C56">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w:t>
                  </w:r>
                </w:p>
              </w:tc>
              <w:tc>
                <w:tcPr>
                  <w:tcW w:w="740" w:type="dxa"/>
                  <w:noWrap w:val="0"/>
                  <w:vAlign w:val="center"/>
                </w:tcPr>
                <w:p w14:paraId="7674C506">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10000</w:t>
                  </w:r>
                </w:p>
              </w:tc>
              <w:tc>
                <w:tcPr>
                  <w:tcW w:w="749" w:type="dxa"/>
                  <w:noWrap w:val="0"/>
                  <w:vAlign w:val="center"/>
                </w:tcPr>
                <w:p w14:paraId="77DF56CC">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w:t>
                  </w:r>
                </w:p>
              </w:tc>
            </w:tr>
            <w:tr w14:paraId="57B53B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atLeast"/>
              </w:trPr>
              <w:tc>
                <w:tcPr>
                  <w:tcW w:w="460" w:type="dxa"/>
                  <w:vMerge w:val="continue"/>
                  <w:noWrap w:val="0"/>
                  <w:vAlign w:val="center"/>
                </w:tcPr>
                <w:p w14:paraId="168D0712">
                  <w:pPr>
                    <w:pStyle w:val="31"/>
                    <w:bidi w:val="0"/>
                    <w:jc w:val="center"/>
                    <w:rPr>
                      <w:rFonts w:hint="default" w:ascii="Times New Roman" w:hAnsi="Times New Roman" w:cs="Times New Roman"/>
                      <w:color w:val="000000"/>
                      <w:highlight w:val="none"/>
                      <w:lang w:eastAsia="zh-CN"/>
                    </w:rPr>
                  </w:pPr>
                </w:p>
              </w:tc>
              <w:tc>
                <w:tcPr>
                  <w:tcW w:w="869" w:type="dxa"/>
                  <w:vMerge w:val="continue"/>
                  <w:noWrap w:val="0"/>
                  <w:vAlign w:val="center"/>
                </w:tcPr>
                <w:p w14:paraId="11E19F0B">
                  <w:pPr>
                    <w:pStyle w:val="31"/>
                    <w:bidi w:val="0"/>
                    <w:jc w:val="center"/>
                    <w:rPr>
                      <w:rFonts w:hint="default" w:ascii="Times New Roman" w:hAnsi="Times New Roman" w:cs="Times New Roman"/>
                      <w:color w:val="000000"/>
                      <w:highlight w:val="none"/>
                      <w:lang w:eastAsia="zh-CN"/>
                    </w:rPr>
                  </w:pPr>
                </w:p>
              </w:tc>
              <w:tc>
                <w:tcPr>
                  <w:tcW w:w="775" w:type="dxa"/>
                  <w:vMerge w:val="continue"/>
                  <w:noWrap w:val="0"/>
                  <w:vAlign w:val="center"/>
                </w:tcPr>
                <w:p w14:paraId="19E99C52">
                  <w:pPr>
                    <w:pStyle w:val="31"/>
                    <w:bidi w:val="0"/>
                    <w:jc w:val="center"/>
                    <w:rPr>
                      <w:rFonts w:hint="default" w:ascii="Times New Roman" w:hAnsi="Times New Roman" w:cs="Times New Roman"/>
                      <w:color w:val="000000"/>
                      <w:highlight w:val="none"/>
                      <w:lang w:eastAsia="zh-CN"/>
                    </w:rPr>
                  </w:pPr>
                </w:p>
              </w:tc>
              <w:tc>
                <w:tcPr>
                  <w:tcW w:w="1578" w:type="dxa"/>
                  <w:noWrap w:val="0"/>
                  <w:vAlign w:val="center"/>
                </w:tcPr>
                <w:p w14:paraId="612AC410">
                  <w:pPr>
                    <w:pStyle w:val="31"/>
                    <w:bidi w:val="0"/>
                    <w:ind w:firstLine="0" w:firstLineChars="0"/>
                    <w:jc w:val="center"/>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产生量（kg/d）</w:t>
                  </w:r>
                </w:p>
              </w:tc>
              <w:tc>
                <w:tcPr>
                  <w:tcW w:w="847" w:type="dxa"/>
                  <w:noWrap w:val="0"/>
                  <w:vAlign w:val="center"/>
                </w:tcPr>
                <w:p w14:paraId="51ED51A0">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w:t>
                  </w:r>
                </w:p>
              </w:tc>
              <w:tc>
                <w:tcPr>
                  <w:tcW w:w="740" w:type="dxa"/>
                  <w:noWrap w:val="0"/>
                  <w:vAlign w:val="center"/>
                </w:tcPr>
                <w:p w14:paraId="4306133D">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w:t>
                  </w:r>
                </w:p>
              </w:tc>
              <w:tc>
                <w:tcPr>
                  <w:tcW w:w="740" w:type="dxa"/>
                  <w:noWrap w:val="0"/>
                  <w:vAlign w:val="center"/>
                </w:tcPr>
                <w:p w14:paraId="266971CD">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w:t>
                  </w:r>
                </w:p>
              </w:tc>
              <w:tc>
                <w:tcPr>
                  <w:tcW w:w="740" w:type="dxa"/>
                  <w:noWrap w:val="0"/>
                  <w:vAlign w:val="center"/>
                </w:tcPr>
                <w:p w14:paraId="046CA08C">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w:t>
                  </w:r>
                </w:p>
              </w:tc>
              <w:tc>
                <w:tcPr>
                  <w:tcW w:w="740" w:type="dxa"/>
                  <w:noWrap w:val="0"/>
                  <w:vAlign w:val="center"/>
                </w:tcPr>
                <w:p w14:paraId="2AE3EBDE">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 xml:space="preserve">90.40 </w:t>
                  </w:r>
                </w:p>
              </w:tc>
              <w:tc>
                <w:tcPr>
                  <w:tcW w:w="749" w:type="dxa"/>
                  <w:noWrap w:val="0"/>
                  <w:vAlign w:val="center"/>
                </w:tcPr>
                <w:p w14:paraId="4F6D39FC">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w:t>
                  </w:r>
                </w:p>
              </w:tc>
            </w:tr>
            <w:tr w14:paraId="48EAF0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atLeast"/>
              </w:trPr>
              <w:tc>
                <w:tcPr>
                  <w:tcW w:w="460" w:type="dxa"/>
                  <w:vMerge w:val="restart"/>
                  <w:noWrap w:val="0"/>
                  <w:vAlign w:val="center"/>
                </w:tcPr>
                <w:p w14:paraId="65D716B5">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扩建工程</w:t>
                  </w:r>
                </w:p>
              </w:tc>
              <w:tc>
                <w:tcPr>
                  <w:tcW w:w="869" w:type="dxa"/>
                  <w:vMerge w:val="restart"/>
                  <w:noWrap w:val="0"/>
                  <w:vAlign w:val="center"/>
                </w:tcPr>
                <w:p w14:paraId="687227FA">
                  <w:pPr>
                    <w:pStyle w:val="31"/>
                    <w:bidi w:val="0"/>
                    <w:ind w:firstLine="0" w:firstLineChars="0"/>
                    <w:jc w:val="center"/>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港区生活污水</w:t>
                  </w:r>
                </w:p>
              </w:tc>
              <w:tc>
                <w:tcPr>
                  <w:tcW w:w="775" w:type="dxa"/>
                  <w:vMerge w:val="restart"/>
                  <w:noWrap w:val="0"/>
                  <w:vAlign w:val="center"/>
                </w:tcPr>
                <w:p w14:paraId="1497B3A7">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18.36</w:t>
                  </w:r>
                </w:p>
              </w:tc>
              <w:tc>
                <w:tcPr>
                  <w:tcW w:w="1578" w:type="dxa"/>
                  <w:noWrap w:val="0"/>
                  <w:vAlign w:val="center"/>
                </w:tcPr>
                <w:p w14:paraId="22DD400E">
                  <w:pPr>
                    <w:pStyle w:val="31"/>
                    <w:bidi w:val="0"/>
                    <w:ind w:firstLine="0" w:firstLineChars="0"/>
                    <w:jc w:val="center"/>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产生浓度（mg/L）</w:t>
                  </w:r>
                </w:p>
              </w:tc>
              <w:tc>
                <w:tcPr>
                  <w:tcW w:w="847" w:type="dxa"/>
                  <w:noWrap w:val="0"/>
                  <w:vAlign w:val="center"/>
                </w:tcPr>
                <w:p w14:paraId="1171550D">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400</w:t>
                  </w:r>
                </w:p>
              </w:tc>
              <w:tc>
                <w:tcPr>
                  <w:tcW w:w="740" w:type="dxa"/>
                  <w:noWrap w:val="0"/>
                  <w:vAlign w:val="center"/>
                </w:tcPr>
                <w:p w14:paraId="658774E8">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220</w:t>
                  </w:r>
                </w:p>
              </w:tc>
              <w:tc>
                <w:tcPr>
                  <w:tcW w:w="740" w:type="dxa"/>
                  <w:noWrap w:val="0"/>
                  <w:vAlign w:val="center"/>
                </w:tcPr>
                <w:p w14:paraId="586E28C7">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200</w:t>
                  </w:r>
                </w:p>
              </w:tc>
              <w:tc>
                <w:tcPr>
                  <w:tcW w:w="740" w:type="dxa"/>
                  <w:noWrap w:val="0"/>
                  <w:vAlign w:val="center"/>
                </w:tcPr>
                <w:p w14:paraId="2338D616">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35</w:t>
                  </w:r>
                </w:p>
              </w:tc>
              <w:tc>
                <w:tcPr>
                  <w:tcW w:w="740" w:type="dxa"/>
                  <w:noWrap w:val="0"/>
                  <w:vAlign w:val="center"/>
                </w:tcPr>
                <w:p w14:paraId="4C755308">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w:t>
                  </w:r>
                </w:p>
              </w:tc>
              <w:tc>
                <w:tcPr>
                  <w:tcW w:w="749" w:type="dxa"/>
                  <w:noWrap w:val="0"/>
                  <w:vAlign w:val="center"/>
                </w:tcPr>
                <w:p w14:paraId="116D148C">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100</w:t>
                  </w:r>
                </w:p>
              </w:tc>
            </w:tr>
            <w:tr w14:paraId="4ABE17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atLeast"/>
              </w:trPr>
              <w:tc>
                <w:tcPr>
                  <w:tcW w:w="460" w:type="dxa"/>
                  <w:vMerge w:val="continue"/>
                  <w:noWrap w:val="0"/>
                  <w:vAlign w:val="center"/>
                </w:tcPr>
                <w:p w14:paraId="27CE7E61">
                  <w:pPr>
                    <w:pStyle w:val="31"/>
                    <w:bidi w:val="0"/>
                    <w:jc w:val="center"/>
                    <w:rPr>
                      <w:rFonts w:hint="default" w:ascii="Times New Roman" w:hAnsi="Times New Roman" w:cs="Times New Roman"/>
                      <w:color w:val="000000"/>
                      <w:highlight w:val="none"/>
                      <w:lang w:eastAsia="zh-CN"/>
                    </w:rPr>
                  </w:pPr>
                </w:p>
              </w:tc>
              <w:tc>
                <w:tcPr>
                  <w:tcW w:w="869" w:type="dxa"/>
                  <w:vMerge w:val="continue"/>
                  <w:noWrap w:val="0"/>
                  <w:vAlign w:val="center"/>
                </w:tcPr>
                <w:p w14:paraId="357BD646">
                  <w:pPr>
                    <w:pStyle w:val="31"/>
                    <w:bidi w:val="0"/>
                    <w:jc w:val="center"/>
                    <w:rPr>
                      <w:rFonts w:hint="default" w:ascii="Times New Roman" w:hAnsi="Times New Roman" w:cs="Times New Roman"/>
                      <w:color w:val="000000"/>
                      <w:highlight w:val="none"/>
                      <w:lang w:eastAsia="zh-CN"/>
                    </w:rPr>
                  </w:pPr>
                </w:p>
              </w:tc>
              <w:tc>
                <w:tcPr>
                  <w:tcW w:w="775" w:type="dxa"/>
                  <w:vMerge w:val="continue"/>
                  <w:noWrap w:val="0"/>
                  <w:vAlign w:val="center"/>
                </w:tcPr>
                <w:p w14:paraId="2A1E95A1">
                  <w:pPr>
                    <w:pStyle w:val="31"/>
                    <w:bidi w:val="0"/>
                    <w:rPr>
                      <w:rFonts w:hint="default" w:ascii="Times New Roman" w:hAnsi="Times New Roman" w:cs="Times New Roman"/>
                      <w:color w:val="000000"/>
                      <w:highlight w:val="none"/>
                      <w:lang w:eastAsia="zh-CN"/>
                    </w:rPr>
                  </w:pPr>
                </w:p>
              </w:tc>
              <w:tc>
                <w:tcPr>
                  <w:tcW w:w="1578" w:type="dxa"/>
                  <w:noWrap w:val="0"/>
                  <w:vAlign w:val="center"/>
                </w:tcPr>
                <w:p w14:paraId="5B1D3405">
                  <w:pPr>
                    <w:pStyle w:val="31"/>
                    <w:bidi w:val="0"/>
                    <w:ind w:firstLine="0" w:firstLineChars="0"/>
                    <w:jc w:val="center"/>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产生量（kg/d）</w:t>
                  </w:r>
                </w:p>
              </w:tc>
              <w:tc>
                <w:tcPr>
                  <w:tcW w:w="847" w:type="dxa"/>
                  <w:noWrap w:val="0"/>
                  <w:vAlign w:val="center"/>
                </w:tcPr>
                <w:p w14:paraId="6B91A4DB">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 xml:space="preserve">7.34 </w:t>
                  </w:r>
                </w:p>
              </w:tc>
              <w:tc>
                <w:tcPr>
                  <w:tcW w:w="740" w:type="dxa"/>
                  <w:noWrap w:val="0"/>
                  <w:vAlign w:val="center"/>
                </w:tcPr>
                <w:p w14:paraId="7A8F685D">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 xml:space="preserve">4.04 </w:t>
                  </w:r>
                </w:p>
              </w:tc>
              <w:tc>
                <w:tcPr>
                  <w:tcW w:w="740" w:type="dxa"/>
                  <w:noWrap w:val="0"/>
                  <w:vAlign w:val="center"/>
                </w:tcPr>
                <w:p w14:paraId="21E1E47E">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 xml:space="preserve">3.67 </w:t>
                  </w:r>
                </w:p>
              </w:tc>
              <w:tc>
                <w:tcPr>
                  <w:tcW w:w="740" w:type="dxa"/>
                  <w:noWrap w:val="0"/>
                  <w:vAlign w:val="center"/>
                </w:tcPr>
                <w:p w14:paraId="08DD189B">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 xml:space="preserve">0.64 </w:t>
                  </w:r>
                </w:p>
              </w:tc>
              <w:tc>
                <w:tcPr>
                  <w:tcW w:w="740" w:type="dxa"/>
                  <w:noWrap w:val="0"/>
                  <w:vAlign w:val="center"/>
                </w:tcPr>
                <w:p w14:paraId="108CC544">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w:t>
                  </w:r>
                </w:p>
              </w:tc>
              <w:tc>
                <w:tcPr>
                  <w:tcW w:w="749" w:type="dxa"/>
                  <w:noWrap w:val="0"/>
                  <w:vAlign w:val="center"/>
                </w:tcPr>
                <w:p w14:paraId="29929DAA">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 xml:space="preserve">1.84 </w:t>
                  </w:r>
                </w:p>
              </w:tc>
            </w:tr>
            <w:tr w14:paraId="6EF63B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atLeast"/>
              </w:trPr>
              <w:tc>
                <w:tcPr>
                  <w:tcW w:w="460" w:type="dxa"/>
                  <w:vMerge w:val="continue"/>
                  <w:noWrap w:val="0"/>
                  <w:vAlign w:val="center"/>
                </w:tcPr>
                <w:p w14:paraId="7E42CE7C">
                  <w:pPr>
                    <w:pStyle w:val="31"/>
                    <w:bidi w:val="0"/>
                    <w:jc w:val="center"/>
                    <w:rPr>
                      <w:rFonts w:hint="default" w:ascii="Times New Roman" w:hAnsi="Times New Roman" w:cs="Times New Roman"/>
                      <w:color w:val="000000"/>
                      <w:highlight w:val="none"/>
                      <w:lang w:eastAsia="zh-CN"/>
                    </w:rPr>
                  </w:pPr>
                </w:p>
              </w:tc>
              <w:tc>
                <w:tcPr>
                  <w:tcW w:w="869" w:type="dxa"/>
                  <w:vMerge w:val="restart"/>
                  <w:noWrap w:val="0"/>
                  <w:vAlign w:val="center"/>
                </w:tcPr>
                <w:p w14:paraId="0F05F8BA">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港区冲洗废水</w:t>
                  </w:r>
                </w:p>
              </w:tc>
              <w:tc>
                <w:tcPr>
                  <w:tcW w:w="775" w:type="dxa"/>
                  <w:vMerge w:val="restart"/>
                  <w:noWrap w:val="0"/>
                  <w:vAlign w:val="center"/>
                </w:tcPr>
                <w:p w14:paraId="735B6BF1">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 xml:space="preserve">26.47 </w:t>
                  </w:r>
                </w:p>
              </w:tc>
              <w:tc>
                <w:tcPr>
                  <w:tcW w:w="1578" w:type="dxa"/>
                  <w:noWrap w:val="0"/>
                  <w:vAlign w:val="center"/>
                </w:tcPr>
                <w:p w14:paraId="553C2A5C">
                  <w:pPr>
                    <w:pStyle w:val="31"/>
                    <w:bidi w:val="0"/>
                    <w:ind w:firstLine="0" w:firstLineChars="0"/>
                    <w:jc w:val="center"/>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产生浓度（mg/L）</w:t>
                  </w:r>
                </w:p>
              </w:tc>
              <w:tc>
                <w:tcPr>
                  <w:tcW w:w="847" w:type="dxa"/>
                  <w:noWrap w:val="0"/>
                  <w:vAlign w:val="center"/>
                </w:tcPr>
                <w:p w14:paraId="7C5695C9">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500</w:t>
                  </w:r>
                </w:p>
              </w:tc>
              <w:tc>
                <w:tcPr>
                  <w:tcW w:w="740" w:type="dxa"/>
                  <w:noWrap w:val="0"/>
                  <w:vAlign w:val="center"/>
                </w:tcPr>
                <w:p w14:paraId="0DE8CD13">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300</w:t>
                  </w:r>
                </w:p>
              </w:tc>
              <w:tc>
                <w:tcPr>
                  <w:tcW w:w="740" w:type="dxa"/>
                  <w:noWrap w:val="0"/>
                  <w:vAlign w:val="center"/>
                </w:tcPr>
                <w:p w14:paraId="5745B0AC">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400</w:t>
                  </w:r>
                </w:p>
              </w:tc>
              <w:tc>
                <w:tcPr>
                  <w:tcW w:w="740" w:type="dxa"/>
                  <w:noWrap w:val="0"/>
                  <w:vAlign w:val="center"/>
                </w:tcPr>
                <w:p w14:paraId="6D18F160">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40</w:t>
                  </w:r>
                </w:p>
              </w:tc>
              <w:tc>
                <w:tcPr>
                  <w:tcW w:w="740" w:type="dxa"/>
                  <w:noWrap w:val="0"/>
                  <w:vAlign w:val="center"/>
                </w:tcPr>
                <w:p w14:paraId="7B52C2DF">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w:t>
                  </w:r>
                </w:p>
              </w:tc>
              <w:tc>
                <w:tcPr>
                  <w:tcW w:w="749" w:type="dxa"/>
                  <w:noWrap w:val="0"/>
                  <w:vAlign w:val="center"/>
                </w:tcPr>
                <w:p w14:paraId="40548972">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w:t>
                  </w:r>
                </w:p>
              </w:tc>
            </w:tr>
            <w:tr w14:paraId="571D87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atLeast"/>
              </w:trPr>
              <w:tc>
                <w:tcPr>
                  <w:tcW w:w="460" w:type="dxa"/>
                  <w:vMerge w:val="continue"/>
                  <w:noWrap w:val="0"/>
                  <w:vAlign w:val="center"/>
                </w:tcPr>
                <w:p w14:paraId="3035E23D">
                  <w:pPr>
                    <w:pStyle w:val="31"/>
                    <w:bidi w:val="0"/>
                    <w:jc w:val="center"/>
                    <w:rPr>
                      <w:rFonts w:hint="default" w:ascii="Times New Roman" w:hAnsi="Times New Roman" w:cs="Times New Roman"/>
                      <w:color w:val="000000"/>
                      <w:highlight w:val="none"/>
                      <w:lang w:eastAsia="zh-CN"/>
                    </w:rPr>
                  </w:pPr>
                </w:p>
              </w:tc>
              <w:tc>
                <w:tcPr>
                  <w:tcW w:w="869" w:type="dxa"/>
                  <w:vMerge w:val="continue"/>
                  <w:noWrap w:val="0"/>
                  <w:vAlign w:val="center"/>
                </w:tcPr>
                <w:p w14:paraId="0717F28D">
                  <w:pPr>
                    <w:pStyle w:val="31"/>
                    <w:bidi w:val="0"/>
                    <w:jc w:val="center"/>
                    <w:rPr>
                      <w:rFonts w:hint="default" w:ascii="Times New Roman" w:hAnsi="Times New Roman" w:cs="Times New Roman"/>
                      <w:color w:val="000000"/>
                      <w:highlight w:val="none"/>
                      <w:lang w:eastAsia="zh-CN"/>
                    </w:rPr>
                  </w:pPr>
                </w:p>
              </w:tc>
              <w:tc>
                <w:tcPr>
                  <w:tcW w:w="775" w:type="dxa"/>
                  <w:vMerge w:val="continue"/>
                  <w:noWrap w:val="0"/>
                  <w:vAlign w:val="center"/>
                </w:tcPr>
                <w:p w14:paraId="2C632A60">
                  <w:pPr>
                    <w:pStyle w:val="31"/>
                    <w:bidi w:val="0"/>
                    <w:jc w:val="center"/>
                    <w:rPr>
                      <w:rFonts w:hint="default" w:ascii="Times New Roman" w:hAnsi="Times New Roman" w:cs="Times New Roman"/>
                      <w:color w:val="000000"/>
                      <w:highlight w:val="none"/>
                      <w:lang w:eastAsia="zh-CN"/>
                    </w:rPr>
                  </w:pPr>
                </w:p>
              </w:tc>
              <w:tc>
                <w:tcPr>
                  <w:tcW w:w="1578" w:type="dxa"/>
                  <w:noWrap w:val="0"/>
                  <w:vAlign w:val="center"/>
                </w:tcPr>
                <w:p w14:paraId="1158F5E5">
                  <w:pPr>
                    <w:pStyle w:val="31"/>
                    <w:bidi w:val="0"/>
                    <w:ind w:firstLine="0" w:firstLineChars="0"/>
                    <w:jc w:val="center"/>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产生量（kg/d）</w:t>
                  </w:r>
                </w:p>
              </w:tc>
              <w:tc>
                <w:tcPr>
                  <w:tcW w:w="847" w:type="dxa"/>
                  <w:noWrap w:val="0"/>
                  <w:vAlign w:val="center"/>
                </w:tcPr>
                <w:p w14:paraId="4610E9CC">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 xml:space="preserve">13.23 </w:t>
                  </w:r>
                </w:p>
              </w:tc>
              <w:tc>
                <w:tcPr>
                  <w:tcW w:w="740" w:type="dxa"/>
                  <w:noWrap w:val="0"/>
                  <w:vAlign w:val="center"/>
                </w:tcPr>
                <w:p w14:paraId="00F91074">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 xml:space="preserve">7.94 </w:t>
                  </w:r>
                </w:p>
              </w:tc>
              <w:tc>
                <w:tcPr>
                  <w:tcW w:w="740" w:type="dxa"/>
                  <w:noWrap w:val="0"/>
                  <w:vAlign w:val="center"/>
                </w:tcPr>
                <w:p w14:paraId="5D8E7178">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 xml:space="preserve">10.59 </w:t>
                  </w:r>
                </w:p>
              </w:tc>
              <w:tc>
                <w:tcPr>
                  <w:tcW w:w="740" w:type="dxa"/>
                  <w:noWrap w:val="0"/>
                  <w:vAlign w:val="center"/>
                </w:tcPr>
                <w:p w14:paraId="53A08127">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 xml:space="preserve">1.06 </w:t>
                  </w:r>
                </w:p>
              </w:tc>
              <w:tc>
                <w:tcPr>
                  <w:tcW w:w="740" w:type="dxa"/>
                  <w:noWrap w:val="0"/>
                  <w:vAlign w:val="center"/>
                </w:tcPr>
                <w:p w14:paraId="73C0B1DA">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w:t>
                  </w:r>
                </w:p>
              </w:tc>
              <w:tc>
                <w:tcPr>
                  <w:tcW w:w="749" w:type="dxa"/>
                  <w:noWrap w:val="0"/>
                  <w:vAlign w:val="center"/>
                </w:tcPr>
                <w:p w14:paraId="2530B193">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w:t>
                  </w:r>
                </w:p>
              </w:tc>
            </w:tr>
            <w:tr w14:paraId="527B4F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atLeast"/>
              </w:trPr>
              <w:tc>
                <w:tcPr>
                  <w:tcW w:w="460" w:type="dxa"/>
                  <w:vMerge w:val="continue"/>
                  <w:noWrap w:val="0"/>
                  <w:vAlign w:val="center"/>
                </w:tcPr>
                <w:p w14:paraId="49203F0E">
                  <w:pPr>
                    <w:pStyle w:val="31"/>
                    <w:bidi w:val="0"/>
                    <w:jc w:val="center"/>
                    <w:rPr>
                      <w:rFonts w:hint="default" w:ascii="Times New Roman" w:hAnsi="Times New Roman" w:cs="Times New Roman"/>
                      <w:color w:val="000000"/>
                      <w:highlight w:val="none"/>
                      <w:lang w:eastAsia="zh-CN"/>
                    </w:rPr>
                  </w:pPr>
                </w:p>
              </w:tc>
              <w:tc>
                <w:tcPr>
                  <w:tcW w:w="869" w:type="dxa"/>
                  <w:vMerge w:val="restart"/>
                  <w:noWrap w:val="0"/>
                  <w:vAlign w:val="center"/>
                </w:tcPr>
                <w:p w14:paraId="313E1B2B">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船舶生活污水</w:t>
                  </w:r>
                </w:p>
              </w:tc>
              <w:tc>
                <w:tcPr>
                  <w:tcW w:w="775" w:type="dxa"/>
                  <w:vMerge w:val="restart"/>
                  <w:noWrap w:val="0"/>
                  <w:vAlign w:val="center"/>
                </w:tcPr>
                <w:p w14:paraId="0E0DAD9E">
                  <w:pPr>
                    <w:pStyle w:val="31"/>
                    <w:bidi w:val="0"/>
                    <w:jc w:val="center"/>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13.6</w:t>
                  </w:r>
                </w:p>
              </w:tc>
              <w:tc>
                <w:tcPr>
                  <w:tcW w:w="1578" w:type="dxa"/>
                  <w:noWrap w:val="0"/>
                  <w:vAlign w:val="center"/>
                </w:tcPr>
                <w:p w14:paraId="48DB63E4">
                  <w:pPr>
                    <w:pStyle w:val="31"/>
                    <w:bidi w:val="0"/>
                    <w:ind w:firstLine="0" w:firstLineChars="0"/>
                    <w:jc w:val="center"/>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产生浓度（mg/L）</w:t>
                  </w:r>
                </w:p>
              </w:tc>
              <w:tc>
                <w:tcPr>
                  <w:tcW w:w="847" w:type="dxa"/>
                  <w:noWrap w:val="0"/>
                  <w:vAlign w:val="center"/>
                </w:tcPr>
                <w:p w14:paraId="2614CB51">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400</w:t>
                  </w:r>
                </w:p>
              </w:tc>
              <w:tc>
                <w:tcPr>
                  <w:tcW w:w="740" w:type="dxa"/>
                  <w:noWrap w:val="0"/>
                  <w:vAlign w:val="center"/>
                </w:tcPr>
                <w:p w14:paraId="2BA14B55">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150</w:t>
                  </w:r>
                </w:p>
              </w:tc>
              <w:tc>
                <w:tcPr>
                  <w:tcW w:w="740" w:type="dxa"/>
                  <w:noWrap w:val="0"/>
                  <w:vAlign w:val="center"/>
                </w:tcPr>
                <w:p w14:paraId="45EE8287">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350</w:t>
                  </w:r>
                </w:p>
              </w:tc>
              <w:tc>
                <w:tcPr>
                  <w:tcW w:w="740" w:type="dxa"/>
                  <w:noWrap w:val="0"/>
                  <w:vAlign w:val="center"/>
                </w:tcPr>
                <w:p w14:paraId="1EC22F42">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35</w:t>
                  </w:r>
                </w:p>
              </w:tc>
              <w:tc>
                <w:tcPr>
                  <w:tcW w:w="740" w:type="dxa"/>
                  <w:noWrap w:val="0"/>
                  <w:vAlign w:val="center"/>
                </w:tcPr>
                <w:p w14:paraId="3B44A5F2">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w:t>
                  </w:r>
                </w:p>
              </w:tc>
              <w:tc>
                <w:tcPr>
                  <w:tcW w:w="749" w:type="dxa"/>
                  <w:noWrap w:val="0"/>
                  <w:vAlign w:val="center"/>
                </w:tcPr>
                <w:p w14:paraId="04927993">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w:t>
                  </w:r>
                </w:p>
              </w:tc>
            </w:tr>
            <w:tr w14:paraId="3A516D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atLeast"/>
              </w:trPr>
              <w:tc>
                <w:tcPr>
                  <w:tcW w:w="460" w:type="dxa"/>
                  <w:vMerge w:val="continue"/>
                  <w:noWrap w:val="0"/>
                  <w:vAlign w:val="center"/>
                </w:tcPr>
                <w:p w14:paraId="7C3BF0DB">
                  <w:pPr>
                    <w:pStyle w:val="31"/>
                    <w:bidi w:val="0"/>
                    <w:jc w:val="center"/>
                    <w:rPr>
                      <w:rFonts w:hint="default" w:ascii="Times New Roman" w:hAnsi="Times New Roman" w:cs="Times New Roman"/>
                      <w:color w:val="000000"/>
                      <w:highlight w:val="none"/>
                      <w:lang w:eastAsia="zh-CN"/>
                    </w:rPr>
                  </w:pPr>
                </w:p>
              </w:tc>
              <w:tc>
                <w:tcPr>
                  <w:tcW w:w="869" w:type="dxa"/>
                  <w:vMerge w:val="continue"/>
                  <w:noWrap w:val="0"/>
                  <w:vAlign w:val="center"/>
                </w:tcPr>
                <w:p w14:paraId="2CF6B801">
                  <w:pPr>
                    <w:pStyle w:val="31"/>
                    <w:bidi w:val="0"/>
                    <w:jc w:val="center"/>
                    <w:rPr>
                      <w:rFonts w:hint="default" w:ascii="Times New Roman" w:hAnsi="Times New Roman" w:cs="Times New Roman"/>
                      <w:color w:val="000000"/>
                      <w:highlight w:val="none"/>
                      <w:lang w:eastAsia="zh-CN"/>
                    </w:rPr>
                  </w:pPr>
                </w:p>
              </w:tc>
              <w:tc>
                <w:tcPr>
                  <w:tcW w:w="775" w:type="dxa"/>
                  <w:vMerge w:val="continue"/>
                  <w:noWrap w:val="0"/>
                  <w:vAlign w:val="center"/>
                </w:tcPr>
                <w:p w14:paraId="76FA9F33">
                  <w:pPr>
                    <w:pStyle w:val="31"/>
                    <w:bidi w:val="0"/>
                    <w:jc w:val="center"/>
                    <w:rPr>
                      <w:rFonts w:hint="default" w:ascii="Times New Roman" w:hAnsi="Times New Roman" w:cs="Times New Roman"/>
                      <w:color w:val="000000"/>
                      <w:highlight w:val="none"/>
                      <w:lang w:eastAsia="zh-CN"/>
                    </w:rPr>
                  </w:pPr>
                </w:p>
              </w:tc>
              <w:tc>
                <w:tcPr>
                  <w:tcW w:w="1578" w:type="dxa"/>
                  <w:noWrap w:val="0"/>
                  <w:vAlign w:val="center"/>
                </w:tcPr>
                <w:p w14:paraId="2F19EA5B">
                  <w:pPr>
                    <w:pStyle w:val="31"/>
                    <w:bidi w:val="0"/>
                    <w:ind w:firstLine="0" w:firstLineChars="0"/>
                    <w:jc w:val="center"/>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产生量（kg/d）</w:t>
                  </w:r>
                </w:p>
              </w:tc>
              <w:tc>
                <w:tcPr>
                  <w:tcW w:w="847" w:type="dxa"/>
                  <w:noWrap w:val="0"/>
                  <w:vAlign w:val="center"/>
                </w:tcPr>
                <w:p w14:paraId="76050415">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 xml:space="preserve">5.44 </w:t>
                  </w:r>
                </w:p>
              </w:tc>
              <w:tc>
                <w:tcPr>
                  <w:tcW w:w="740" w:type="dxa"/>
                  <w:noWrap w:val="0"/>
                  <w:vAlign w:val="center"/>
                </w:tcPr>
                <w:p w14:paraId="66A66E33">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 xml:space="preserve">2.04 </w:t>
                  </w:r>
                </w:p>
              </w:tc>
              <w:tc>
                <w:tcPr>
                  <w:tcW w:w="740" w:type="dxa"/>
                  <w:noWrap w:val="0"/>
                  <w:vAlign w:val="center"/>
                </w:tcPr>
                <w:p w14:paraId="3A9130B5">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 xml:space="preserve">4.76 </w:t>
                  </w:r>
                </w:p>
              </w:tc>
              <w:tc>
                <w:tcPr>
                  <w:tcW w:w="740" w:type="dxa"/>
                  <w:noWrap w:val="0"/>
                  <w:vAlign w:val="center"/>
                </w:tcPr>
                <w:p w14:paraId="6A7FEF39">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 xml:space="preserve">0.48 </w:t>
                  </w:r>
                </w:p>
              </w:tc>
              <w:tc>
                <w:tcPr>
                  <w:tcW w:w="740" w:type="dxa"/>
                  <w:noWrap w:val="0"/>
                  <w:vAlign w:val="center"/>
                </w:tcPr>
                <w:p w14:paraId="5E52E8F1">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w:t>
                  </w:r>
                </w:p>
              </w:tc>
              <w:tc>
                <w:tcPr>
                  <w:tcW w:w="749" w:type="dxa"/>
                  <w:noWrap w:val="0"/>
                  <w:vAlign w:val="center"/>
                </w:tcPr>
                <w:p w14:paraId="65A5EA08">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w:t>
                  </w:r>
                </w:p>
              </w:tc>
            </w:tr>
            <w:tr w14:paraId="381CC4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atLeast"/>
              </w:trPr>
              <w:tc>
                <w:tcPr>
                  <w:tcW w:w="460" w:type="dxa"/>
                  <w:vMerge w:val="continue"/>
                  <w:noWrap w:val="0"/>
                  <w:vAlign w:val="center"/>
                </w:tcPr>
                <w:p w14:paraId="5B2C298C">
                  <w:pPr>
                    <w:pStyle w:val="31"/>
                    <w:bidi w:val="0"/>
                    <w:jc w:val="center"/>
                    <w:rPr>
                      <w:rFonts w:hint="default" w:ascii="Times New Roman" w:hAnsi="Times New Roman" w:cs="Times New Roman"/>
                      <w:color w:val="000000"/>
                      <w:highlight w:val="none"/>
                      <w:lang w:eastAsia="zh-CN"/>
                    </w:rPr>
                  </w:pPr>
                </w:p>
              </w:tc>
              <w:tc>
                <w:tcPr>
                  <w:tcW w:w="869" w:type="dxa"/>
                  <w:vMerge w:val="restart"/>
                  <w:noWrap w:val="0"/>
                  <w:vAlign w:val="center"/>
                </w:tcPr>
                <w:p w14:paraId="3C375709">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船舶含油污水</w:t>
                  </w:r>
                </w:p>
              </w:tc>
              <w:tc>
                <w:tcPr>
                  <w:tcW w:w="775" w:type="dxa"/>
                  <w:vMerge w:val="restart"/>
                  <w:noWrap w:val="0"/>
                  <w:vAlign w:val="center"/>
                </w:tcPr>
                <w:p w14:paraId="34C0053A">
                  <w:pPr>
                    <w:pStyle w:val="31"/>
                    <w:bidi w:val="0"/>
                    <w:jc w:val="center"/>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7.11</w:t>
                  </w:r>
                </w:p>
              </w:tc>
              <w:tc>
                <w:tcPr>
                  <w:tcW w:w="1578" w:type="dxa"/>
                  <w:noWrap w:val="0"/>
                  <w:vAlign w:val="center"/>
                </w:tcPr>
                <w:p w14:paraId="7040E7CC">
                  <w:pPr>
                    <w:pStyle w:val="31"/>
                    <w:bidi w:val="0"/>
                    <w:ind w:firstLine="0" w:firstLineChars="0"/>
                    <w:jc w:val="center"/>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产生浓度（mg/L）</w:t>
                  </w:r>
                </w:p>
              </w:tc>
              <w:tc>
                <w:tcPr>
                  <w:tcW w:w="847" w:type="dxa"/>
                  <w:noWrap w:val="0"/>
                  <w:vAlign w:val="center"/>
                </w:tcPr>
                <w:p w14:paraId="4F2E74EE">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w:t>
                  </w:r>
                </w:p>
              </w:tc>
              <w:tc>
                <w:tcPr>
                  <w:tcW w:w="740" w:type="dxa"/>
                  <w:noWrap w:val="0"/>
                  <w:vAlign w:val="center"/>
                </w:tcPr>
                <w:p w14:paraId="6EAC874A">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w:t>
                  </w:r>
                </w:p>
              </w:tc>
              <w:tc>
                <w:tcPr>
                  <w:tcW w:w="740" w:type="dxa"/>
                  <w:noWrap w:val="0"/>
                  <w:vAlign w:val="center"/>
                </w:tcPr>
                <w:p w14:paraId="5F8BDC97">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w:t>
                  </w:r>
                </w:p>
              </w:tc>
              <w:tc>
                <w:tcPr>
                  <w:tcW w:w="740" w:type="dxa"/>
                  <w:noWrap w:val="0"/>
                  <w:vAlign w:val="center"/>
                </w:tcPr>
                <w:p w14:paraId="6EF905B3">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w:t>
                  </w:r>
                </w:p>
              </w:tc>
              <w:tc>
                <w:tcPr>
                  <w:tcW w:w="740" w:type="dxa"/>
                  <w:noWrap w:val="0"/>
                  <w:vAlign w:val="center"/>
                </w:tcPr>
                <w:p w14:paraId="4EE5C08D">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10000</w:t>
                  </w:r>
                </w:p>
              </w:tc>
              <w:tc>
                <w:tcPr>
                  <w:tcW w:w="749" w:type="dxa"/>
                  <w:noWrap w:val="0"/>
                  <w:vAlign w:val="center"/>
                </w:tcPr>
                <w:p w14:paraId="783BA1C6">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w:t>
                  </w:r>
                </w:p>
              </w:tc>
            </w:tr>
            <w:tr w14:paraId="1E41FC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atLeast"/>
              </w:trPr>
              <w:tc>
                <w:tcPr>
                  <w:tcW w:w="460" w:type="dxa"/>
                  <w:vMerge w:val="continue"/>
                  <w:noWrap w:val="0"/>
                  <w:vAlign w:val="center"/>
                </w:tcPr>
                <w:p w14:paraId="39574F60">
                  <w:pPr>
                    <w:pStyle w:val="31"/>
                    <w:bidi w:val="0"/>
                    <w:jc w:val="center"/>
                    <w:rPr>
                      <w:rFonts w:hint="default" w:ascii="Times New Roman" w:hAnsi="Times New Roman" w:cs="Times New Roman"/>
                      <w:color w:val="000000"/>
                      <w:highlight w:val="none"/>
                      <w:lang w:eastAsia="zh-CN"/>
                    </w:rPr>
                  </w:pPr>
                </w:p>
              </w:tc>
              <w:tc>
                <w:tcPr>
                  <w:tcW w:w="869" w:type="dxa"/>
                  <w:vMerge w:val="continue"/>
                  <w:noWrap w:val="0"/>
                  <w:vAlign w:val="center"/>
                </w:tcPr>
                <w:p w14:paraId="1FFFFCD2">
                  <w:pPr>
                    <w:pStyle w:val="31"/>
                    <w:bidi w:val="0"/>
                    <w:jc w:val="center"/>
                    <w:rPr>
                      <w:rFonts w:hint="default" w:ascii="Times New Roman" w:hAnsi="Times New Roman" w:cs="Times New Roman"/>
                      <w:color w:val="000000"/>
                      <w:highlight w:val="none"/>
                      <w:lang w:eastAsia="zh-CN"/>
                    </w:rPr>
                  </w:pPr>
                </w:p>
              </w:tc>
              <w:tc>
                <w:tcPr>
                  <w:tcW w:w="775" w:type="dxa"/>
                  <w:vMerge w:val="continue"/>
                  <w:noWrap w:val="0"/>
                  <w:vAlign w:val="center"/>
                </w:tcPr>
                <w:p w14:paraId="581E3F64">
                  <w:pPr>
                    <w:pStyle w:val="31"/>
                    <w:bidi w:val="0"/>
                    <w:jc w:val="center"/>
                    <w:rPr>
                      <w:rFonts w:hint="default" w:ascii="Times New Roman" w:hAnsi="Times New Roman" w:cs="Times New Roman"/>
                      <w:color w:val="000000"/>
                      <w:highlight w:val="none"/>
                      <w:lang w:eastAsia="zh-CN"/>
                    </w:rPr>
                  </w:pPr>
                </w:p>
              </w:tc>
              <w:tc>
                <w:tcPr>
                  <w:tcW w:w="1578" w:type="dxa"/>
                  <w:noWrap w:val="0"/>
                  <w:vAlign w:val="center"/>
                </w:tcPr>
                <w:p w14:paraId="55C2ABAF">
                  <w:pPr>
                    <w:pStyle w:val="31"/>
                    <w:bidi w:val="0"/>
                    <w:ind w:firstLine="0" w:firstLineChars="0"/>
                    <w:jc w:val="center"/>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产生量（kg/d）</w:t>
                  </w:r>
                </w:p>
              </w:tc>
              <w:tc>
                <w:tcPr>
                  <w:tcW w:w="847" w:type="dxa"/>
                  <w:noWrap w:val="0"/>
                  <w:vAlign w:val="center"/>
                </w:tcPr>
                <w:p w14:paraId="7B803B1D">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w:t>
                  </w:r>
                </w:p>
              </w:tc>
              <w:tc>
                <w:tcPr>
                  <w:tcW w:w="740" w:type="dxa"/>
                  <w:noWrap w:val="0"/>
                  <w:vAlign w:val="center"/>
                </w:tcPr>
                <w:p w14:paraId="480B0C12">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w:t>
                  </w:r>
                </w:p>
              </w:tc>
              <w:tc>
                <w:tcPr>
                  <w:tcW w:w="740" w:type="dxa"/>
                  <w:noWrap w:val="0"/>
                  <w:vAlign w:val="center"/>
                </w:tcPr>
                <w:p w14:paraId="697CEF03">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w:t>
                  </w:r>
                </w:p>
              </w:tc>
              <w:tc>
                <w:tcPr>
                  <w:tcW w:w="740" w:type="dxa"/>
                  <w:noWrap w:val="0"/>
                  <w:vAlign w:val="center"/>
                </w:tcPr>
                <w:p w14:paraId="34D8208A">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w:t>
                  </w:r>
                </w:p>
              </w:tc>
              <w:tc>
                <w:tcPr>
                  <w:tcW w:w="740" w:type="dxa"/>
                  <w:noWrap w:val="0"/>
                  <w:vAlign w:val="center"/>
                </w:tcPr>
                <w:p w14:paraId="7FAEF9AE">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 xml:space="preserve">71.10 </w:t>
                  </w:r>
                </w:p>
              </w:tc>
              <w:tc>
                <w:tcPr>
                  <w:tcW w:w="749" w:type="dxa"/>
                  <w:noWrap w:val="0"/>
                  <w:vAlign w:val="center"/>
                </w:tcPr>
                <w:p w14:paraId="0DB2551A">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w:t>
                  </w:r>
                </w:p>
              </w:tc>
            </w:tr>
            <w:tr w14:paraId="78E510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atLeast"/>
              </w:trPr>
              <w:tc>
                <w:tcPr>
                  <w:tcW w:w="460" w:type="dxa"/>
                  <w:vMerge w:val="restart"/>
                  <w:noWrap w:val="0"/>
                  <w:vAlign w:val="center"/>
                </w:tcPr>
                <w:p w14:paraId="6B1FE3F7">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扩建后全港区</w:t>
                  </w:r>
                </w:p>
              </w:tc>
              <w:tc>
                <w:tcPr>
                  <w:tcW w:w="869" w:type="dxa"/>
                  <w:vMerge w:val="restart"/>
                  <w:noWrap w:val="0"/>
                  <w:vAlign w:val="center"/>
                </w:tcPr>
                <w:p w14:paraId="3578C9D2">
                  <w:pPr>
                    <w:pStyle w:val="31"/>
                    <w:bidi w:val="0"/>
                    <w:ind w:firstLine="0" w:firstLineChars="0"/>
                    <w:jc w:val="center"/>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港区生活污水</w:t>
                  </w:r>
                </w:p>
              </w:tc>
              <w:tc>
                <w:tcPr>
                  <w:tcW w:w="775" w:type="dxa"/>
                  <w:vMerge w:val="restart"/>
                  <w:noWrap w:val="0"/>
                  <w:vAlign w:val="center"/>
                </w:tcPr>
                <w:p w14:paraId="00EF99C9">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19.44</w:t>
                  </w:r>
                </w:p>
              </w:tc>
              <w:tc>
                <w:tcPr>
                  <w:tcW w:w="1578" w:type="dxa"/>
                  <w:noWrap w:val="0"/>
                  <w:vAlign w:val="center"/>
                </w:tcPr>
                <w:p w14:paraId="2A57417E">
                  <w:pPr>
                    <w:pStyle w:val="31"/>
                    <w:bidi w:val="0"/>
                    <w:ind w:firstLine="0" w:firstLineChars="0"/>
                    <w:jc w:val="center"/>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产生浓度（mg/L）</w:t>
                  </w:r>
                </w:p>
              </w:tc>
              <w:tc>
                <w:tcPr>
                  <w:tcW w:w="847" w:type="dxa"/>
                  <w:noWrap w:val="0"/>
                  <w:vAlign w:val="center"/>
                </w:tcPr>
                <w:p w14:paraId="14480ACB">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400</w:t>
                  </w:r>
                </w:p>
              </w:tc>
              <w:tc>
                <w:tcPr>
                  <w:tcW w:w="740" w:type="dxa"/>
                  <w:noWrap w:val="0"/>
                  <w:vAlign w:val="center"/>
                </w:tcPr>
                <w:p w14:paraId="667F7BD0">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220</w:t>
                  </w:r>
                </w:p>
              </w:tc>
              <w:tc>
                <w:tcPr>
                  <w:tcW w:w="740" w:type="dxa"/>
                  <w:noWrap w:val="0"/>
                  <w:vAlign w:val="center"/>
                </w:tcPr>
                <w:p w14:paraId="257B7852">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200</w:t>
                  </w:r>
                </w:p>
              </w:tc>
              <w:tc>
                <w:tcPr>
                  <w:tcW w:w="740" w:type="dxa"/>
                  <w:noWrap w:val="0"/>
                  <w:vAlign w:val="center"/>
                </w:tcPr>
                <w:p w14:paraId="7329ADAD">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35</w:t>
                  </w:r>
                </w:p>
              </w:tc>
              <w:tc>
                <w:tcPr>
                  <w:tcW w:w="740" w:type="dxa"/>
                  <w:noWrap w:val="0"/>
                  <w:vAlign w:val="center"/>
                </w:tcPr>
                <w:p w14:paraId="3FDAA29A">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w:t>
                  </w:r>
                </w:p>
              </w:tc>
              <w:tc>
                <w:tcPr>
                  <w:tcW w:w="749" w:type="dxa"/>
                  <w:noWrap w:val="0"/>
                  <w:vAlign w:val="center"/>
                </w:tcPr>
                <w:p w14:paraId="0942A5D6">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100</w:t>
                  </w:r>
                </w:p>
              </w:tc>
            </w:tr>
            <w:tr w14:paraId="7532C5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atLeast"/>
              </w:trPr>
              <w:tc>
                <w:tcPr>
                  <w:tcW w:w="460" w:type="dxa"/>
                  <w:vMerge w:val="continue"/>
                  <w:noWrap w:val="0"/>
                  <w:vAlign w:val="center"/>
                </w:tcPr>
                <w:p w14:paraId="5696489A">
                  <w:pPr>
                    <w:pStyle w:val="31"/>
                    <w:bidi w:val="0"/>
                    <w:ind w:firstLine="0" w:firstLineChars="0"/>
                    <w:jc w:val="center"/>
                    <w:rPr>
                      <w:rFonts w:hint="default" w:ascii="Times New Roman" w:hAnsi="Times New Roman" w:cs="Times New Roman"/>
                      <w:color w:val="000000"/>
                      <w:highlight w:val="none"/>
                      <w:lang w:eastAsia="zh-CN"/>
                    </w:rPr>
                  </w:pPr>
                </w:p>
              </w:tc>
              <w:tc>
                <w:tcPr>
                  <w:tcW w:w="869" w:type="dxa"/>
                  <w:vMerge w:val="continue"/>
                  <w:noWrap w:val="0"/>
                  <w:vAlign w:val="center"/>
                </w:tcPr>
                <w:p w14:paraId="386A273C">
                  <w:pPr>
                    <w:pStyle w:val="31"/>
                    <w:bidi w:val="0"/>
                    <w:ind w:firstLine="0" w:firstLineChars="0"/>
                    <w:jc w:val="center"/>
                    <w:rPr>
                      <w:rFonts w:hint="default" w:ascii="Times New Roman" w:hAnsi="Times New Roman" w:cs="Times New Roman"/>
                      <w:color w:val="000000"/>
                      <w:highlight w:val="none"/>
                      <w:lang w:eastAsia="zh-CN"/>
                    </w:rPr>
                  </w:pPr>
                </w:p>
              </w:tc>
              <w:tc>
                <w:tcPr>
                  <w:tcW w:w="775" w:type="dxa"/>
                  <w:vMerge w:val="continue"/>
                  <w:noWrap w:val="0"/>
                  <w:vAlign w:val="center"/>
                </w:tcPr>
                <w:p w14:paraId="72275F6E">
                  <w:pPr>
                    <w:pStyle w:val="31"/>
                    <w:bidi w:val="0"/>
                    <w:rPr>
                      <w:rFonts w:hint="default" w:ascii="Times New Roman" w:hAnsi="Times New Roman" w:cs="Times New Roman"/>
                      <w:color w:val="000000"/>
                      <w:highlight w:val="none"/>
                      <w:lang w:eastAsia="zh-CN"/>
                    </w:rPr>
                  </w:pPr>
                </w:p>
              </w:tc>
              <w:tc>
                <w:tcPr>
                  <w:tcW w:w="1578" w:type="dxa"/>
                  <w:noWrap w:val="0"/>
                  <w:vAlign w:val="center"/>
                </w:tcPr>
                <w:p w14:paraId="5A01AD63">
                  <w:pPr>
                    <w:pStyle w:val="31"/>
                    <w:bidi w:val="0"/>
                    <w:ind w:firstLine="0" w:firstLineChars="0"/>
                    <w:jc w:val="center"/>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产生量（kg/d）</w:t>
                  </w:r>
                </w:p>
              </w:tc>
              <w:tc>
                <w:tcPr>
                  <w:tcW w:w="847" w:type="dxa"/>
                  <w:noWrap w:val="0"/>
                  <w:vAlign w:val="center"/>
                </w:tcPr>
                <w:p w14:paraId="37AEE724">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 xml:space="preserve">7.78 </w:t>
                  </w:r>
                </w:p>
              </w:tc>
              <w:tc>
                <w:tcPr>
                  <w:tcW w:w="740" w:type="dxa"/>
                  <w:noWrap w:val="0"/>
                  <w:vAlign w:val="center"/>
                </w:tcPr>
                <w:p w14:paraId="338EC420">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 xml:space="preserve">4.28 </w:t>
                  </w:r>
                </w:p>
              </w:tc>
              <w:tc>
                <w:tcPr>
                  <w:tcW w:w="740" w:type="dxa"/>
                  <w:noWrap w:val="0"/>
                  <w:vAlign w:val="center"/>
                </w:tcPr>
                <w:p w14:paraId="7D6A0EC7">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 xml:space="preserve">3.89 </w:t>
                  </w:r>
                </w:p>
              </w:tc>
              <w:tc>
                <w:tcPr>
                  <w:tcW w:w="740" w:type="dxa"/>
                  <w:noWrap w:val="0"/>
                  <w:vAlign w:val="center"/>
                </w:tcPr>
                <w:p w14:paraId="4F339B57">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 xml:space="preserve">0.68 </w:t>
                  </w:r>
                </w:p>
              </w:tc>
              <w:tc>
                <w:tcPr>
                  <w:tcW w:w="740" w:type="dxa"/>
                  <w:noWrap w:val="0"/>
                  <w:vAlign w:val="center"/>
                </w:tcPr>
                <w:p w14:paraId="23E64573">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w:t>
                  </w:r>
                </w:p>
              </w:tc>
              <w:tc>
                <w:tcPr>
                  <w:tcW w:w="749" w:type="dxa"/>
                  <w:noWrap w:val="0"/>
                  <w:vAlign w:val="center"/>
                </w:tcPr>
                <w:p w14:paraId="6901918F">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 xml:space="preserve">1.94 </w:t>
                  </w:r>
                </w:p>
              </w:tc>
            </w:tr>
            <w:tr w14:paraId="6EE37E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atLeast"/>
              </w:trPr>
              <w:tc>
                <w:tcPr>
                  <w:tcW w:w="460" w:type="dxa"/>
                  <w:vMerge w:val="continue"/>
                  <w:noWrap w:val="0"/>
                  <w:vAlign w:val="center"/>
                </w:tcPr>
                <w:p w14:paraId="31E3B000">
                  <w:pPr>
                    <w:pStyle w:val="31"/>
                    <w:bidi w:val="0"/>
                    <w:ind w:firstLine="0" w:firstLineChars="0"/>
                    <w:jc w:val="center"/>
                    <w:rPr>
                      <w:rFonts w:hint="default" w:ascii="Times New Roman" w:hAnsi="Times New Roman" w:cs="Times New Roman"/>
                      <w:color w:val="000000"/>
                      <w:highlight w:val="none"/>
                      <w:lang w:eastAsia="zh-CN"/>
                    </w:rPr>
                  </w:pPr>
                </w:p>
              </w:tc>
              <w:tc>
                <w:tcPr>
                  <w:tcW w:w="869" w:type="dxa"/>
                  <w:vMerge w:val="restart"/>
                  <w:noWrap w:val="0"/>
                  <w:vAlign w:val="center"/>
                </w:tcPr>
                <w:p w14:paraId="2A231D81">
                  <w:pPr>
                    <w:pStyle w:val="31"/>
                    <w:bidi w:val="0"/>
                    <w:ind w:firstLine="0" w:firstLineChars="0"/>
                    <w:jc w:val="center"/>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港区冲洗废水</w:t>
                  </w:r>
                </w:p>
              </w:tc>
              <w:tc>
                <w:tcPr>
                  <w:tcW w:w="775" w:type="dxa"/>
                  <w:vMerge w:val="restart"/>
                  <w:noWrap w:val="0"/>
                  <w:vAlign w:val="center"/>
                </w:tcPr>
                <w:p w14:paraId="3BEC389F">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 xml:space="preserve">32.22 </w:t>
                  </w:r>
                </w:p>
              </w:tc>
              <w:tc>
                <w:tcPr>
                  <w:tcW w:w="1578" w:type="dxa"/>
                  <w:noWrap w:val="0"/>
                  <w:vAlign w:val="center"/>
                </w:tcPr>
                <w:p w14:paraId="79E4921E">
                  <w:pPr>
                    <w:pStyle w:val="31"/>
                    <w:bidi w:val="0"/>
                    <w:ind w:firstLine="0" w:firstLineChars="0"/>
                    <w:jc w:val="center"/>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产生浓度（mg/L）</w:t>
                  </w:r>
                </w:p>
              </w:tc>
              <w:tc>
                <w:tcPr>
                  <w:tcW w:w="847" w:type="dxa"/>
                  <w:noWrap w:val="0"/>
                  <w:vAlign w:val="center"/>
                </w:tcPr>
                <w:p w14:paraId="5F203FA1">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500</w:t>
                  </w:r>
                </w:p>
              </w:tc>
              <w:tc>
                <w:tcPr>
                  <w:tcW w:w="740" w:type="dxa"/>
                  <w:noWrap w:val="0"/>
                  <w:vAlign w:val="center"/>
                </w:tcPr>
                <w:p w14:paraId="5FB5D633">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300</w:t>
                  </w:r>
                </w:p>
              </w:tc>
              <w:tc>
                <w:tcPr>
                  <w:tcW w:w="740" w:type="dxa"/>
                  <w:noWrap w:val="0"/>
                  <w:vAlign w:val="center"/>
                </w:tcPr>
                <w:p w14:paraId="3231972B">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400</w:t>
                  </w:r>
                </w:p>
              </w:tc>
              <w:tc>
                <w:tcPr>
                  <w:tcW w:w="740" w:type="dxa"/>
                  <w:noWrap w:val="0"/>
                  <w:vAlign w:val="center"/>
                </w:tcPr>
                <w:p w14:paraId="3A6B1C9F">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40</w:t>
                  </w:r>
                </w:p>
              </w:tc>
              <w:tc>
                <w:tcPr>
                  <w:tcW w:w="740" w:type="dxa"/>
                  <w:noWrap w:val="0"/>
                  <w:vAlign w:val="center"/>
                </w:tcPr>
                <w:p w14:paraId="1E0F557A">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w:t>
                  </w:r>
                </w:p>
              </w:tc>
              <w:tc>
                <w:tcPr>
                  <w:tcW w:w="749" w:type="dxa"/>
                  <w:noWrap w:val="0"/>
                  <w:vAlign w:val="center"/>
                </w:tcPr>
                <w:p w14:paraId="3DCBA26E">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w:t>
                  </w:r>
                </w:p>
              </w:tc>
            </w:tr>
            <w:tr w14:paraId="561CB1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atLeast"/>
              </w:trPr>
              <w:tc>
                <w:tcPr>
                  <w:tcW w:w="460" w:type="dxa"/>
                  <w:vMerge w:val="continue"/>
                  <w:noWrap w:val="0"/>
                  <w:vAlign w:val="center"/>
                </w:tcPr>
                <w:p w14:paraId="221E56C4">
                  <w:pPr>
                    <w:pStyle w:val="31"/>
                    <w:bidi w:val="0"/>
                    <w:ind w:firstLine="0" w:firstLineChars="0"/>
                    <w:jc w:val="center"/>
                    <w:rPr>
                      <w:rFonts w:hint="default" w:ascii="Times New Roman" w:hAnsi="Times New Roman" w:cs="Times New Roman"/>
                      <w:color w:val="000000"/>
                      <w:highlight w:val="none"/>
                      <w:lang w:eastAsia="zh-CN"/>
                    </w:rPr>
                  </w:pPr>
                </w:p>
              </w:tc>
              <w:tc>
                <w:tcPr>
                  <w:tcW w:w="869" w:type="dxa"/>
                  <w:vMerge w:val="continue"/>
                  <w:noWrap w:val="0"/>
                  <w:vAlign w:val="center"/>
                </w:tcPr>
                <w:p w14:paraId="5F0A50DF">
                  <w:pPr>
                    <w:pStyle w:val="31"/>
                    <w:bidi w:val="0"/>
                    <w:ind w:firstLine="0" w:firstLineChars="0"/>
                    <w:jc w:val="center"/>
                    <w:rPr>
                      <w:rFonts w:hint="default" w:ascii="Times New Roman" w:hAnsi="Times New Roman" w:cs="Times New Roman"/>
                      <w:color w:val="000000"/>
                      <w:highlight w:val="none"/>
                      <w:lang w:eastAsia="zh-CN"/>
                    </w:rPr>
                  </w:pPr>
                </w:p>
              </w:tc>
              <w:tc>
                <w:tcPr>
                  <w:tcW w:w="775" w:type="dxa"/>
                  <w:vMerge w:val="continue"/>
                  <w:noWrap w:val="0"/>
                  <w:vAlign w:val="center"/>
                </w:tcPr>
                <w:p w14:paraId="35E8D48A">
                  <w:pPr>
                    <w:pStyle w:val="31"/>
                    <w:bidi w:val="0"/>
                    <w:ind w:firstLine="0" w:firstLineChars="0"/>
                    <w:jc w:val="center"/>
                    <w:rPr>
                      <w:rFonts w:hint="default" w:ascii="Times New Roman" w:hAnsi="Times New Roman" w:cs="Times New Roman"/>
                      <w:color w:val="000000"/>
                      <w:highlight w:val="none"/>
                      <w:lang w:eastAsia="zh-CN"/>
                    </w:rPr>
                  </w:pPr>
                </w:p>
              </w:tc>
              <w:tc>
                <w:tcPr>
                  <w:tcW w:w="1578" w:type="dxa"/>
                  <w:noWrap w:val="0"/>
                  <w:vAlign w:val="center"/>
                </w:tcPr>
                <w:p w14:paraId="58F85F22">
                  <w:pPr>
                    <w:pStyle w:val="31"/>
                    <w:bidi w:val="0"/>
                    <w:ind w:firstLine="0" w:firstLineChars="0"/>
                    <w:jc w:val="center"/>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产生量（kg/d）</w:t>
                  </w:r>
                </w:p>
              </w:tc>
              <w:tc>
                <w:tcPr>
                  <w:tcW w:w="847" w:type="dxa"/>
                  <w:noWrap w:val="0"/>
                  <w:vAlign w:val="center"/>
                </w:tcPr>
                <w:p w14:paraId="4BCE5FD4">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 xml:space="preserve">16.11 </w:t>
                  </w:r>
                </w:p>
              </w:tc>
              <w:tc>
                <w:tcPr>
                  <w:tcW w:w="740" w:type="dxa"/>
                  <w:noWrap w:val="0"/>
                  <w:vAlign w:val="center"/>
                </w:tcPr>
                <w:p w14:paraId="2E4923E6">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 xml:space="preserve">9.67 </w:t>
                  </w:r>
                </w:p>
              </w:tc>
              <w:tc>
                <w:tcPr>
                  <w:tcW w:w="740" w:type="dxa"/>
                  <w:noWrap w:val="0"/>
                  <w:vAlign w:val="center"/>
                </w:tcPr>
                <w:p w14:paraId="7A7ED9B6">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 xml:space="preserve">12.89 </w:t>
                  </w:r>
                </w:p>
              </w:tc>
              <w:tc>
                <w:tcPr>
                  <w:tcW w:w="740" w:type="dxa"/>
                  <w:noWrap w:val="0"/>
                  <w:vAlign w:val="center"/>
                </w:tcPr>
                <w:p w14:paraId="40CCCE31">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 xml:space="preserve">1.29 </w:t>
                  </w:r>
                </w:p>
              </w:tc>
              <w:tc>
                <w:tcPr>
                  <w:tcW w:w="740" w:type="dxa"/>
                  <w:noWrap w:val="0"/>
                  <w:vAlign w:val="center"/>
                </w:tcPr>
                <w:p w14:paraId="76E59578">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w:t>
                  </w:r>
                </w:p>
              </w:tc>
              <w:tc>
                <w:tcPr>
                  <w:tcW w:w="749" w:type="dxa"/>
                  <w:noWrap w:val="0"/>
                  <w:vAlign w:val="center"/>
                </w:tcPr>
                <w:p w14:paraId="3D7CF879">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w:t>
                  </w:r>
                </w:p>
              </w:tc>
            </w:tr>
            <w:tr w14:paraId="553399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atLeast"/>
              </w:trPr>
              <w:tc>
                <w:tcPr>
                  <w:tcW w:w="460" w:type="dxa"/>
                  <w:vMerge w:val="continue"/>
                  <w:noWrap w:val="0"/>
                  <w:vAlign w:val="center"/>
                </w:tcPr>
                <w:p w14:paraId="3F19EF28">
                  <w:pPr>
                    <w:pStyle w:val="31"/>
                    <w:bidi w:val="0"/>
                    <w:ind w:firstLine="0" w:firstLineChars="0"/>
                    <w:jc w:val="center"/>
                    <w:rPr>
                      <w:rFonts w:hint="default" w:ascii="Times New Roman" w:hAnsi="Times New Roman" w:cs="Times New Roman"/>
                      <w:color w:val="000000"/>
                      <w:highlight w:val="none"/>
                      <w:lang w:eastAsia="zh-CN"/>
                    </w:rPr>
                  </w:pPr>
                </w:p>
              </w:tc>
              <w:tc>
                <w:tcPr>
                  <w:tcW w:w="869" w:type="dxa"/>
                  <w:vMerge w:val="restart"/>
                  <w:noWrap w:val="0"/>
                  <w:vAlign w:val="center"/>
                </w:tcPr>
                <w:p w14:paraId="3D86DB8E">
                  <w:pPr>
                    <w:pStyle w:val="31"/>
                    <w:bidi w:val="0"/>
                    <w:ind w:firstLine="0" w:firstLineChars="0"/>
                    <w:jc w:val="center"/>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船舶生活污水</w:t>
                  </w:r>
                </w:p>
              </w:tc>
              <w:tc>
                <w:tcPr>
                  <w:tcW w:w="775" w:type="dxa"/>
                  <w:vMerge w:val="restart"/>
                  <w:noWrap w:val="0"/>
                  <w:vAlign w:val="center"/>
                </w:tcPr>
                <w:p w14:paraId="1D68ACE5">
                  <w:pPr>
                    <w:pStyle w:val="31"/>
                    <w:bidi w:val="0"/>
                    <w:ind w:firstLine="0" w:firstLineChars="0"/>
                    <w:jc w:val="center"/>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58.8</w:t>
                  </w:r>
                </w:p>
              </w:tc>
              <w:tc>
                <w:tcPr>
                  <w:tcW w:w="1578" w:type="dxa"/>
                  <w:noWrap w:val="0"/>
                  <w:vAlign w:val="center"/>
                </w:tcPr>
                <w:p w14:paraId="31D2551C">
                  <w:pPr>
                    <w:pStyle w:val="31"/>
                    <w:bidi w:val="0"/>
                    <w:ind w:firstLine="0" w:firstLineChars="0"/>
                    <w:jc w:val="center"/>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产生浓度（mg/L）</w:t>
                  </w:r>
                </w:p>
              </w:tc>
              <w:tc>
                <w:tcPr>
                  <w:tcW w:w="847" w:type="dxa"/>
                  <w:noWrap w:val="0"/>
                  <w:vAlign w:val="center"/>
                </w:tcPr>
                <w:p w14:paraId="4DDB5B7F">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400</w:t>
                  </w:r>
                </w:p>
              </w:tc>
              <w:tc>
                <w:tcPr>
                  <w:tcW w:w="740" w:type="dxa"/>
                  <w:noWrap w:val="0"/>
                  <w:vAlign w:val="center"/>
                </w:tcPr>
                <w:p w14:paraId="14AF4F05">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150</w:t>
                  </w:r>
                </w:p>
              </w:tc>
              <w:tc>
                <w:tcPr>
                  <w:tcW w:w="740" w:type="dxa"/>
                  <w:noWrap w:val="0"/>
                  <w:vAlign w:val="center"/>
                </w:tcPr>
                <w:p w14:paraId="33E47D8E">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350</w:t>
                  </w:r>
                </w:p>
              </w:tc>
              <w:tc>
                <w:tcPr>
                  <w:tcW w:w="740" w:type="dxa"/>
                  <w:noWrap w:val="0"/>
                  <w:vAlign w:val="center"/>
                </w:tcPr>
                <w:p w14:paraId="006AFD22">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35</w:t>
                  </w:r>
                </w:p>
              </w:tc>
              <w:tc>
                <w:tcPr>
                  <w:tcW w:w="740" w:type="dxa"/>
                  <w:noWrap w:val="0"/>
                  <w:vAlign w:val="center"/>
                </w:tcPr>
                <w:p w14:paraId="0DDFCC57">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w:t>
                  </w:r>
                </w:p>
              </w:tc>
              <w:tc>
                <w:tcPr>
                  <w:tcW w:w="749" w:type="dxa"/>
                  <w:noWrap w:val="0"/>
                  <w:vAlign w:val="center"/>
                </w:tcPr>
                <w:p w14:paraId="45FEA8B0">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w:t>
                  </w:r>
                </w:p>
              </w:tc>
            </w:tr>
            <w:tr w14:paraId="5D5A1E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atLeast"/>
              </w:trPr>
              <w:tc>
                <w:tcPr>
                  <w:tcW w:w="460" w:type="dxa"/>
                  <w:vMerge w:val="continue"/>
                  <w:noWrap w:val="0"/>
                  <w:vAlign w:val="center"/>
                </w:tcPr>
                <w:p w14:paraId="721860EA">
                  <w:pPr>
                    <w:pStyle w:val="31"/>
                    <w:bidi w:val="0"/>
                    <w:ind w:firstLine="0" w:firstLineChars="0"/>
                    <w:jc w:val="center"/>
                    <w:rPr>
                      <w:rFonts w:hint="default" w:ascii="Times New Roman" w:hAnsi="Times New Roman" w:cs="Times New Roman"/>
                      <w:color w:val="000000"/>
                      <w:highlight w:val="none"/>
                      <w:lang w:eastAsia="zh-CN"/>
                    </w:rPr>
                  </w:pPr>
                </w:p>
              </w:tc>
              <w:tc>
                <w:tcPr>
                  <w:tcW w:w="869" w:type="dxa"/>
                  <w:vMerge w:val="continue"/>
                  <w:noWrap w:val="0"/>
                  <w:vAlign w:val="center"/>
                </w:tcPr>
                <w:p w14:paraId="1ABF6184">
                  <w:pPr>
                    <w:pStyle w:val="31"/>
                    <w:bidi w:val="0"/>
                    <w:ind w:firstLine="0" w:firstLineChars="0"/>
                    <w:jc w:val="center"/>
                    <w:rPr>
                      <w:rFonts w:hint="default" w:ascii="Times New Roman" w:hAnsi="Times New Roman" w:cs="Times New Roman"/>
                      <w:color w:val="000000"/>
                      <w:highlight w:val="none"/>
                      <w:lang w:eastAsia="zh-CN"/>
                    </w:rPr>
                  </w:pPr>
                </w:p>
              </w:tc>
              <w:tc>
                <w:tcPr>
                  <w:tcW w:w="775" w:type="dxa"/>
                  <w:vMerge w:val="continue"/>
                  <w:noWrap w:val="0"/>
                  <w:vAlign w:val="center"/>
                </w:tcPr>
                <w:p w14:paraId="56C71F86">
                  <w:pPr>
                    <w:pStyle w:val="31"/>
                    <w:bidi w:val="0"/>
                    <w:ind w:firstLine="0" w:firstLineChars="0"/>
                    <w:jc w:val="center"/>
                    <w:rPr>
                      <w:rFonts w:hint="default" w:ascii="Times New Roman" w:hAnsi="Times New Roman" w:cs="Times New Roman"/>
                      <w:color w:val="000000"/>
                      <w:highlight w:val="none"/>
                      <w:lang w:eastAsia="zh-CN"/>
                    </w:rPr>
                  </w:pPr>
                </w:p>
              </w:tc>
              <w:tc>
                <w:tcPr>
                  <w:tcW w:w="1578" w:type="dxa"/>
                  <w:noWrap w:val="0"/>
                  <w:vAlign w:val="center"/>
                </w:tcPr>
                <w:p w14:paraId="102C1C17">
                  <w:pPr>
                    <w:pStyle w:val="31"/>
                    <w:bidi w:val="0"/>
                    <w:ind w:firstLine="0" w:firstLineChars="0"/>
                    <w:jc w:val="center"/>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产生量（kg/d）</w:t>
                  </w:r>
                </w:p>
              </w:tc>
              <w:tc>
                <w:tcPr>
                  <w:tcW w:w="847" w:type="dxa"/>
                  <w:noWrap w:val="0"/>
                  <w:vAlign w:val="center"/>
                </w:tcPr>
                <w:p w14:paraId="3CD03009">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 xml:space="preserve">23.52 </w:t>
                  </w:r>
                </w:p>
              </w:tc>
              <w:tc>
                <w:tcPr>
                  <w:tcW w:w="740" w:type="dxa"/>
                  <w:noWrap w:val="0"/>
                  <w:vAlign w:val="center"/>
                </w:tcPr>
                <w:p w14:paraId="0E692551">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 xml:space="preserve">8.82 </w:t>
                  </w:r>
                </w:p>
              </w:tc>
              <w:tc>
                <w:tcPr>
                  <w:tcW w:w="740" w:type="dxa"/>
                  <w:noWrap w:val="0"/>
                  <w:vAlign w:val="center"/>
                </w:tcPr>
                <w:p w14:paraId="31B4F624">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 xml:space="preserve">20.58 </w:t>
                  </w:r>
                </w:p>
              </w:tc>
              <w:tc>
                <w:tcPr>
                  <w:tcW w:w="740" w:type="dxa"/>
                  <w:noWrap w:val="0"/>
                  <w:vAlign w:val="center"/>
                </w:tcPr>
                <w:p w14:paraId="2DAE5B3D">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 xml:space="preserve">2.06 </w:t>
                  </w:r>
                </w:p>
              </w:tc>
              <w:tc>
                <w:tcPr>
                  <w:tcW w:w="740" w:type="dxa"/>
                  <w:noWrap w:val="0"/>
                  <w:vAlign w:val="center"/>
                </w:tcPr>
                <w:p w14:paraId="335BABB7">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w:t>
                  </w:r>
                </w:p>
              </w:tc>
              <w:tc>
                <w:tcPr>
                  <w:tcW w:w="749" w:type="dxa"/>
                  <w:noWrap w:val="0"/>
                  <w:vAlign w:val="center"/>
                </w:tcPr>
                <w:p w14:paraId="2F9C3EF2">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w:t>
                  </w:r>
                </w:p>
              </w:tc>
            </w:tr>
            <w:tr w14:paraId="578553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atLeast"/>
              </w:trPr>
              <w:tc>
                <w:tcPr>
                  <w:tcW w:w="460" w:type="dxa"/>
                  <w:vMerge w:val="continue"/>
                  <w:noWrap w:val="0"/>
                  <w:vAlign w:val="center"/>
                </w:tcPr>
                <w:p w14:paraId="30DDADD0">
                  <w:pPr>
                    <w:pStyle w:val="31"/>
                    <w:bidi w:val="0"/>
                    <w:ind w:firstLine="0" w:firstLineChars="0"/>
                    <w:jc w:val="center"/>
                    <w:rPr>
                      <w:rFonts w:hint="default" w:ascii="Times New Roman" w:hAnsi="Times New Roman" w:cs="Times New Roman"/>
                      <w:color w:val="000000"/>
                      <w:highlight w:val="none"/>
                      <w:lang w:eastAsia="zh-CN"/>
                    </w:rPr>
                  </w:pPr>
                </w:p>
              </w:tc>
              <w:tc>
                <w:tcPr>
                  <w:tcW w:w="869" w:type="dxa"/>
                  <w:vMerge w:val="restart"/>
                  <w:noWrap w:val="0"/>
                  <w:vAlign w:val="center"/>
                </w:tcPr>
                <w:p w14:paraId="0DCC9326">
                  <w:pPr>
                    <w:pStyle w:val="31"/>
                    <w:bidi w:val="0"/>
                    <w:ind w:firstLine="0" w:firstLineChars="0"/>
                    <w:jc w:val="center"/>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船舶含油污水</w:t>
                  </w:r>
                </w:p>
              </w:tc>
              <w:tc>
                <w:tcPr>
                  <w:tcW w:w="775" w:type="dxa"/>
                  <w:vMerge w:val="restart"/>
                  <w:noWrap w:val="0"/>
                  <w:vAlign w:val="center"/>
                </w:tcPr>
                <w:p w14:paraId="5ACC5986">
                  <w:pPr>
                    <w:pStyle w:val="31"/>
                    <w:bidi w:val="0"/>
                    <w:ind w:firstLine="0" w:firstLineChars="0"/>
                    <w:jc w:val="center"/>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16.15</w:t>
                  </w:r>
                </w:p>
              </w:tc>
              <w:tc>
                <w:tcPr>
                  <w:tcW w:w="1578" w:type="dxa"/>
                  <w:noWrap w:val="0"/>
                  <w:vAlign w:val="center"/>
                </w:tcPr>
                <w:p w14:paraId="1A11DF20">
                  <w:pPr>
                    <w:pStyle w:val="31"/>
                    <w:bidi w:val="0"/>
                    <w:ind w:firstLine="0" w:firstLineChars="0"/>
                    <w:jc w:val="center"/>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产生浓度（mg/L）</w:t>
                  </w:r>
                </w:p>
              </w:tc>
              <w:tc>
                <w:tcPr>
                  <w:tcW w:w="847" w:type="dxa"/>
                  <w:noWrap w:val="0"/>
                  <w:vAlign w:val="center"/>
                </w:tcPr>
                <w:p w14:paraId="6BA3C2BC">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w:t>
                  </w:r>
                </w:p>
              </w:tc>
              <w:tc>
                <w:tcPr>
                  <w:tcW w:w="740" w:type="dxa"/>
                  <w:noWrap w:val="0"/>
                  <w:vAlign w:val="center"/>
                </w:tcPr>
                <w:p w14:paraId="5C9E6545">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w:t>
                  </w:r>
                </w:p>
              </w:tc>
              <w:tc>
                <w:tcPr>
                  <w:tcW w:w="740" w:type="dxa"/>
                  <w:noWrap w:val="0"/>
                  <w:vAlign w:val="center"/>
                </w:tcPr>
                <w:p w14:paraId="7CA4CE50">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w:t>
                  </w:r>
                </w:p>
              </w:tc>
              <w:tc>
                <w:tcPr>
                  <w:tcW w:w="740" w:type="dxa"/>
                  <w:noWrap w:val="0"/>
                  <w:vAlign w:val="center"/>
                </w:tcPr>
                <w:p w14:paraId="7854FB24">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w:t>
                  </w:r>
                </w:p>
              </w:tc>
              <w:tc>
                <w:tcPr>
                  <w:tcW w:w="740" w:type="dxa"/>
                  <w:noWrap w:val="0"/>
                  <w:vAlign w:val="center"/>
                </w:tcPr>
                <w:p w14:paraId="3E583C03">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10000</w:t>
                  </w:r>
                </w:p>
              </w:tc>
              <w:tc>
                <w:tcPr>
                  <w:tcW w:w="749" w:type="dxa"/>
                  <w:noWrap w:val="0"/>
                  <w:vAlign w:val="center"/>
                </w:tcPr>
                <w:p w14:paraId="6F4790CC">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w:t>
                  </w:r>
                </w:p>
              </w:tc>
            </w:tr>
            <w:tr w14:paraId="1F9284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8" w:hRule="atLeast"/>
              </w:trPr>
              <w:tc>
                <w:tcPr>
                  <w:tcW w:w="460" w:type="dxa"/>
                  <w:vMerge w:val="continue"/>
                  <w:noWrap w:val="0"/>
                  <w:vAlign w:val="center"/>
                </w:tcPr>
                <w:p w14:paraId="5FD05A22">
                  <w:pPr>
                    <w:pStyle w:val="31"/>
                    <w:bidi w:val="0"/>
                    <w:ind w:firstLine="0" w:firstLineChars="0"/>
                    <w:jc w:val="center"/>
                    <w:rPr>
                      <w:rFonts w:hint="default" w:ascii="Times New Roman" w:hAnsi="Times New Roman" w:cs="Times New Roman"/>
                      <w:color w:val="000000"/>
                      <w:highlight w:val="none"/>
                      <w:lang w:eastAsia="zh-CN"/>
                    </w:rPr>
                  </w:pPr>
                </w:p>
              </w:tc>
              <w:tc>
                <w:tcPr>
                  <w:tcW w:w="869" w:type="dxa"/>
                  <w:vMerge w:val="continue"/>
                  <w:noWrap w:val="0"/>
                  <w:vAlign w:val="center"/>
                </w:tcPr>
                <w:p w14:paraId="44FA2E0B">
                  <w:pPr>
                    <w:pStyle w:val="31"/>
                    <w:bidi w:val="0"/>
                    <w:ind w:firstLine="0" w:firstLineChars="0"/>
                    <w:jc w:val="center"/>
                    <w:rPr>
                      <w:rFonts w:hint="default" w:ascii="Times New Roman" w:hAnsi="Times New Roman" w:cs="Times New Roman"/>
                      <w:color w:val="000000"/>
                      <w:highlight w:val="none"/>
                      <w:lang w:eastAsia="zh-CN"/>
                    </w:rPr>
                  </w:pPr>
                </w:p>
              </w:tc>
              <w:tc>
                <w:tcPr>
                  <w:tcW w:w="775" w:type="dxa"/>
                  <w:vMerge w:val="continue"/>
                  <w:noWrap w:val="0"/>
                  <w:vAlign w:val="center"/>
                </w:tcPr>
                <w:p w14:paraId="538883DA">
                  <w:pPr>
                    <w:pStyle w:val="31"/>
                    <w:bidi w:val="0"/>
                    <w:ind w:firstLine="0" w:firstLineChars="0"/>
                    <w:jc w:val="center"/>
                    <w:rPr>
                      <w:rFonts w:hint="default" w:ascii="Times New Roman" w:hAnsi="Times New Roman" w:cs="Times New Roman"/>
                      <w:color w:val="000000"/>
                      <w:highlight w:val="none"/>
                      <w:lang w:eastAsia="zh-CN"/>
                    </w:rPr>
                  </w:pPr>
                </w:p>
              </w:tc>
              <w:tc>
                <w:tcPr>
                  <w:tcW w:w="1578" w:type="dxa"/>
                  <w:noWrap w:val="0"/>
                  <w:vAlign w:val="center"/>
                </w:tcPr>
                <w:p w14:paraId="03F42B96">
                  <w:pPr>
                    <w:pStyle w:val="31"/>
                    <w:bidi w:val="0"/>
                    <w:ind w:firstLine="0" w:firstLineChars="0"/>
                    <w:jc w:val="center"/>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产生量（kg/d）</w:t>
                  </w:r>
                </w:p>
              </w:tc>
              <w:tc>
                <w:tcPr>
                  <w:tcW w:w="847" w:type="dxa"/>
                  <w:noWrap w:val="0"/>
                  <w:vAlign w:val="center"/>
                </w:tcPr>
                <w:p w14:paraId="1E88A153">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w:t>
                  </w:r>
                </w:p>
              </w:tc>
              <w:tc>
                <w:tcPr>
                  <w:tcW w:w="740" w:type="dxa"/>
                  <w:noWrap w:val="0"/>
                  <w:vAlign w:val="center"/>
                </w:tcPr>
                <w:p w14:paraId="4708B969">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w:t>
                  </w:r>
                </w:p>
              </w:tc>
              <w:tc>
                <w:tcPr>
                  <w:tcW w:w="740" w:type="dxa"/>
                  <w:noWrap w:val="0"/>
                  <w:vAlign w:val="center"/>
                </w:tcPr>
                <w:p w14:paraId="0486E170">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w:t>
                  </w:r>
                </w:p>
              </w:tc>
              <w:tc>
                <w:tcPr>
                  <w:tcW w:w="740" w:type="dxa"/>
                  <w:noWrap w:val="0"/>
                  <w:vAlign w:val="center"/>
                </w:tcPr>
                <w:p w14:paraId="7D0A5518">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w:t>
                  </w:r>
                </w:p>
              </w:tc>
              <w:tc>
                <w:tcPr>
                  <w:tcW w:w="740" w:type="dxa"/>
                  <w:noWrap w:val="0"/>
                  <w:vAlign w:val="center"/>
                </w:tcPr>
                <w:p w14:paraId="0F8CD13A">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 xml:space="preserve">161.50 </w:t>
                  </w:r>
                </w:p>
              </w:tc>
              <w:tc>
                <w:tcPr>
                  <w:tcW w:w="749" w:type="dxa"/>
                  <w:noWrap w:val="0"/>
                  <w:vAlign w:val="center"/>
                </w:tcPr>
                <w:p w14:paraId="6F12DAC4">
                  <w:pPr>
                    <w:pStyle w:val="31"/>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w:t>
                  </w:r>
                </w:p>
              </w:tc>
            </w:tr>
          </w:tbl>
          <w:p w14:paraId="5CCA0946">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lang w:eastAsia="zh-CN"/>
              </w:rPr>
            </w:pPr>
          </w:p>
          <w:p w14:paraId="1046D453">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lang w:eastAsia="zh-CN"/>
              </w:rPr>
            </w:pPr>
          </w:p>
          <w:p w14:paraId="4A0292F1">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lang w:eastAsia="zh-CN"/>
              </w:rPr>
            </w:pPr>
          </w:p>
          <w:p w14:paraId="50054227">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lang w:eastAsia="zh-CN"/>
              </w:rPr>
            </w:pPr>
          </w:p>
          <w:p w14:paraId="132AA8B1">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lang w:eastAsia="zh-CN"/>
              </w:rPr>
            </w:pPr>
          </w:p>
          <w:p w14:paraId="786B58BA">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lang w:eastAsia="zh-CN"/>
              </w:rPr>
            </w:pPr>
          </w:p>
          <w:p w14:paraId="7ADB1CBE">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lang w:eastAsia="zh-CN"/>
              </w:rPr>
            </w:pPr>
          </w:p>
          <w:p w14:paraId="0F1B19AB">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lang w:eastAsia="zh-CN"/>
              </w:rPr>
            </w:pPr>
          </w:p>
          <w:p w14:paraId="0ECE31F1">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lang w:eastAsia="zh-CN"/>
              </w:rPr>
            </w:pPr>
          </w:p>
          <w:p w14:paraId="670547E3">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lang w:eastAsia="zh-CN"/>
              </w:rPr>
            </w:pPr>
          </w:p>
          <w:p w14:paraId="02B76EDC">
            <w:pPr>
              <w:pStyle w:val="31"/>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rPr>
              <w:drawing>
                <wp:inline distT="0" distB="0" distL="114300" distR="114300">
                  <wp:extent cx="5219700" cy="4462145"/>
                  <wp:effectExtent l="0" t="0" r="0" b="14605"/>
                  <wp:docPr id="333" name="图片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1081"/>
                          <pic:cNvPicPr>
                            <a:picLocks noChangeAspect="1"/>
                          </pic:cNvPicPr>
                        </pic:nvPicPr>
                        <pic:blipFill>
                          <a:blip r:embed="rId137"/>
                          <a:stretch>
                            <a:fillRect/>
                          </a:stretch>
                        </pic:blipFill>
                        <pic:spPr>
                          <a:xfrm>
                            <a:off x="0" y="0"/>
                            <a:ext cx="5219700" cy="4462145"/>
                          </a:xfrm>
                          <a:prstGeom prst="rect">
                            <a:avLst/>
                          </a:prstGeom>
                          <a:noFill/>
                          <a:ln>
                            <a:noFill/>
                          </a:ln>
                        </pic:spPr>
                      </pic:pic>
                    </a:graphicData>
                  </a:graphic>
                </wp:inline>
              </w:drawing>
            </w:r>
          </w:p>
          <w:p w14:paraId="7390CBBE">
            <w:pPr>
              <w:pStyle w:val="30"/>
              <w:bidi w:val="0"/>
              <w:rPr>
                <w:rFonts w:hint="default" w:ascii="Times New Roman" w:hAnsi="Times New Roman" w:cs="Times New Roman"/>
                <w:color w:val="000000"/>
                <w:highlight w:val="none"/>
                <w:lang w:val="en-US" w:eastAsia="zh-CN"/>
              </w:rPr>
            </w:pPr>
            <w:bookmarkStart w:id="383" w:name="_Ref31014"/>
            <w:r>
              <w:rPr>
                <w:rFonts w:hint="default" w:ascii="Times New Roman" w:hAnsi="Times New Roman" w:cs="Times New Roman"/>
                <w:color w:val="000000"/>
                <w:highlight w:val="none"/>
              </w:rPr>
              <w:t>图</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4.5</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图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1</w:t>
            </w:r>
            <w:r>
              <w:rPr>
                <w:rFonts w:hint="default" w:ascii="Times New Roman" w:hAnsi="Times New Roman" w:cs="Times New Roman"/>
                <w:color w:val="000000"/>
                <w:highlight w:val="none"/>
              </w:rPr>
              <w:fldChar w:fldCharType="end"/>
            </w:r>
            <w:bookmarkEnd w:id="383"/>
            <w:r>
              <w:rPr>
                <w:rFonts w:hint="default" w:ascii="Times New Roman" w:hAnsi="Times New Roman" w:cs="Times New Roman"/>
                <w:color w:val="000000"/>
                <w:highlight w:val="none"/>
                <w:lang w:val="en-US" w:eastAsia="zh-CN"/>
              </w:rPr>
              <w:t xml:space="preserve"> 扩建后全港区水平衡图（单位：m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/d）</w:t>
            </w:r>
          </w:p>
          <w:p w14:paraId="4D8FA6FD">
            <w:pPr>
              <w:pStyle w:val="4"/>
              <w:bidi w:val="0"/>
              <w:rPr>
                <w:rFonts w:hint="default"/>
              </w:rPr>
            </w:pPr>
            <w:r>
              <w:rPr>
                <w:rFonts w:hint="default"/>
                <w:lang w:val="en-US" w:eastAsia="zh-CN"/>
              </w:rPr>
              <w:t>运营期大气污染源强分析</w:t>
            </w:r>
          </w:p>
          <w:p w14:paraId="28B1F3CF">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项目运营期大气污染源主要为车船燃油废气、卸渔区产生的鱼腥异味、污水处理站产生的臭气以及食堂油烟。</w:t>
            </w:r>
          </w:p>
          <w:p w14:paraId="2EFCD0FE">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eastAsia="宋体" w:cs="Times New Roman"/>
                <w:b/>
                <w:bCs/>
                <w:color w:val="000000"/>
                <w:highlight w:val="none"/>
                <w:lang w:val="en-US" w:eastAsia="zh-CN"/>
              </w:rPr>
            </w:pP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1</w:t>
            </w: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船舶、运输车辆燃油废气</w:t>
            </w:r>
          </w:p>
          <w:p w14:paraId="1E6302A5">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b w:val="0"/>
                <w:bCs w:val="0"/>
                <w:color w:val="000000"/>
                <w:highlight w:val="none"/>
                <w:lang w:val="en-US" w:eastAsia="zh-CN"/>
              </w:rPr>
            </w:pPr>
            <w:r>
              <w:rPr>
                <w:rFonts w:hint="default" w:ascii="Times New Roman" w:hAnsi="Times New Roman" w:cs="Times New Roman"/>
                <w:b w:val="0"/>
                <w:bCs w:val="0"/>
                <w:color w:val="000000"/>
                <w:highlight w:val="none"/>
                <w:lang w:val="en-US" w:eastAsia="zh-CN"/>
              </w:rPr>
              <w:t>到港船舶、运输车辆燃油废气主要污染物为SO</w:t>
            </w:r>
            <w:r>
              <w:rPr>
                <w:rFonts w:hint="default" w:ascii="Times New Roman" w:hAnsi="Times New Roman" w:cs="Times New Roman"/>
                <w:b w:val="0"/>
                <w:bCs w:val="0"/>
                <w:color w:val="000000"/>
                <w:highlight w:val="none"/>
                <w:vertAlign w:val="subscript"/>
                <w:lang w:val="en-US" w:eastAsia="zh-CN"/>
              </w:rPr>
              <w:t>2</w:t>
            </w:r>
            <w:r>
              <w:rPr>
                <w:rFonts w:hint="default" w:ascii="Times New Roman" w:hAnsi="Times New Roman" w:cs="Times New Roman"/>
                <w:b w:val="0"/>
                <w:bCs w:val="0"/>
                <w:color w:val="000000"/>
                <w:highlight w:val="none"/>
                <w:lang w:val="en-US" w:eastAsia="zh-CN"/>
              </w:rPr>
              <w:t>、NO</w:t>
            </w:r>
            <w:r>
              <w:rPr>
                <w:rFonts w:hint="default" w:ascii="Times New Roman" w:hAnsi="Times New Roman" w:cs="Times New Roman"/>
                <w:b w:val="0"/>
                <w:bCs w:val="0"/>
                <w:color w:val="000000"/>
                <w:highlight w:val="none"/>
                <w:vertAlign w:val="subscript"/>
                <w:lang w:val="en-US" w:eastAsia="zh-CN"/>
              </w:rPr>
              <w:t>X</w:t>
            </w:r>
            <w:r>
              <w:rPr>
                <w:rFonts w:hint="default" w:ascii="Times New Roman" w:hAnsi="Times New Roman" w:cs="Times New Roman"/>
                <w:b w:val="0"/>
                <w:bCs w:val="0"/>
                <w:color w:val="000000"/>
                <w:highlight w:val="none"/>
                <w:lang w:val="en-US" w:eastAsia="zh-CN"/>
              </w:rPr>
              <w:t>、CO、颗粒物等。运营期到港船舶多为小型渔船，渔船在进港和出港船舶开动时排放废气，船舶排放废气时间短暂，运输车辆在港区内停留时间较短，废气污染物的产生源强较小，因此不做定量分析。</w:t>
            </w:r>
            <w:r>
              <w:rPr>
                <w:rFonts w:hint="default" w:ascii="Times New Roman" w:hAnsi="Times New Roman" w:cs="Times New Roman"/>
                <w:color w:val="000000"/>
                <w:highlight w:val="none"/>
                <w:lang w:eastAsia="zh-CN"/>
              </w:rPr>
              <w:t>项目区大气流动性较好，排放的废气易被海面的风迅速扩散、稀释，对环境影响较小</w:t>
            </w:r>
            <w:r>
              <w:rPr>
                <w:rFonts w:hint="default" w:ascii="Times New Roman" w:hAnsi="Times New Roman" w:cs="Times New Roman"/>
                <w:b w:val="0"/>
                <w:bCs w:val="0"/>
                <w:color w:val="000000"/>
                <w:highlight w:val="none"/>
                <w:lang w:val="en-US" w:eastAsia="zh-CN"/>
              </w:rPr>
              <w:t>。</w:t>
            </w:r>
          </w:p>
          <w:p w14:paraId="2653B7E0">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eastAsia="宋体" w:cs="Times New Roman"/>
                <w:b/>
                <w:bCs/>
                <w:color w:val="000000"/>
                <w:highlight w:val="none"/>
                <w:lang w:val="en-US" w:eastAsia="zh-CN"/>
              </w:rPr>
            </w:pP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2</w:t>
            </w: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码头卸渔区恶臭废气</w:t>
            </w:r>
          </w:p>
          <w:p w14:paraId="5414B689">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b w:val="0"/>
                <w:bCs w:val="0"/>
                <w:color w:val="000000"/>
                <w:highlight w:val="none"/>
                <w:lang w:eastAsia="zh-CN"/>
              </w:rPr>
            </w:pPr>
            <w:r>
              <w:rPr>
                <w:rFonts w:hint="default" w:ascii="Times New Roman" w:hAnsi="Times New Roman" w:cs="Times New Roman"/>
                <w:b w:val="0"/>
                <w:bCs w:val="0"/>
                <w:color w:val="000000"/>
                <w:highlight w:val="none"/>
                <w:lang w:val="en-US" w:eastAsia="zh-CN"/>
              </w:rPr>
              <w:t>本项目建成后码头卸渔区恶臭废气主要来源于渔获物自身臭气、固体废弃物</w:t>
            </w:r>
            <w:r>
              <w:rPr>
                <w:rFonts w:hint="default" w:ascii="Times New Roman" w:hAnsi="Times New Roman" w:cs="Times New Roman"/>
                <w:color w:val="000000"/>
                <w:highlight w:val="none"/>
                <w:lang w:val="en-US" w:eastAsia="zh-CN"/>
              </w:rPr>
              <w:t>（含港区生活垃圾、船舶垃圾、港区生产固废）堆存产生的臭气，由于水产品在港内流向为卸渔码头上岸后即进行市场鲜销、鲜货外运，渔获物在港区停留时间较短，本次不进行定量计算。码头卸渔区恶臭废气主要来源于固体废弃物，</w:t>
            </w:r>
            <w:r>
              <w:rPr>
                <w:rFonts w:hint="default" w:ascii="Times New Roman" w:hAnsi="Times New Roman" w:cs="Times New Roman"/>
                <w:b w:val="0"/>
                <w:bCs w:val="0"/>
                <w:color w:val="000000"/>
                <w:highlight w:val="none"/>
                <w:lang w:val="en-US" w:eastAsia="zh-CN"/>
              </w:rPr>
              <w:t>其中含有各类易发酵的有机物，码头卸渔产生的死鱼和弃鱼，尤其在夏季气温较高时，渔产品废弃物在堆存、运输过程中会散发出较难闻的恶臭气体，恶臭物质主要包括氨、硫化氢、有机胺等异味气体。</w:t>
            </w:r>
          </w:p>
          <w:p w14:paraId="1C50B8CC">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b w:val="0"/>
                <w:bCs w:val="0"/>
                <w:color w:val="000000"/>
                <w:highlight w:val="none"/>
                <w:lang w:val="en-US" w:eastAsia="zh-CN"/>
              </w:rPr>
            </w:pPr>
            <w:r>
              <w:rPr>
                <w:rFonts w:hint="default" w:ascii="Times New Roman" w:hAnsi="Times New Roman" w:cs="Times New Roman"/>
                <w:b w:val="0"/>
                <w:bCs w:val="0"/>
                <w:color w:val="000000"/>
                <w:highlight w:val="none"/>
              </w:rPr>
              <w:t>参考《生活垃圾中转站恶臭污染防治对策》，每吨垃圾的废气排污参数NH</w:t>
            </w:r>
            <w:r>
              <w:rPr>
                <w:rFonts w:hint="default" w:ascii="Times New Roman" w:hAnsi="Times New Roman" w:cs="Times New Roman"/>
                <w:b w:val="0"/>
                <w:bCs w:val="0"/>
                <w:color w:val="000000"/>
                <w:highlight w:val="none"/>
                <w:vertAlign w:val="subscript"/>
              </w:rPr>
              <w:t>3</w:t>
            </w:r>
            <w:r>
              <w:rPr>
                <w:rFonts w:hint="default" w:ascii="Times New Roman" w:hAnsi="Times New Roman" w:cs="Times New Roman"/>
                <w:b w:val="0"/>
                <w:bCs w:val="0"/>
                <w:color w:val="000000"/>
                <w:highlight w:val="none"/>
              </w:rPr>
              <w:t>为60.59g/t</w:t>
            </w:r>
            <w:r>
              <w:rPr>
                <w:rFonts w:hint="default" w:ascii="Times New Roman" w:hAnsi="Times New Roman" w:cs="Times New Roman"/>
                <w:b w:val="0"/>
                <w:bCs w:val="0"/>
                <w:color w:val="000000"/>
                <w:highlight w:val="none"/>
                <w:lang w:val="en-US" w:eastAsia="zh-CN"/>
              </w:rPr>
              <w:t>·d</w:t>
            </w:r>
            <w:r>
              <w:rPr>
                <w:rFonts w:hint="default" w:ascii="Times New Roman" w:hAnsi="Times New Roman" w:cs="Times New Roman"/>
                <w:b w:val="0"/>
                <w:bCs w:val="0"/>
                <w:color w:val="000000"/>
                <w:highlight w:val="none"/>
              </w:rPr>
              <w:t>，H</w:t>
            </w:r>
            <w:r>
              <w:rPr>
                <w:rFonts w:hint="default" w:ascii="Times New Roman" w:hAnsi="Times New Roman" w:cs="Times New Roman"/>
                <w:b w:val="0"/>
                <w:bCs w:val="0"/>
                <w:color w:val="000000"/>
                <w:highlight w:val="none"/>
                <w:vertAlign w:val="subscript"/>
              </w:rPr>
              <w:t>2</w:t>
            </w:r>
            <w:r>
              <w:rPr>
                <w:rFonts w:hint="default" w:ascii="Times New Roman" w:hAnsi="Times New Roman" w:cs="Times New Roman"/>
                <w:b w:val="0"/>
                <w:bCs w:val="0"/>
                <w:color w:val="000000"/>
                <w:highlight w:val="none"/>
              </w:rPr>
              <w:t>S为6.20g/t</w:t>
            </w:r>
            <w:r>
              <w:rPr>
                <w:rFonts w:hint="default" w:ascii="Times New Roman" w:hAnsi="Times New Roman" w:cs="Times New Roman"/>
                <w:b w:val="0"/>
                <w:bCs w:val="0"/>
                <w:color w:val="000000"/>
                <w:highlight w:val="none"/>
                <w:lang w:eastAsia="zh-CN"/>
              </w:rPr>
              <w:t>。</w:t>
            </w:r>
            <w:r>
              <w:rPr>
                <w:rFonts w:hint="default" w:ascii="Times New Roman" w:hAnsi="Times New Roman" w:cs="Times New Roman"/>
                <w:b w:val="0"/>
                <w:bCs w:val="0"/>
                <w:color w:val="000000"/>
                <w:highlight w:val="none"/>
                <w:lang w:val="en-US" w:eastAsia="zh-CN"/>
              </w:rPr>
              <w:t>现有二级渔港固体废弃物产生量为0.8145</w:t>
            </w:r>
            <w:r>
              <w:rPr>
                <w:rFonts w:hint="default" w:ascii="Times New Roman" w:hAnsi="Times New Roman" w:cs="Times New Roman"/>
                <w:color w:val="000000"/>
                <w:highlight w:val="none"/>
                <w:lang w:val="en-US" w:eastAsia="zh-CN"/>
              </w:rPr>
              <w:t>t/d（含港区生活垃圾、船舶垃圾、港区生产固废），则</w:t>
            </w:r>
            <w:r>
              <w:rPr>
                <w:rFonts w:hint="default" w:ascii="Times New Roman" w:hAnsi="Times New Roman" w:cs="Times New Roman"/>
                <w:b w:val="0"/>
                <w:bCs w:val="0"/>
                <w:color w:val="000000"/>
                <w:highlight w:val="none"/>
                <w:lang w:val="en-US" w:eastAsia="zh-CN"/>
              </w:rPr>
              <w:t>码头卸渔区</w:t>
            </w:r>
            <w:r>
              <w:rPr>
                <w:rFonts w:hint="default" w:ascii="Times New Roman" w:hAnsi="Times New Roman" w:cs="Times New Roman"/>
                <w:color w:val="000000"/>
                <w:highlight w:val="none"/>
                <w:lang w:val="en-US" w:eastAsia="zh-CN"/>
              </w:rPr>
              <w:t>固体废弃物NH</w:t>
            </w:r>
            <w:r>
              <w:rPr>
                <w:rFonts w:hint="default" w:ascii="Times New Roman" w:hAnsi="Times New Roman" w:cs="Times New Roman"/>
                <w:color w:val="000000"/>
                <w:highlight w:val="none"/>
                <w:vertAlign w:val="subscript"/>
                <w:lang w:val="en-US" w:eastAsia="zh-CN"/>
              </w:rPr>
              <w:t>3</w:t>
            </w:r>
            <w:r>
              <w:rPr>
                <w:rFonts w:hint="default" w:ascii="Times New Roman" w:hAnsi="Times New Roman" w:cs="Times New Roman"/>
                <w:color w:val="000000"/>
                <w:highlight w:val="none"/>
                <w:lang w:val="en-US" w:eastAsia="zh-CN"/>
              </w:rPr>
              <w:t>产生量为0.0494kg/d（0.0111t/a），</w:t>
            </w:r>
            <w:r>
              <w:rPr>
                <w:rFonts w:hint="default" w:ascii="Times New Roman" w:hAnsi="Times New Roman" w:cs="Times New Roman"/>
                <w:b w:val="0"/>
                <w:bCs w:val="0"/>
                <w:color w:val="000000"/>
                <w:highlight w:val="none"/>
              </w:rPr>
              <w:t>H</w:t>
            </w:r>
            <w:r>
              <w:rPr>
                <w:rFonts w:hint="default" w:ascii="Times New Roman" w:hAnsi="Times New Roman" w:cs="Times New Roman"/>
                <w:b w:val="0"/>
                <w:bCs w:val="0"/>
                <w:color w:val="000000"/>
                <w:highlight w:val="none"/>
                <w:vertAlign w:val="subscript"/>
              </w:rPr>
              <w:t>2</w:t>
            </w:r>
            <w:r>
              <w:rPr>
                <w:rFonts w:hint="default" w:ascii="Times New Roman" w:hAnsi="Times New Roman" w:cs="Times New Roman"/>
                <w:b w:val="0"/>
                <w:bCs w:val="0"/>
                <w:color w:val="000000"/>
                <w:highlight w:val="none"/>
              </w:rPr>
              <w:t>S</w:t>
            </w:r>
            <w:r>
              <w:rPr>
                <w:rFonts w:hint="default" w:ascii="Times New Roman" w:hAnsi="Times New Roman" w:cs="Times New Roman"/>
                <w:b w:val="0"/>
                <w:bCs w:val="0"/>
                <w:color w:val="000000"/>
                <w:highlight w:val="none"/>
                <w:lang w:val="en-US" w:eastAsia="zh-CN"/>
              </w:rPr>
              <w:t>产生量</w:t>
            </w:r>
            <w:r>
              <w:rPr>
                <w:rFonts w:hint="default" w:ascii="Times New Roman" w:hAnsi="Times New Roman" w:cs="Times New Roman"/>
                <w:b w:val="0"/>
                <w:bCs w:val="0"/>
                <w:color w:val="000000"/>
                <w:highlight w:val="none"/>
              </w:rPr>
              <w:t>为</w:t>
            </w:r>
            <w:r>
              <w:rPr>
                <w:rFonts w:hint="default" w:ascii="Times New Roman" w:hAnsi="Times New Roman" w:cs="Times New Roman"/>
                <w:color w:val="000000"/>
                <w:highlight w:val="none"/>
                <w:lang w:val="en-US" w:eastAsia="zh-CN"/>
              </w:rPr>
              <w:t>0.0050kg/d（0.0011t/a）。本次扩建固体废弃物产生量为0.6954t/d（含港区生活垃圾、船舶垃圾、港区生产固废），则项目码头卸渔区固体废弃物NH</w:t>
            </w:r>
            <w:r>
              <w:rPr>
                <w:rFonts w:hint="default" w:ascii="Times New Roman" w:hAnsi="Times New Roman" w:cs="Times New Roman"/>
                <w:color w:val="000000"/>
                <w:highlight w:val="none"/>
                <w:vertAlign w:val="subscript"/>
                <w:lang w:val="en-US" w:eastAsia="zh-CN"/>
              </w:rPr>
              <w:t>3</w:t>
            </w:r>
            <w:r>
              <w:rPr>
                <w:rFonts w:hint="default" w:ascii="Times New Roman" w:hAnsi="Times New Roman" w:cs="Times New Roman"/>
                <w:color w:val="000000"/>
                <w:highlight w:val="none"/>
                <w:lang w:val="en-US" w:eastAsia="zh-CN"/>
              </w:rPr>
              <w:t>产生量为0.0421kg/d（0.0095t/a），</w:t>
            </w:r>
            <w:r>
              <w:rPr>
                <w:rFonts w:hint="default" w:ascii="Times New Roman" w:hAnsi="Times New Roman" w:cs="Times New Roman"/>
                <w:b w:val="0"/>
                <w:bCs w:val="0"/>
                <w:color w:val="000000"/>
                <w:highlight w:val="none"/>
              </w:rPr>
              <w:t>H</w:t>
            </w:r>
            <w:r>
              <w:rPr>
                <w:rFonts w:hint="default" w:ascii="Times New Roman" w:hAnsi="Times New Roman" w:cs="Times New Roman"/>
                <w:b w:val="0"/>
                <w:bCs w:val="0"/>
                <w:color w:val="000000"/>
                <w:highlight w:val="none"/>
                <w:vertAlign w:val="subscript"/>
              </w:rPr>
              <w:t>2</w:t>
            </w:r>
            <w:r>
              <w:rPr>
                <w:rFonts w:hint="default" w:ascii="Times New Roman" w:hAnsi="Times New Roman" w:cs="Times New Roman"/>
                <w:b w:val="0"/>
                <w:bCs w:val="0"/>
                <w:color w:val="000000"/>
                <w:highlight w:val="none"/>
              </w:rPr>
              <w:t>S</w:t>
            </w:r>
            <w:r>
              <w:rPr>
                <w:rFonts w:hint="default" w:ascii="Times New Roman" w:hAnsi="Times New Roman" w:cs="Times New Roman"/>
                <w:b w:val="0"/>
                <w:bCs w:val="0"/>
                <w:color w:val="000000"/>
                <w:highlight w:val="none"/>
                <w:lang w:val="en-US" w:eastAsia="zh-CN"/>
              </w:rPr>
              <w:t>产生量</w:t>
            </w:r>
            <w:r>
              <w:rPr>
                <w:rFonts w:hint="default" w:ascii="Times New Roman" w:hAnsi="Times New Roman" w:cs="Times New Roman"/>
                <w:b w:val="0"/>
                <w:bCs w:val="0"/>
                <w:color w:val="000000"/>
                <w:highlight w:val="none"/>
              </w:rPr>
              <w:t>为</w:t>
            </w:r>
            <w:r>
              <w:rPr>
                <w:rFonts w:hint="default" w:ascii="Times New Roman" w:hAnsi="Times New Roman" w:cs="Times New Roman"/>
                <w:color w:val="000000"/>
                <w:highlight w:val="none"/>
                <w:lang w:val="en-US" w:eastAsia="zh-CN"/>
              </w:rPr>
              <w:t>0.0043kg/d（0.0010t/a）。本项目建成后，全港区固体废弃物产生量为1.5099t/d，则码头卸渔区废气污染物NH</w:t>
            </w:r>
            <w:r>
              <w:rPr>
                <w:rFonts w:hint="default" w:ascii="Times New Roman" w:hAnsi="Times New Roman" w:cs="Times New Roman"/>
                <w:color w:val="000000"/>
                <w:highlight w:val="none"/>
                <w:vertAlign w:val="subscript"/>
                <w:lang w:val="en-US" w:eastAsia="zh-CN"/>
              </w:rPr>
              <w:t>3</w:t>
            </w:r>
            <w:r>
              <w:rPr>
                <w:rFonts w:hint="default" w:ascii="Times New Roman" w:hAnsi="Times New Roman" w:cs="Times New Roman"/>
                <w:color w:val="000000"/>
                <w:highlight w:val="none"/>
                <w:lang w:val="en-US" w:eastAsia="zh-CN"/>
              </w:rPr>
              <w:t>产生量为0.0915kg/d（0.0206t/a），</w:t>
            </w:r>
            <w:r>
              <w:rPr>
                <w:rFonts w:hint="default" w:ascii="Times New Roman" w:hAnsi="Times New Roman" w:cs="Times New Roman"/>
                <w:b w:val="0"/>
                <w:bCs w:val="0"/>
                <w:color w:val="000000"/>
                <w:highlight w:val="none"/>
              </w:rPr>
              <w:t>H</w:t>
            </w:r>
            <w:r>
              <w:rPr>
                <w:rFonts w:hint="default" w:ascii="Times New Roman" w:hAnsi="Times New Roman" w:cs="Times New Roman"/>
                <w:b w:val="0"/>
                <w:bCs w:val="0"/>
                <w:color w:val="000000"/>
                <w:highlight w:val="none"/>
                <w:vertAlign w:val="subscript"/>
              </w:rPr>
              <w:t>2</w:t>
            </w:r>
            <w:r>
              <w:rPr>
                <w:rFonts w:hint="default" w:ascii="Times New Roman" w:hAnsi="Times New Roman" w:cs="Times New Roman"/>
                <w:b w:val="0"/>
                <w:bCs w:val="0"/>
                <w:color w:val="000000"/>
                <w:highlight w:val="none"/>
              </w:rPr>
              <w:t>S</w:t>
            </w:r>
            <w:r>
              <w:rPr>
                <w:rFonts w:hint="default" w:ascii="Times New Roman" w:hAnsi="Times New Roman" w:cs="Times New Roman"/>
                <w:b w:val="0"/>
                <w:bCs w:val="0"/>
                <w:color w:val="000000"/>
                <w:highlight w:val="none"/>
                <w:lang w:val="en-US" w:eastAsia="zh-CN"/>
              </w:rPr>
              <w:t>产生量</w:t>
            </w:r>
            <w:r>
              <w:rPr>
                <w:rFonts w:hint="default" w:ascii="Times New Roman" w:hAnsi="Times New Roman" w:cs="Times New Roman"/>
                <w:b w:val="0"/>
                <w:bCs w:val="0"/>
                <w:color w:val="000000"/>
                <w:highlight w:val="none"/>
              </w:rPr>
              <w:t>为</w:t>
            </w:r>
            <w:r>
              <w:rPr>
                <w:rFonts w:hint="default" w:ascii="Times New Roman" w:hAnsi="Times New Roman" w:cs="Times New Roman"/>
                <w:color w:val="000000"/>
                <w:highlight w:val="none"/>
                <w:lang w:val="en-US" w:eastAsia="zh-CN"/>
              </w:rPr>
              <w:t>0.0094kg/d（0.0021t/a）。</w:t>
            </w:r>
          </w:p>
          <w:p w14:paraId="080650E7">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b w:val="0"/>
                <w:bCs w:val="0"/>
                <w:color w:val="000000"/>
                <w:highlight w:val="none"/>
                <w:lang w:eastAsia="zh-CN"/>
              </w:rPr>
              <w:t>为了减小渔港固体</w:t>
            </w:r>
            <w:r>
              <w:rPr>
                <w:rFonts w:hint="default" w:ascii="Times New Roman" w:hAnsi="Times New Roman" w:cs="Times New Roman"/>
                <w:b w:val="0"/>
                <w:bCs w:val="0"/>
                <w:color w:val="000000"/>
                <w:highlight w:val="none"/>
                <w:lang w:val="en-US" w:eastAsia="zh-CN"/>
              </w:rPr>
              <w:t>废弃物产生的恶臭废气</w:t>
            </w:r>
            <w:r>
              <w:rPr>
                <w:rFonts w:hint="default" w:ascii="Times New Roman" w:hAnsi="Times New Roman" w:cs="Times New Roman"/>
                <w:b w:val="0"/>
                <w:bCs w:val="0"/>
                <w:color w:val="000000"/>
                <w:highlight w:val="none"/>
                <w:lang w:eastAsia="zh-CN"/>
              </w:rPr>
              <w:t>对周边环境的影响，要求码头定点设置的垃圾桶加盖密闭，</w:t>
            </w:r>
            <w:r>
              <w:rPr>
                <w:rFonts w:hint="default" w:ascii="Times New Roman" w:hAnsi="Times New Roman" w:cs="Times New Roman"/>
                <w:b w:val="0"/>
                <w:bCs w:val="0"/>
                <w:color w:val="000000"/>
                <w:highlight w:val="none"/>
                <w:lang w:val="en-US" w:eastAsia="zh-CN"/>
              </w:rPr>
              <w:t>每日</w:t>
            </w:r>
            <w:r>
              <w:rPr>
                <w:rFonts w:hint="default" w:ascii="Times New Roman" w:hAnsi="Times New Roman" w:cs="Times New Roman"/>
                <w:b w:val="0"/>
                <w:bCs w:val="0"/>
                <w:color w:val="000000"/>
                <w:highlight w:val="none"/>
                <w:lang w:eastAsia="zh-CN"/>
              </w:rPr>
              <w:t>由环卫部门清运</w:t>
            </w:r>
            <w:r>
              <w:rPr>
                <w:rFonts w:hint="default" w:ascii="Times New Roman" w:hAnsi="Times New Roman" w:cs="Times New Roman"/>
                <w:b w:val="0"/>
                <w:bCs w:val="0"/>
                <w:color w:val="000000"/>
                <w:highlight w:val="none"/>
                <w:lang w:val="en-US" w:eastAsia="zh-CN"/>
              </w:rPr>
              <w:t>处理</w:t>
            </w:r>
            <w:r>
              <w:rPr>
                <w:rFonts w:hint="default" w:ascii="Times New Roman" w:hAnsi="Times New Roman" w:cs="Times New Roman"/>
                <w:b w:val="0"/>
                <w:bCs w:val="0"/>
                <w:color w:val="000000"/>
                <w:highlight w:val="none"/>
                <w:lang w:eastAsia="zh-CN"/>
              </w:rPr>
              <w:t>。垃圾桶加盖可减小恶臭气体的排放，本评价按可减小50%的排放量计算，</w:t>
            </w:r>
            <w:r>
              <w:rPr>
                <w:rFonts w:hint="default" w:ascii="Times New Roman" w:hAnsi="Times New Roman" w:cs="Times New Roman"/>
                <w:b w:val="0"/>
                <w:bCs w:val="0"/>
                <w:color w:val="000000"/>
                <w:highlight w:val="none"/>
                <w:lang w:val="en-US" w:eastAsia="zh-CN"/>
              </w:rPr>
              <w:t>则现有二级渔港码头卸渔区固体废弃物</w:t>
            </w:r>
            <w:r>
              <w:rPr>
                <w:rFonts w:hint="default" w:ascii="Times New Roman" w:hAnsi="Times New Roman" w:cs="Times New Roman"/>
                <w:b w:val="0"/>
                <w:bCs w:val="0"/>
                <w:color w:val="000000"/>
                <w:highlight w:val="none"/>
                <w:lang w:eastAsia="zh-CN"/>
              </w:rPr>
              <w:t>NH</w:t>
            </w:r>
            <w:r>
              <w:rPr>
                <w:rFonts w:hint="default" w:ascii="Times New Roman" w:hAnsi="Times New Roman" w:cs="Times New Roman"/>
                <w:b w:val="0"/>
                <w:bCs w:val="0"/>
                <w:color w:val="000000"/>
                <w:highlight w:val="none"/>
                <w:vertAlign w:val="subscript"/>
                <w:lang w:eastAsia="zh-CN"/>
              </w:rPr>
              <w:t>3</w:t>
            </w:r>
            <w:r>
              <w:rPr>
                <w:rFonts w:hint="default" w:ascii="Times New Roman" w:hAnsi="Times New Roman" w:cs="Times New Roman"/>
                <w:b w:val="0"/>
                <w:bCs w:val="0"/>
                <w:color w:val="000000"/>
                <w:highlight w:val="none"/>
                <w:lang w:eastAsia="zh-CN"/>
              </w:rPr>
              <w:t>排放量为</w:t>
            </w:r>
            <w:r>
              <w:rPr>
                <w:rFonts w:hint="default" w:ascii="Times New Roman" w:hAnsi="Times New Roman" w:cs="Times New Roman"/>
                <w:b w:val="0"/>
                <w:bCs w:val="0"/>
                <w:color w:val="000000"/>
                <w:highlight w:val="none"/>
                <w:lang w:val="en-US" w:eastAsia="zh-CN"/>
              </w:rPr>
              <w:t>0.0247</w:t>
            </w:r>
            <w:r>
              <w:rPr>
                <w:rFonts w:hint="default" w:ascii="Times New Roman" w:hAnsi="Times New Roman" w:cs="Times New Roman"/>
                <w:b w:val="0"/>
                <w:bCs w:val="0"/>
                <w:color w:val="000000"/>
                <w:highlight w:val="none"/>
                <w:lang w:eastAsia="zh-CN"/>
              </w:rPr>
              <w:t>kg/d（</w:t>
            </w:r>
            <w:r>
              <w:rPr>
                <w:rFonts w:hint="default" w:ascii="Times New Roman" w:hAnsi="Times New Roman" w:cs="Times New Roman"/>
                <w:b w:val="0"/>
                <w:bCs w:val="0"/>
                <w:color w:val="000000"/>
                <w:highlight w:val="none"/>
                <w:lang w:val="en-US" w:eastAsia="zh-CN"/>
              </w:rPr>
              <w:t>0.0056</w:t>
            </w:r>
            <w:r>
              <w:rPr>
                <w:rFonts w:hint="default" w:ascii="Times New Roman" w:hAnsi="Times New Roman" w:cs="Times New Roman"/>
                <w:b w:val="0"/>
                <w:bCs w:val="0"/>
                <w:color w:val="000000"/>
                <w:highlight w:val="none"/>
                <w:lang w:eastAsia="zh-CN"/>
              </w:rPr>
              <w:t>t/a），</w:t>
            </w:r>
            <w:r>
              <w:rPr>
                <w:rFonts w:hint="default" w:ascii="Times New Roman" w:hAnsi="Times New Roman" w:cs="Times New Roman"/>
                <w:b w:val="0"/>
                <w:bCs w:val="0"/>
                <w:color w:val="000000"/>
                <w:highlight w:val="none"/>
              </w:rPr>
              <w:t>H</w:t>
            </w:r>
            <w:r>
              <w:rPr>
                <w:rFonts w:hint="default" w:ascii="Times New Roman" w:hAnsi="Times New Roman" w:cs="Times New Roman"/>
                <w:b w:val="0"/>
                <w:bCs w:val="0"/>
                <w:color w:val="000000"/>
                <w:highlight w:val="none"/>
                <w:vertAlign w:val="subscript"/>
              </w:rPr>
              <w:t>2</w:t>
            </w:r>
            <w:r>
              <w:rPr>
                <w:rFonts w:hint="default" w:ascii="Times New Roman" w:hAnsi="Times New Roman" w:cs="Times New Roman"/>
                <w:b w:val="0"/>
                <w:bCs w:val="0"/>
                <w:color w:val="000000"/>
                <w:highlight w:val="none"/>
              </w:rPr>
              <w:t>S</w:t>
            </w:r>
            <w:r>
              <w:rPr>
                <w:rFonts w:hint="default" w:ascii="Times New Roman" w:hAnsi="Times New Roman" w:cs="Times New Roman"/>
                <w:b w:val="0"/>
                <w:bCs w:val="0"/>
                <w:color w:val="000000"/>
                <w:highlight w:val="none"/>
                <w:lang w:val="en-US" w:eastAsia="zh-CN"/>
              </w:rPr>
              <w:t>排放量</w:t>
            </w:r>
            <w:r>
              <w:rPr>
                <w:rFonts w:hint="default" w:ascii="Times New Roman" w:hAnsi="Times New Roman" w:cs="Times New Roman"/>
                <w:b w:val="0"/>
                <w:bCs w:val="0"/>
                <w:color w:val="000000"/>
                <w:highlight w:val="none"/>
              </w:rPr>
              <w:t>为</w:t>
            </w:r>
            <w:r>
              <w:rPr>
                <w:rFonts w:hint="default" w:ascii="Times New Roman" w:hAnsi="Times New Roman" w:cs="Times New Roman"/>
                <w:color w:val="000000"/>
                <w:highlight w:val="none"/>
                <w:lang w:val="en-US" w:eastAsia="zh-CN"/>
              </w:rPr>
              <w:t>0.0025kg/d（0.0006t/a）。本次扩建码头卸渔区固体废弃物</w:t>
            </w:r>
            <w:r>
              <w:rPr>
                <w:rFonts w:hint="default" w:ascii="Times New Roman" w:hAnsi="Times New Roman" w:cs="Times New Roman"/>
                <w:b w:val="0"/>
                <w:bCs w:val="0"/>
                <w:color w:val="000000"/>
                <w:highlight w:val="none"/>
                <w:lang w:eastAsia="zh-CN"/>
              </w:rPr>
              <w:t>NH</w:t>
            </w:r>
            <w:r>
              <w:rPr>
                <w:rFonts w:hint="default" w:ascii="Times New Roman" w:hAnsi="Times New Roman" w:cs="Times New Roman"/>
                <w:b w:val="0"/>
                <w:bCs w:val="0"/>
                <w:color w:val="000000"/>
                <w:highlight w:val="none"/>
                <w:vertAlign w:val="subscript"/>
                <w:lang w:eastAsia="zh-CN"/>
              </w:rPr>
              <w:t>3</w:t>
            </w:r>
            <w:r>
              <w:rPr>
                <w:rFonts w:hint="default" w:ascii="Times New Roman" w:hAnsi="Times New Roman" w:cs="Times New Roman"/>
                <w:b w:val="0"/>
                <w:bCs w:val="0"/>
                <w:color w:val="000000"/>
                <w:highlight w:val="none"/>
                <w:lang w:eastAsia="zh-CN"/>
              </w:rPr>
              <w:t>排放量为</w:t>
            </w:r>
            <w:r>
              <w:rPr>
                <w:rFonts w:hint="default" w:ascii="Times New Roman" w:hAnsi="Times New Roman" w:cs="Times New Roman"/>
                <w:b w:val="0"/>
                <w:bCs w:val="0"/>
                <w:color w:val="000000"/>
                <w:highlight w:val="none"/>
                <w:lang w:val="en-US" w:eastAsia="zh-CN"/>
              </w:rPr>
              <w:t>0.0211</w:t>
            </w:r>
            <w:r>
              <w:rPr>
                <w:rFonts w:hint="default" w:ascii="Times New Roman" w:hAnsi="Times New Roman" w:cs="Times New Roman"/>
                <w:b w:val="0"/>
                <w:bCs w:val="0"/>
                <w:color w:val="000000"/>
                <w:highlight w:val="none"/>
                <w:lang w:eastAsia="zh-CN"/>
              </w:rPr>
              <w:t>kg/d（</w:t>
            </w:r>
            <w:r>
              <w:rPr>
                <w:rFonts w:hint="default" w:ascii="Times New Roman" w:hAnsi="Times New Roman" w:cs="Times New Roman"/>
                <w:b w:val="0"/>
                <w:bCs w:val="0"/>
                <w:color w:val="000000"/>
                <w:highlight w:val="none"/>
                <w:lang w:val="en-US" w:eastAsia="zh-CN"/>
              </w:rPr>
              <w:t>0.0047</w:t>
            </w:r>
            <w:r>
              <w:rPr>
                <w:rFonts w:hint="default" w:ascii="Times New Roman" w:hAnsi="Times New Roman" w:cs="Times New Roman"/>
                <w:b w:val="0"/>
                <w:bCs w:val="0"/>
                <w:color w:val="000000"/>
                <w:highlight w:val="none"/>
                <w:lang w:eastAsia="zh-CN"/>
              </w:rPr>
              <w:t>t/a），</w:t>
            </w:r>
            <w:r>
              <w:rPr>
                <w:rFonts w:hint="default" w:ascii="Times New Roman" w:hAnsi="Times New Roman" w:cs="Times New Roman"/>
                <w:b w:val="0"/>
                <w:bCs w:val="0"/>
                <w:color w:val="000000"/>
                <w:highlight w:val="none"/>
              </w:rPr>
              <w:t>H</w:t>
            </w:r>
            <w:r>
              <w:rPr>
                <w:rFonts w:hint="default" w:ascii="Times New Roman" w:hAnsi="Times New Roman" w:cs="Times New Roman"/>
                <w:b w:val="0"/>
                <w:bCs w:val="0"/>
                <w:color w:val="000000"/>
                <w:highlight w:val="none"/>
                <w:vertAlign w:val="subscript"/>
              </w:rPr>
              <w:t>2</w:t>
            </w:r>
            <w:r>
              <w:rPr>
                <w:rFonts w:hint="default" w:ascii="Times New Roman" w:hAnsi="Times New Roman" w:cs="Times New Roman"/>
                <w:b w:val="0"/>
                <w:bCs w:val="0"/>
                <w:color w:val="000000"/>
                <w:highlight w:val="none"/>
              </w:rPr>
              <w:t>S</w:t>
            </w:r>
            <w:r>
              <w:rPr>
                <w:rFonts w:hint="default" w:ascii="Times New Roman" w:hAnsi="Times New Roman" w:cs="Times New Roman"/>
                <w:b w:val="0"/>
                <w:bCs w:val="0"/>
                <w:color w:val="000000"/>
                <w:highlight w:val="none"/>
                <w:lang w:val="en-US" w:eastAsia="zh-CN"/>
              </w:rPr>
              <w:t>排放量</w:t>
            </w:r>
            <w:r>
              <w:rPr>
                <w:rFonts w:hint="default" w:ascii="Times New Roman" w:hAnsi="Times New Roman" w:cs="Times New Roman"/>
                <w:b w:val="0"/>
                <w:bCs w:val="0"/>
                <w:color w:val="000000"/>
                <w:highlight w:val="none"/>
              </w:rPr>
              <w:t>为</w:t>
            </w:r>
            <w:r>
              <w:rPr>
                <w:rFonts w:hint="default" w:ascii="Times New Roman" w:hAnsi="Times New Roman" w:cs="Times New Roman"/>
                <w:color w:val="000000"/>
                <w:highlight w:val="none"/>
                <w:lang w:val="en-US" w:eastAsia="zh-CN"/>
              </w:rPr>
              <w:t>0.0022kg/d（0.0005t/a），其中新建卸渔区</w:t>
            </w:r>
            <w:r>
              <w:rPr>
                <w:rFonts w:hint="default" w:ascii="Times New Roman" w:hAnsi="Times New Roman" w:cs="Times New Roman"/>
                <w:b w:val="0"/>
                <w:bCs w:val="0"/>
                <w:color w:val="000000"/>
                <w:highlight w:val="none"/>
                <w:lang w:eastAsia="zh-CN"/>
              </w:rPr>
              <w:t>NH</w:t>
            </w:r>
            <w:r>
              <w:rPr>
                <w:rFonts w:hint="default" w:ascii="Times New Roman" w:hAnsi="Times New Roman" w:cs="Times New Roman"/>
                <w:b w:val="0"/>
                <w:bCs w:val="0"/>
                <w:color w:val="000000"/>
                <w:highlight w:val="none"/>
                <w:vertAlign w:val="subscript"/>
                <w:lang w:eastAsia="zh-CN"/>
              </w:rPr>
              <w:t>3</w:t>
            </w:r>
            <w:r>
              <w:rPr>
                <w:rFonts w:hint="default" w:ascii="Times New Roman" w:hAnsi="Times New Roman" w:cs="Times New Roman"/>
                <w:b w:val="0"/>
                <w:bCs w:val="0"/>
                <w:color w:val="000000"/>
                <w:highlight w:val="none"/>
                <w:lang w:eastAsia="zh-CN"/>
              </w:rPr>
              <w:t>排放量为</w:t>
            </w:r>
            <w:r>
              <w:rPr>
                <w:rFonts w:hint="default" w:ascii="Times New Roman" w:hAnsi="Times New Roman" w:cs="Times New Roman"/>
                <w:b w:val="0"/>
                <w:bCs w:val="0"/>
                <w:color w:val="000000"/>
                <w:highlight w:val="none"/>
                <w:lang w:val="en-US" w:eastAsia="zh-CN"/>
              </w:rPr>
              <w:t>0.0133</w:t>
            </w:r>
            <w:r>
              <w:rPr>
                <w:rFonts w:hint="default" w:ascii="Times New Roman" w:hAnsi="Times New Roman" w:cs="Times New Roman"/>
                <w:b w:val="0"/>
                <w:bCs w:val="0"/>
                <w:color w:val="000000"/>
                <w:highlight w:val="none"/>
                <w:lang w:eastAsia="zh-CN"/>
              </w:rPr>
              <w:t>kg/d（</w:t>
            </w:r>
            <w:r>
              <w:rPr>
                <w:rFonts w:hint="default" w:ascii="Times New Roman" w:hAnsi="Times New Roman" w:cs="Times New Roman"/>
                <w:b w:val="0"/>
                <w:bCs w:val="0"/>
                <w:color w:val="000000"/>
                <w:highlight w:val="none"/>
                <w:lang w:val="en-US" w:eastAsia="zh-CN"/>
              </w:rPr>
              <w:t>0.0030</w:t>
            </w:r>
            <w:r>
              <w:rPr>
                <w:rFonts w:hint="default" w:ascii="Times New Roman" w:hAnsi="Times New Roman" w:cs="Times New Roman"/>
                <w:b w:val="0"/>
                <w:bCs w:val="0"/>
                <w:color w:val="000000"/>
                <w:highlight w:val="none"/>
                <w:lang w:eastAsia="zh-CN"/>
              </w:rPr>
              <w:t>t/a），</w:t>
            </w:r>
            <w:r>
              <w:rPr>
                <w:rFonts w:hint="default" w:ascii="Times New Roman" w:hAnsi="Times New Roman" w:cs="Times New Roman"/>
                <w:b w:val="0"/>
                <w:bCs w:val="0"/>
                <w:color w:val="000000"/>
                <w:highlight w:val="none"/>
              </w:rPr>
              <w:t>H</w:t>
            </w:r>
            <w:r>
              <w:rPr>
                <w:rFonts w:hint="default" w:ascii="Times New Roman" w:hAnsi="Times New Roman" w:cs="Times New Roman"/>
                <w:b w:val="0"/>
                <w:bCs w:val="0"/>
                <w:color w:val="000000"/>
                <w:highlight w:val="none"/>
                <w:vertAlign w:val="subscript"/>
              </w:rPr>
              <w:t>2</w:t>
            </w:r>
            <w:r>
              <w:rPr>
                <w:rFonts w:hint="default" w:ascii="Times New Roman" w:hAnsi="Times New Roman" w:cs="Times New Roman"/>
                <w:b w:val="0"/>
                <w:bCs w:val="0"/>
                <w:color w:val="000000"/>
                <w:highlight w:val="none"/>
              </w:rPr>
              <w:t>S</w:t>
            </w:r>
            <w:r>
              <w:rPr>
                <w:rFonts w:hint="default" w:ascii="Times New Roman" w:hAnsi="Times New Roman" w:cs="Times New Roman"/>
                <w:b w:val="0"/>
                <w:bCs w:val="0"/>
                <w:color w:val="000000"/>
                <w:highlight w:val="none"/>
                <w:lang w:val="en-US" w:eastAsia="zh-CN"/>
              </w:rPr>
              <w:t>排放量</w:t>
            </w:r>
            <w:r>
              <w:rPr>
                <w:rFonts w:hint="default" w:ascii="Times New Roman" w:hAnsi="Times New Roman" w:cs="Times New Roman"/>
                <w:b w:val="0"/>
                <w:bCs w:val="0"/>
                <w:color w:val="000000"/>
                <w:highlight w:val="none"/>
              </w:rPr>
              <w:t>为</w:t>
            </w:r>
            <w:r>
              <w:rPr>
                <w:rFonts w:hint="default" w:ascii="Times New Roman" w:hAnsi="Times New Roman" w:cs="Times New Roman"/>
                <w:color w:val="000000"/>
                <w:highlight w:val="none"/>
                <w:lang w:val="en-US" w:eastAsia="zh-CN"/>
              </w:rPr>
              <w:t>0.00136kg/d（0.0003t/a）；新建码头</w:t>
            </w:r>
            <w:r>
              <w:rPr>
                <w:rFonts w:hint="default" w:ascii="Times New Roman" w:hAnsi="Times New Roman" w:cs="Times New Roman"/>
                <w:b w:val="0"/>
                <w:bCs w:val="0"/>
                <w:color w:val="000000"/>
                <w:highlight w:val="none"/>
                <w:lang w:eastAsia="zh-CN"/>
              </w:rPr>
              <w:t>NH</w:t>
            </w:r>
            <w:r>
              <w:rPr>
                <w:rFonts w:hint="default" w:ascii="Times New Roman" w:hAnsi="Times New Roman" w:cs="Times New Roman"/>
                <w:b w:val="0"/>
                <w:bCs w:val="0"/>
                <w:color w:val="000000"/>
                <w:highlight w:val="none"/>
                <w:vertAlign w:val="subscript"/>
                <w:lang w:eastAsia="zh-CN"/>
              </w:rPr>
              <w:t>3</w:t>
            </w:r>
            <w:r>
              <w:rPr>
                <w:rFonts w:hint="default" w:ascii="Times New Roman" w:hAnsi="Times New Roman" w:cs="Times New Roman"/>
                <w:b w:val="0"/>
                <w:bCs w:val="0"/>
                <w:color w:val="000000"/>
                <w:highlight w:val="none"/>
                <w:lang w:eastAsia="zh-CN"/>
              </w:rPr>
              <w:t>排放量为</w:t>
            </w:r>
            <w:r>
              <w:rPr>
                <w:rFonts w:hint="default" w:ascii="Times New Roman" w:hAnsi="Times New Roman" w:cs="Times New Roman"/>
                <w:b w:val="0"/>
                <w:bCs w:val="0"/>
                <w:color w:val="000000"/>
                <w:highlight w:val="none"/>
                <w:lang w:val="en-US" w:eastAsia="zh-CN"/>
              </w:rPr>
              <w:t>0.0077</w:t>
            </w:r>
            <w:r>
              <w:rPr>
                <w:rFonts w:hint="default" w:ascii="Times New Roman" w:hAnsi="Times New Roman" w:cs="Times New Roman"/>
                <w:b w:val="0"/>
                <w:bCs w:val="0"/>
                <w:color w:val="000000"/>
                <w:highlight w:val="none"/>
                <w:lang w:eastAsia="zh-CN"/>
              </w:rPr>
              <w:t>kg/d（</w:t>
            </w:r>
            <w:r>
              <w:rPr>
                <w:rFonts w:hint="default" w:ascii="Times New Roman" w:hAnsi="Times New Roman" w:cs="Times New Roman"/>
                <w:b w:val="0"/>
                <w:bCs w:val="0"/>
                <w:color w:val="000000"/>
                <w:highlight w:val="none"/>
                <w:lang w:val="en-US" w:eastAsia="zh-CN"/>
              </w:rPr>
              <w:t>0.0017</w:t>
            </w:r>
            <w:r>
              <w:rPr>
                <w:rFonts w:hint="default" w:ascii="Times New Roman" w:hAnsi="Times New Roman" w:cs="Times New Roman"/>
                <w:b w:val="0"/>
                <w:bCs w:val="0"/>
                <w:color w:val="000000"/>
                <w:highlight w:val="none"/>
                <w:lang w:eastAsia="zh-CN"/>
              </w:rPr>
              <w:t>t/a），</w:t>
            </w:r>
            <w:r>
              <w:rPr>
                <w:rFonts w:hint="default" w:ascii="Times New Roman" w:hAnsi="Times New Roman" w:cs="Times New Roman"/>
                <w:b w:val="0"/>
                <w:bCs w:val="0"/>
                <w:color w:val="000000"/>
                <w:highlight w:val="none"/>
              </w:rPr>
              <w:t>H</w:t>
            </w:r>
            <w:r>
              <w:rPr>
                <w:rFonts w:hint="default" w:ascii="Times New Roman" w:hAnsi="Times New Roman" w:cs="Times New Roman"/>
                <w:b w:val="0"/>
                <w:bCs w:val="0"/>
                <w:color w:val="000000"/>
                <w:highlight w:val="none"/>
                <w:vertAlign w:val="subscript"/>
              </w:rPr>
              <w:t>2</w:t>
            </w:r>
            <w:r>
              <w:rPr>
                <w:rFonts w:hint="default" w:ascii="Times New Roman" w:hAnsi="Times New Roman" w:cs="Times New Roman"/>
                <w:b w:val="0"/>
                <w:bCs w:val="0"/>
                <w:color w:val="000000"/>
                <w:highlight w:val="none"/>
              </w:rPr>
              <w:t>S</w:t>
            </w:r>
            <w:r>
              <w:rPr>
                <w:rFonts w:hint="default" w:ascii="Times New Roman" w:hAnsi="Times New Roman" w:cs="Times New Roman"/>
                <w:b w:val="0"/>
                <w:bCs w:val="0"/>
                <w:color w:val="000000"/>
                <w:highlight w:val="none"/>
                <w:lang w:val="en-US" w:eastAsia="zh-CN"/>
              </w:rPr>
              <w:t>排放量</w:t>
            </w:r>
            <w:r>
              <w:rPr>
                <w:rFonts w:hint="default" w:ascii="Times New Roman" w:hAnsi="Times New Roman" w:cs="Times New Roman"/>
                <w:b w:val="0"/>
                <w:bCs w:val="0"/>
                <w:color w:val="000000"/>
                <w:highlight w:val="none"/>
              </w:rPr>
              <w:t>为</w:t>
            </w:r>
            <w:r>
              <w:rPr>
                <w:rFonts w:hint="default" w:ascii="Times New Roman" w:hAnsi="Times New Roman" w:cs="Times New Roman"/>
                <w:color w:val="000000"/>
                <w:highlight w:val="none"/>
                <w:lang w:val="en-US" w:eastAsia="zh-CN"/>
              </w:rPr>
              <w:t>0.00079kg/d（0.0002t/a）。</w:t>
            </w:r>
          </w:p>
          <w:p w14:paraId="4FB96E1D">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b w:val="0"/>
                <w:bCs w:val="0"/>
                <w:color w:val="000000"/>
                <w:highlight w:val="none"/>
              </w:rPr>
            </w:pPr>
            <w:r>
              <w:rPr>
                <w:rFonts w:hint="default" w:ascii="Times New Roman" w:hAnsi="Times New Roman" w:cs="Times New Roman"/>
                <w:b w:val="0"/>
                <w:bCs w:val="0"/>
                <w:color w:val="000000"/>
                <w:highlight w:val="none"/>
              </w:rPr>
              <w:t>本项目</w:t>
            </w:r>
            <w:r>
              <w:rPr>
                <w:rFonts w:hint="default" w:ascii="Times New Roman" w:hAnsi="Times New Roman" w:cs="Times New Roman"/>
                <w:b w:val="0"/>
                <w:bCs w:val="0"/>
                <w:color w:val="000000"/>
                <w:highlight w:val="none"/>
                <w:lang w:val="en-US" w:eastAsia="zh-CN"/>
              </w:rPr>
              <w:t>卸渔区</w:t>
            </w:r>
            <w:r>
              <w:rPr>
                <w:rFonts w:hint="default" w:ascii="Times New Roman" w:hAnsi="Times New Roman" w:cs="Times New Roman"/>
                <w:b w:val="0"/>
                <w:bCs w:val="0"/>
                <w:color w:val="000000"/>
                <w:highlight w:val="none"/>
              </w:rPr>
              <w:t>每天均进行</w:t>
            </w:r>
            <w:r>
              <w:rPr>
                <w:rFonts w:hint="default" w:ascii="Times New Roman" w:hAnsi="Times New Roman" w:cs="Times New Roman"/>
                <w:b w:val="0"/>
                <w:bCs w:val="0"/>
                <w:color w:val="000000"/>
                <w:highlight w:val="none"/>
                <w:lang w:val="en-US" w:eastAsia="zh-CN"/>
              </w:rPr>
              <w:t>冲洗</w:t>
            </w:r>
            <w:r>
              <w:rPr>
                <w:rFonts w:hint="default" w:ascii="Times New Roman" w:hAnsi="Times New Roman" w:cs="Times New Roman"/>
                <w:b w:val="0"/>
                <w:bCs w:val="0"/>
                <w:color w:val="000000"/>
                <w:highlight w:val="none"/>
              </w:rPr>
              <w:t>，渔货废弃物每日清运，恶臭气体产生量较少。</w:t>
            </w:r>
            <w:r>
              <w:rPr>
                <w:rFonts w:hint="default" w:ascii="Times New Roman" w:hAnsi="Times New Roman" w:cs="Times New Roman"/>
                <w:color w:val="000000"/>
                <w:highlight w:val="none"/>
                <w:lang w:eastAsia="zh-CN"/>
              </w:rPr>
              <w:t>项目区周边地势较低，位于岸边大气流动性较好，排放的恶臭气体很快被扩散稀释，距离居民区较远，对周边居民的影响较小。</w:t>
            </w:r>
          </w:p>
          <w:p w14:paraId="37648031">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eastAsia="宋体" w:cs="Times New Roman"/>
                <w:b/>
                <w:bCs/>
                <w:color w:val="000000"/>
                <w:highlight w:val="none"/>
                <w:lang w:val="en-US" w:eastAsia="zh-CN"/>
              </w:rPr>
            </w:pPr>
            <w:r>
              <w:rPr>
                <w:rFonts w:hint="default" w:ascii="Times New Roman" w:hAnsi="Times New Roman" w:cs="Times New Roman"/>
                <w:b/>
                <w:bCs/>
                <w:color w:val="000000"/>
                <w:highlight w:val="none"/>
              </w:rPr>
              <w:t>（3）港区自建污水处理站恶臭</w:t>
            </w:r>
            <w:r>
              <w:rPr>
                <w:rFonts w:hint="default" w:ascii="Times New Roman" w:hAnsi="Times New Roman" w:cs="Times New Roman"/>
                <w:b/>
                <w:bCs/>
                <w:color w:val="000000"/>
                <w:highlight w:val="none"/>
                <w:lang w:val="en-US" w:eastAsia="zh-CN"/>
              </w:rPr>
              <w:t>气体</w:t>
            </w:r>
          </w:p>
          <w:p w14:paraId="077B5D10">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eastAsia="zh-CN"/>
              </w:rPr>
            </w:pPr>
            <w:r>
              <w:rPr>
                <w:rFonts w:hint="default" w:ascii="Times New Roman" w:hAnsi="Times New Roman" w:cs="Times New Roman"/>
                <w:b w:val="0"/>
                <w:bCs w:val="0"/>
                <w:color w:val="000000"/>
                <w:highlight w:val="none"/>
                <w:lang w:val="en-US" w:eastAsia="zh-CN"/>
              </w:rPr>
              <w:t>港区自建污水处理站运行过程中产生一定量的恶臭气体，主要污染物为</w:t>
            </w:r>
            <w:r>
              <w:rPr>
                <w:rFonts w:hint="default" w:ascii="Times New Roman" w:hAnsi="Times New Roman" w:cs="Times New Roman"/>
                <w:b w:val="0"/>
                <w:bCs w:val="0"/>
                <w:color w:val="000000"/>
                <w:highlight w:val="none"/>
              </w:rPr>
              <w:t>NH</w:t>
            </w:r>
            <w:r>
              <w:rPr>
                <w:rFonts w:hint="default" w:ascii="Times New Roman" w:hAnsi="Times New Roman" w:cs="Times New Roman"/>
                <w:b w:val="0"/>
                <w:bCs w:val="0"/>
                <w:color w:val="000000"/>
                <w:highlight w:val="none"/>
                <w:vertAlign w:val="subscript"/>
              </w:rPr>
              <w:t>3</w:t>
            </w:r>
            <w:r>
              <w:rPr>
                <w:rFonts w:hint="default" w:ascii="Times New Roman" w:hAnsi="Times New Roman" w:cs="Times New Roman"/>
                <w:b w:val="0"/>
                <w:bCs w:val="0"/>
                <w:color w:val="000000"/>
                <w:highlight w:val="none"/>
              </w:rPr>
              <w:t>、H</w:t>
            </w:r>
            <w:r>
              <w:rPr>
                <w:rFonts w:hint="default" w:ascii="Times New Roman" w:hAnsi="Times New Roman" w:cs="Times New Roman"/>
                <w:b w:val="0"/>
                <w:bCs w:val="0"/>
                <w:color w:val="000000"/>
                <w:highlight w:val="none"/>
                <w:vertAlign w:val="subscript"/>
              </w:rPr>
              <w:t>2</w:t>
            </w:r>
            <w:r>
              <w:rPr>
                <w:rFonts w:hint="default" w:ascii="Times New Roman" w:hAnsi="Times New Roman" w:cs="Times New Roman"/>
                <w:b w:val="0"/>
                <w:bCs w:val="0"/>
                <w:color w:val="000000"/>
                <w:highlight w:val="none"/>
              </w:rPr>
              <w:t>S等</w:t>
            </w:r>
            <w:r>
              <w:rPr>
                <w:rFonts w:hint="default" w:ascii="Times New Roman" w:hAnsi="Times New Roman" w:cs="Times New Roman"/>
                <w:b w:val="0"/>
                <w:bCs w:val="0"/>
                <w:color w:val="000000"/>
                <w:highlight w:val="none"/>
                <w:lang w:eastAsia="zh-CN"/>
              </w:rPr>
              <w:t>，</w:t>
            </w:r>
            <w:r>
              <w:rPr>
                <w:rFonts w:hint="default" w:ascii="Times New Roman" w:hAnsi="Times New Roman" w:cs="Times New Roman"/>
                <w:b w:val="0"/>
                <w:bCs w:val="0"/>
                <w:color w:val="000000"/>
                <w:highlight w:val="none"/>
                <w:lang w:val="en-US" w:eastAsia="zh-CN"/>
              </w:rPr>
              <w:t>污水处理站采用生化处理工艺，臭气主要来源于格栅、调节池、生化池等构筑物，本评价将</w:t>
            </w:r>
            <w:r>
              <w:rPr>
                <w:rFonts w:hint="default" w:ascii="Times New Roman" w:hAnsi="Times New Roman" w:cs="Times New Roman"/>
                <w:b w:val="0"/>
                <w:bCs w:val="0"/>
                <w:color w:val="000000"/>
                <w:highlight w:val="none"/>
              </w:rPr>
              <w:t>NH</w:t>
            </w:r>
            <w:r>
              <w:rPr>
                <w:rFonts w:hint="default" w:ascii="Times New Roman" w:hAnsi="Times New Roman" w:cs="Times New Roman"/>
                <w:b w:val="0"/>
                <w:bCs w:val="0"/>
                <w:color w:val="000000"/>
                <w:highlight w:val="none"/>
                <w:vertAlign w:val="subscript"/>
              </w:rPr>
              <w:t>3</w:t>
            </w:r>
            <w:r>
              <w:rPr>
                <w:rFonts w:hint="default" w:ascii="Times New Roman" w:hAnsi="Times New Roman" w:cs="Times New Roman"/>
                <w:b w:val="0"/>
                <w:bCs w:val="0"/>
                <w:color w:val="000000"/>
                <w:highlight w:val="none"/>
              </w:rPr>
              <w:t>、H</w:t>
            </w:r>
            <w:r>
              <w:rPr>
                <w:rFonts w:hint="default" w:ascii="Times New Roman" w:hAnsi="Times New Roman" w:cs="Times New Roman"/>
                <w:b w:val="0"/>
                <w:bCs w:val="0"/>
                <w:color w:val="000000"/>
                <w:highlight w:val="none"/>
                <w:vertAlign w:val="subscript"/>
              </w:rPr>
              <w:t>2</w:t>
            </w:r>
            <w:r>
              <w:rPr>
                <w:rFonts w:hint="default" w:ascii="Times New Roman" w:hAnsi="Times New Roman" w:cs="Times New Roman"/>
                <w:b w:val="0"/>
                <w:bCs w:val="0"/>
                <w:color w:val="000000"/>
                <w:highlight w:val="none"/>
              </w:rPr>
              <w:t>S</w:t>
            </w:r>
            <w:r>
              <w:rPr>
                <w:rFonts w:hint="default" w:ascii="Times New Roman" w:hAnsi="Times New Roman" w:cs="Times New Roman"/>
                <w:b w:val="0"/>
                <w:bCs w:val="0"/>
                <w:color w:val="000000"/>
                <w:highlight w:val="none"/>
                <w:lang w:val="en-US" w:eastAsia="zh-CN"/>
              </w:rPr>
              <w:t>作为特征恶臭污染物来评价污水处理设施恶臭的影响，</w:t>
            </w:r>
            <w:r>
              <w:rPr>
                <w:rFonts w:hint="default" w:ascii="Times New Roman" w:hAnsi="Times New Roman" w:cs="Times New Roman"/>
                <w:b w:val="0"/>
                <w:bCs w:val="0"/>
                <w:color w:val="000000"/>
                <w:highlight w:val="none"/>
              </w:rPr>
              <w:t>根据对相关污水处理厂的类比调查及美国EPA对城市污</w:t>
            </w:r>
            <w:r>
              <w:rPr>
                <w:rFonts w:hint="default" w:ascii="Times New Roman" w:hAnsi="Times New Roman" w:cs="Times New Roman"/>
                <w:color w:val="000000"/>
                <w:highlight w:val="none"/>
              </w:rPr>
              <w:t>水处理厂恶臭污染物产生情况的研究，每去除1g的BOD</w:t>
            </w:r>
            <w:r>
              <w:rPr>
                <w:rFonts w:hint="default" w:ascii="Times New Roman" w:hAnsi="Times New Roman" w:cs="Times New Roman"/>
                <w:color w:val="000000"/>
                <w:highlight w:val="none"/>
                <w:vertAlign w:val="subscript"/>
                <w:lang w:val="en-US" w:eastAsia="zh-CN"/>
              </w:rPr>
              <w:t>5</w:t>
            </w:r>
            <w:r>
              <w:rPr>
                <w:rFonts w:hint="default" w:ascii="Times New Roman" w:hAnsi="Times New Roman" w:cs="Times New Roman"/>
                <w:color w:val="000000"/>
                <w:highlight w:val="none"/>
              </w:rPr>
              <w:t>，可产生0.0031g的NH</w:t>
            </w:r>
            <w:r>
              <w:rPr>
                <w:rFonts w:hint="default" w:ascii="Times New Roman" w:hAnsi="Times New Roman" w:cs="Times New Roman"/>
                <w:color w:val="000000"/>
                <w:highlight w:val="none"/>
                <w:vertAlign w:val="subscript"/>
              </w:rPr>
              <w:t>3</w:t>
            </w:r>
            <w:r>
              <w:rPr>
                <w:rFonts w:hint="default" w:ascii="Times New Roman" w:hAnsi="Times New Roman" w:cs="Times New Roman"/>
                <w:color w:val="000000"/>
                <w:highlight w:val="none"/>
              </w:rPr>
              <w:t>、0.00012g的H</w:t>
            </w:r>
            <w:r>
              <w:rPr>
                <w:rFonts w:hint="default" w:ascii="Times New Roman" w:hAnsi="Times New Roman" w:cs="Times New Roman"/>
                <w:color w:val="000000"/>
                <w:highlight w:val="none"/>
                <w:vertAlign w:val="subscript"/>
              </w:rPr>
              <w:t>2</w:t>
            </w:r>
            <w:r>
              <w:rPr>
                <w:rFonts w:hint="default" w:ascii="Times New Roman" w:hAnsi="Times New Roman" w:cs="Times New Roman"/>
                <w:color w:val="000000"/>
                <w:highlight w:val="none"/>
              </w:rPr>
              <w:t>S，由此计算，</w:t>
            </w:r>
            <w:r>
              <w:rPr>
                <w:rFonts w:hint="default" w:ascii="Times New Roman" w:hAnsi="Times New Roman" w:cs="Times New Roman"/>
                <w:color w:val="000000"/>
                <w:highlight w:val="none"/>
                <w:lang w:val="en-US" w:eastAsia="zh-CN"/>
              </w:rPr>
              <w:t>运营期污水处理站废气</w:t>
            </w:r>
            <w:r>
              <w:rPr>
                <w:rFonts w:hint="default" w:ascii="Times New Roman" w:hAnsi="Times New Roman" w:cs="Times New Roman"/>
                <w:color w:val="000000"/>
                <w:highlight w:val="none"/>
              </w:rPr>
              <w:t>产生量为NH</w:t>
            </w:r>
            <w:r>
              <w:rPr>
                <w:rFonts w:hint="default" w:ascii="Times New Roman" w:hAnsi="Times New Roman" w:cs="Times New Roman"/>
                <w:color w:val="000000"/>
                <w:highlight w:val="none"/>
                <w:vertAlign w:val="subscript"/>
              </w:rPr>
              <w:t>3</w:t>
            </w:r>
            <w:r>
              <w:rPr>
                <w:rFonts w:hint="default" w:ascii="Times New Roman" w:hAnsi="Times New Roman" w:cs="Times New Roman"/>
                <w:color w:val="000000"/>
                <w:highlight w:val="none"/>
              </w:rPr>
              <w:t>：</w:t>
            </w:r>
            <w:r>
              <w:rPr>
                <w:rFonts w:hint="default" w:ascii="Times New Roman" w:hAnsi="Times New Roman" w:cs="Times New Roman"/>
                <w:color w:val="000000"/>
                <w:highlight w:val="none"/>
                <w:lang w:val="en-US" w:eastAsia="zh-CN"/>
              </w:rPr>
              <w:t>0.0094</w:t>
            </w:r>
            <w:r>
              <w:rPr>
                <w:rFonts w:hint="default" w:ascii="Times New Roman" w:hAnsi="Times New Roman" w:cs="Times New Roman"/>
                <w:color w:val="000000"/>
                <w:highlight w:val="none"/>
              </w:rPr>
              <w:t>t/a</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H</w:t>
            </w:r>
            <w:r>
              <w:rPr>
                <w:rFonts w:hint="default" w:ascii="Times New Roman" w:hAnsi="Times New Roman" w:cs="Times New Roman"/>
                <w:color w:val="000000"/>
                <w:highlight w:val="none"/>
                <w:vertAlign w:val="subscript"/>
              </w:rPr>
              <w:t>2</w:t>
            </w:r>
            <w:r>
              <w:rPr>
                <w:rFonts w:hint="default" w:ascii="Times New Roman" w:hAnsi="Times New Roman" w:cs="Times New Roman"/>
                <w:color w:val="000000"/>
                <w:highlight w:val="none"/>
              </w:rPr>
              <w:t>S：</w:t>
            </w:r>
            <w:r>
              <w:rPr>
                <w:rFonts w:hint="default" w:ascii="Times New Roman" w:hAnsi="Times New Roman" w:cs="Times New Roman"/>
                <w:color w:val="000000"/>
                <w:highlight w:val="none"/>
                <w:lang w:val="en-US" w:eastAsia="zh-CN"/>
              </w:rPr>
              <w:t>0.00036</w:t>
            </w:r>
            <w:r>
              <w:rPr>
                <w:rFonts w:hint="default" w:ascii="Times New Roman" w:hAnsi="Times New Roman" w:cs="Times New Roman"/>
                <w:color w:val="000000"/>
                <w:highlight w:val="none"/>
              </w:rPr>
              <w:t>t/a</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本项目污水处理站</w:t>
            </w:r>
            <w:r>
              <w:rPr>
                <w:rFonts w:hint="default" w:ascii="Times New Roman" w:hAnsi="Times New Roman" w:cs="Times New Roman"/>
                <w:color w:val="000000"/>
                <w:highlight w:val="none"/>
                <w:lang w:eastAsia="zh-CN"/>
              </w:rPr>
              <w:t>恶臭气体产生量较小，并且污水处理设施为埋地式结构，加盖密闭处理，恶臭气体不易外漏，恶臭对环境影响较小，本评价对污水处理设施产生的恶臭气体影响只做简单分析。</w:t>
            </w:r>
          </w:p>
          <w:p w14:paraId="76E70D6C">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4</w:t>
            </w: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食堂油烟</w:t>
            </w:r>
          </w:p>
          <w:p w14:paraId="022BA9B6">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本项目渔港综合管理大楼设置有食堂，运营期港区工作人员按28人计，避灾安置人员</w:t>
            </w:r>
            <w:r>
              <w:rPr>
                <w:rFonts w:hint="default" w:ascii="Times New Roman" w:hAnsi="Times New Roman" w:cs="Times New Roman"/>
                <w:color w:val="000000"/>
                <w:highlight w:val="none"/>
              </w:rPr>
              <w:t>按</w:t>
            </w:r>
            <w:r>
              <w:rPr>
                <w:rFonts w:hint="default" w:ascii="Times New Roman" w:hAnsi="Times New Roman" w:cs="Times New Roman"/>
                <w:color w:val="000000"/>
                <w:highlight w:val="none"/>
                <w:lang w:val="en-US" w:eastAsia="zh-CN"/>
              </w:rPr>
              <w:t>188</w:t>
            </w:r>
            <w:r>
              <w:rPr>
                <w:rFonts w:hint="default" w:ascii="Times New Roman" w:hAnsi="Times New Roman" w:cs="Times New Roman"/>
                <w:color w:val="000000"/>
                <w:highlight w:val="none"/>
              </w:rPr>
              <w:t>人计</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食堂每天工作4小时。</w:t>
            </w:r>
            <w:r>
              <w:rPr>
                <w:rFonts w:hint="default" w:ascii="Times New Roman" w:hAnsi="Times New Roman" w:cs="Times New Roman"/>
                <w:color w:val="000000"/>
                <w:highlight w:val="none"/>
                <w:u w:val="none"/>
                <w:lang w:val="en-US" w:eastAsia="zh-CN"/>
              </w:rPr>
              <w:t>根据《第二次全国污染源普查排放源统计调查产排污核算方法和系数手册》中“附表1生活污染源产排污系数手册”，餐饮油烟排放系数为“165克/（人·年）”，则本项目食堂油烟产生速率为0.0396kg/h。拟在食堂安装油烟净化装置，油烟去除效率按60%计，油烟净化装置的烟气量为10000m</w:t>
            </w:r>
            <w:r>
              <w:rPr>
                <w:rFonts w:hint="default" w:ascii="Times New Roman" w:hAnsi="Times New Roman" w:cs="Times New Roman"/>
                <w:color w:val="000000"/>
                <w:highlight w:val="none"/>
                <w:u w:val="none"/>
                <w:vertAlign w:val="superscript"/>
                <w:lang w:val="en-US" w:eastAsia="zh-CN"/>
              </w:rPr>
              <w:t>3</w:t>
            </w:r>
            <w:r>
              <w:rPr>
                <w:rFonts w:hint="default" w:ascii="Times New Roman" w:hAnsi="Times New Roman" w:cs="Times New Roman"/>
                <w:color w:val="000000"/>
                <w:highlight w:val="none"/>
                <w:u w:val="none"/>
                <w:lang w:val="en-US" w:eastAsia="zh-CN"/>
              </w:rPr>
              <w:t>/h，则食堂油烟的排放速率为0.0159kg/h。因此食堂油烟排放浓度为1.59mg/m</w:t>
            </w:r>
            <w:r>
              <w:rPr>
                <w:rFonts w:hint="default" w:ascii="Times New Roman" w:hAnsi="Times New Roman" w:cs="Times New Roman"/>
                <w:color w:val="000000"/>
                <w:highlight w:val="none"/>
                <w:u w:val="none"/>
                <w:vertAlign w:val="superscript"/>
                <w:lang w:val="en-US" w:eastAsia="zh-CN"/>
              </w:rPr>
              <w:t>3</w:t>
            </w:r>
            <w:r>
              <w:rPr>
                <w:rFonts w:hint="default" w:ascii="Times New Roman" w:hAnsi="Times New Roman" w:cs="Times New Roman"/>
                <w:color w:val="000000"/>
                <w:highlight w:val="none"/>
                <w:u w:val="none"/>
                <w:lang w:val="en-US" w:eastAsia="zh-CN"/>
              </w:rPr>
              <w:t>，低于《饮食业油烟排放标准》（GB18483-2001）中的2.0mg/m</w:t>
            </w:r>
            <w:r>
              <w:rPr>
                <w:rFonts w:hint="default" w:ascii="Times New Roman" w:hAnsi="Times New Roman" w:cs="Times New Roman"/>
                <w:color w:val="000000"/>
                <w:highlight w:val="none"/>
                <w:u w:val="none"/>
                <w:vertAlign w:val="superscript"/>
                <w:lang w:val="en-US" w:eastAsia="zh-CN"/>
              </w:rPr>
              <w:t>3</w:t>
            </w:r>
            <w:r>
              <w:rPr>
                <w:rFonts w:hint="default" w:ascii="Times New Roman" w:hAnsi="Times New Roman" w:cs="Times New Roman"/>
                <w:color w:val="000000"/>
                <w:highlight w:val="none"/>
                <w:u w:val="none"/>
                <w:lang w:val="en-US" w:eastAsia="zh-CN"/>
              </w:rPr>
              <w:t>。</w:t>
            </w:r>
          </w:p>
          <w:p w14:paraId="5F84F6CF">
            <w:pPr>
              <w:pStyle w:val="4"/>
              <w:bidi w:val="0"/>
              <w:rPr>
                <w:rFonts w:hint="default"/>
              </w:rPr>
            </w:pPr>
            <w:r>
              <w:rPr>
                <w:rFonts w:hint="default"/>
                <w:lang w:val="en-US" w:eastAsia="zh-CN"/>
              </w:rPr>
              <w:t>运营期噪声污染源强分析</w:t>
            </w:r>
          </w:p>
          <w:p w14:paraId="21EC59D7">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本项目运营期</w:t>
            </w:r>
            <w:r>
              <w:rPr>
                <w:rFonts w:hint="default" w:ascii="Times New Roman" w:hAnsi="Times New Roman" w:cs="Times New Roman"/>
                <w:color w:val="000000"/>
                <w:highlight w:val="none"/>
              </w:rPr>
              <w:t>噪声主要为</w:t>
            </w:r>
            <w:r>
              <w:rPr>
                <w:rFonts w:hint="default" w:ascii="Times New Roman" w:hAnsi="Times New Roman" w:cs="Times New Roman"/>
                <w:color w:val="000000"/>
                <w:highlight w:val="none"/>
                <w:lang w:val="en-US" w:eastAsia="zh-CN"/>
              </w:rPr>
              <w:t>渔船噪声、渔船装卸噪声、港内道路来往车辆产生的交通噪声。</w:t>
            </w:r>
            <w:r>
              <w:rPr>
                <w:rFonts w:hint="default" w:ascii="Times New Roman" w:hAnsi="Times New Roman" w:cs="Times New Roman"/>
                <w:b w:val="0"/>
                <w:bCs w:val="0"/>
                <w:color w:val="000000"/>
                <w:highlight w:val="none"/>
                <w:lang w:val="en-US" w:eastAsia="zh-CN"/>
              </w:rPr>
              <w:t>本工程新建码头有</w:t>
            </w:r>
            <w:r>
              <w:rPr>
                <w:rFonts w:hint="default" w:ascii="Times New Roman" w:hAnsi="Times New Roman" w:cs="Times New Roman"/>
                <w:color w:val="000000"/>
                <w:highlight w:val="none"/>
                <w:lang w:val="en-US" w:eastAsia="zh-CN"/>
              </w:rPr>
              <w:t>4个200HP渔船泊位、3个600HP渔船泊位（兼靠1艘3000吨冷藏船），卸渔码头按每泊位配置1台装卸设备，</w:t>
            </w:r>
            <w:r>
              <w:rPr>
                <w:rFonts w:hint="default" w:ascii="Times New Roman" w:hAnsi="Times New Roman" w:cs="Times New Roman"/>
                <w:color w:val="000000"/>
                <w:highlight w:val="none"/>
              </w:rPr>
              <w:t>装卸机械噪声源强为70~85dB(A)</w:t>
            </w:r>
            <w:r>
              <w:rPr>
                <w:rFonts w:hint="default" w:ascii="Times New Roman" w:hAnsi="Times New Roman" w:cs="Times New Roman"/>
                <w:color w:val="000000"/>
                <w:highlight w:val="none"/>
                <w:lang w:val="en-US" w:eastAsia="zh-CN"/>
              </w:rPr>
              <w:t>，现有二级渔港码头有4个150HP渔船泊位，采用人力作业上岸，泊位未设置装卸设备</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冷藏船装卸区包含制冷机组、柴油动力起重机、货物装卸冲击与碰撞噪声等，冷藏船装卸噪声可到</w:t>
            </w:r>
            <w:r>
              <w:rPr>
                <w:rFonts w:hint="default" w:ascii="Times New Roman" w:hAnsi="Times New Roman" w:cs="Times New Roman"/>
                <w:color w:val="000000"/>
                <w:highlight w:val="none"/>
                <w:lang w:val="en-US" w:eastAsia="zh-CN"/>
              </w:rPr>
              <w:t>90</w:t>
            </w:r>
            <w:r>
              <w:rPr>
                <w:rFonts w:hint="default" w:ascii="Times New Roman" w:hAnsi="Times New Roman" w:cs="Times New Roman"/>
                <w:color w:val="000000"/>
                <w:highlight w:val="none"/>
              </w:rPr>
              <w:t>dB(A)。车船交通噪声源强为80~85dB(A)</w:t>
            </w:r>
            <w:r>
              <w:rPr>
                <w:rFonts w:hint="default" w:ascii="Times New Roman" w:hAnsi="Times New Roman" w:cs="Times New Roman"/>
                <w:color w:val="000000"/>
                <w:highlight w:val="none"/>
                <w:lang w:eastAsia="zh-CN"/>
              </w:rPr>
              <w:t>。</w:t>
            </w:r>
          </w:p>
          <w:p w14:paraId="1A401078">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装卸机械噪声仅在渔船到港时才会产生，其余时间基本没有较强的噪声源；</w:t>
            </w:r>
            <w:r>
              <w:rPr>
                <w:rFonts w:hint="default" w:ascii="Times New Roman" w:hAnsi="Times New Roman" w:cs="Times New Roman"/>
                <w:color w:val="000000"/>
                <w:highlight w:val="none"/>
              </w:rPr>
              <w:t>船舶停靠、出港及港区车辆行驶时产生</w:t>
            </w:r>
            <w:r>
              <w:rPr>
                <w:rFonts w:hint="default" w:ascii="Times New Roman" w:hAnsi="Times New Roman" w:cs="Times New Roman"/>
                <w:color w:val="000000"/>
                <w:highlight w:val="none"/>
                <w:lang w:val="en-US" w:eastAsia="zh-CN"/>
              </w:rPr>
              <w:t>的噪声影响也是短暂的，随着其远离，噪声影响也逐渐减弱，直至消失。因此，船舶、车辆、设备运行时产生的噪声对声环境质量影响较小。</w:t>
            </w:r>
          </w:p>
          <w:p w14:paraId="2CE5B1FD">
            <w:pPr>
              <w:pStyle w:val="4"/>
              <w:bidi w:val="0"/>
              <w:rPr>
                <w:rFonts w:hint="default"/>
              </w:rPr>
            </w:pPr>
            <w:r>
              <w:rPr>
                <w:rFonts w:hint="default"/>
                <w:lang w:val="en-US" w:eastAsia="zh-CN"/>
              </w:rPr>
              <w:t>运营期固体废物污染源强分析</w:t>
            </w:r>
          </w:p>
          <w:p w14:paraId="5D601CB4">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本项目运营期产生的固体废物主要包括港区生产固废、港区生活垃圾、船舶垃圾、污水处理设施污泥。</w:t>
            </w:r>
          </w:p>
          <w:p w14:paraId="310329CF">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eastAsia="宋体" w:cs="Times New Roman"/>
                <w:b/>
                <w:bCs/>
                <w:color w:val="000000"/>
                <w:highlight w:val="none"/>
                <w:lang w:val="en-US" w:eastAsia="zh-CN"/>
              </w:rPr>
            </w:pP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1</w:t>
            </w: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港区生产固废</w:t>
            </w:r>
          </w:p>
          <w:p w14:paraId="7F16FD07">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b w:val="0"/>
                <w:bCs w:val="0"/>
                <w:color w:val="000000"/>
                <w:highlight w:val="none"/>
                <w:lang w:val="en-US" w:eastAsia="zh-CN"/>
              </w:rPr>
            </w:pPr>
            <w:r>
              <w:rPr>
                <w:rFonts w:hint="default" w:ascii="Times New Roman" w:hAnsi="Times New Roman" w:cs="Times New Roman"/>
                <w:b w:val="0"/>
                <w:bCs w:val="0"/>
                <w:color w:val="000000"/>
                <w:highlight w:val="none"/>
                <w:lang w:val="en-US" w:eastAsia="zh-CN"/>
              </w:rPr>
              <w:t>港区生产固废主要为渔产品废弃物，主要是一些海产品淘汰物（如不可食用的外壳）、鱼虾等易腐烂物。渔港渔产品废弃物产生量按卸货量的0.1%估算，本渔港设计卸港量为4.24万t，年作业天数225天，则渔产品废弃物产生量约为188.4kg/d（42.4t/a）。渔产品废弃物分拣后，可利用部分由专人清运作为饲料或加工后作为农田、果树的肥料使用，腐烂发臭部分运至城市垃圾处理厂处理。</w:t>
            </w:r>
          </w:p>
          <w:p w14:paraId="1B176C91">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eastAsia="宋体" w:cs="Times New Roman"/>
                <w:b/>
                <w:bCs/>
                <w:color w:val="000000"/>
                <w:highlight w:val="none"/>
                <w:lang w:val="en-US" w:eastAsia="zh-CN"/>
              </w:rPr>
            </w:pP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2</w:t>
            </w: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港区生活垃圾</w:t>
            </w:r>
          </w:p>
          <w:p w14:paraId="28D5CD23">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b w:val="0"/>
                <w:bCs w:val="0"/>
                <w:color w:val="000000"/>
                <w:highlight w:val="none"/>
                <w:lang w:val="en-US" w:eastAsia="zh-CN"/>
              </w:rPr>
            </w:pPr>
            <w:r>
              <w:rPr>
                <w:rFonts w:hint="default" w:ascii="Times New Roman" w:hAnsi="Times New Roman" w:cs="Times New Roman"/>
                <w:color w:val="000000"/>
                <w:highlight w:val="none"/>
              </w:rPr>
              <w:t>运营期</w:t>
            </w:r>
            <w:r>
              <w:rPr>
                <w:rFonts w:hint="default" w:ascii="Times New Roman" w:hAnsi="Times New Roman" w:cs="Times New Roman"/>
                <w:color w:val="000000"/>
                <w:highlight w:val="none"/>
                <w:lang w:val="en-US" w:eastAsia="zh-CN"/>
              </w:rPr>
              <w:t>港区</w:t>
            </w:r>
            <w:r>
              <w:rPr>
                <w:rFonts w:hint="default" w:ascii="Times New Roman" w:hAnsi="Times New Roman" w:cs="Times New Roman"/>
                <w:color w:val="000000"/>
                <w:highlight w:val="none"/>
              </w:rPr>
              <w:t>工作人员</w:t>
            </w:r>
            <w:r>
              <w:rPr>
                <w:rFonts w:hint="default" w:ascii="Times New Roman" w:hAnsi="Times New Roman" w:cs="Times New Roman"/>
                <w:color w:val="000000"/>
                <w:highlight w:val="none"/>
                <w:lang w:val="en-US" w:eastAsia="zh-CN"/>
              </w:rPr>
              <w:t>按28人计，避灾安置人员</w:t>
            </w:r>
            <w:r>
              <w:rPr>
                <w:rFonts w:hint="default" w:ascii="Times New Roman" w:hAnsi="Times New Roman" w:cs="Times New Roman"/>
                <w:color w:val="000000"/>
                <w:highlight w:val="none"/>
              </w:rPr>
              <w:t>按</w:t>
            </w:r>
            <w:r>
              <w:rPr>
                <w:rFonts w:hint="default" w:ascii="Times New Roman" w:hAnsi="Times New Roman" w:cs="Times New Roman"/>
                <w:color w:val="000000"/>
                <w:highlight w:val="none"/>
                <w:lang w:val="en-US" w:eastAsia="zh-CN"/>
              </w:rPr>
              <w:t>188</w:t>
            </w:r>
            <w:r>
              <w:rPr>
                <w:rFonts w:hint="default" w:ascii="Times New Roman" w:hAnsi="Times New Roman" w:cs="Times New Roman"/>
                <w:color w:val="000000"/>
                <w:highlight w:val="none"/>
              </w:rPr>
              <w:t>人计</w:t>
            </w:r>
            <w:r>
              <w:rPr>
                <w:rFonts w:hint="default" w:ascii="Times New Roman" w:hAnsi="Times New Roman" w:cs="Times New Roman"/>
                <w:color w:val="000000"/>
                <w:highlight w:val="none"/>
                <w:lang w:val="en-US" w:eastAsia="zh-CN"/>
              </w:rPr>
              <w:t>，</w:t>
            </w:r>
            <w:r>
              <w:rPr>
                <w:rFonts w:hint="default" w:ascii="Times New Roman" w:hAnsi="Times New Roman" w:cs="Times New Roman"/>
                <w:b w:val="0"/>
                <w:bCs w:val="0"/>
                <w:color w:val="000000"/>
                <w:highlight w:val="none"/>
              </w:rPr>
              <w:t>根据《水运工程环境保护设计规范》（JTS149-2018），陆域生活垃圾量按1.5kg/人∙</w:t>
            </w:r>
            <w:r>
              <w:rPr>
                <w:rFonts w:hint="default" w:ascii="Times New Roman" w:hAnsi="Times New Roman" w:cs="Times New Roman"/>
                <w:b w:val="0"/>
                <w:bCs w:val="0"/>
                <w:color w:val="000000"/>
                <w:highlight w:val="none"/>
                <w:lang w:val="en-US" w:eastAsia="zh-CN"/>
              </w:rPr>
              <w:t>天</w:t>
            </w:r>
            <w:r>
              <w:rPr>
                <w:rFonts w:hint="default" w:ascii="Times New Roman" w:hAnsi="Times New Roman" w:cs="Times New Roman"/>
                <w:b w:val="0"/>
                <w:bCs w:val="0"/>
                <w:color w:val="000000"/>
                <w:highlight w:val="none"/>
              </w:rPr>
              <w:t>计算</w:t>
            </w:r>
            <w:r>
              <w:rPr>
                <w:rFonts w:hint="default" w:ascii="Times New Roman" w:hAnsi="Times New Roman" w:cs="Times New Roman"/>
                <w:b w:val="0"/>
                <w:bCs w:val="0"/>
                <w:color w:val="000000"/>
                <w:highlight w:val="none"/>
                <w:lang w:eastAsia="zh-CN"/>
              </w:rPr>
              <w:t>，运营期港区生活垃圾产生量约为</w:t>
            </w:r>
            <w:r>
              <w:rPr>
                <w:rFonts w:hint="default" w:ascii="Times New Roman" w:hAnsi="Times New Roman" w:cs="Times New Roman"/>
                <w:b w:val="0"/>
                <w:bCs w:val="0"/>
                <w:color w:val="000000"/>
                <w:highlight w:val="none"/>
                <w:lang w:val="en-US" w:eastAsia="zh-CN"/>
              </w:rPr>
              <w:t>324kg</w:t>
            </w:r>
            <w:r>
              <w:rPr>
                <w:rFonts w:hint="default" w:ascii="Times New Roman" w:hAnsi="Times New Roman" w:cs="Times New Roman"/>
                <w:b w:val="0"/>
                <w:bCs w:val="0"/>
                <w:color w:val="000000"/>
                <w:highlight w:val="none"/>
                <w:lang w:eastAsia="zh-CN"/>
              </w:rPr>
              <w:t>/d</w:t>
            </w:r>
            <w:r>
              <w:rPr>
                <w:rFonts w:hint="default" w:ascii="Times New Roman" w:hAnsi="Times New Roman" w:cs="Times New Roman"/>
                <w:b w:val="0"/>
                <w:bCs w:val="0"/>
                <w:color w:val="000000"/>
                <w:highlight w:val="none"/>
                <w:lang w:val="en-US" w:eastAsia="zh-CN"/>
              </w:rPr>
              <w:t>。港区生活垃圾定点堆放，分类收集，由环卫部门每日清运处理。</w:t>
            </w:r>
          </w:p>
          <w:p w14:paraId="3CB6CA8B">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eastAsia="宋体" w:cs="Times New Roman"/>
                <w:b/>
                <w:bCs/>
                <w:color w:val="000000"/>
                <w:highlight w:val="none"/>
                <w:lang w:val="en-US" w:eastAsia="zh-CN"/>
              </w:rPr>
            </w:pP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3</w:t>
            </w: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船舶垃圾</w:t>
            </w:r>
          </w:p>
          <w:p w14:paraId="76DDE0B5">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本项目建成后每日增加200HP~900HP渔船25艘，</w:t>
            </w:r>
            <w:r>
              <w:rPr>
                <w:rFonts w:hint="default" w:ascii="Times New Roman" w:hAnsi="Times New Roman" w:cs="Times New Roman"/>
                <w:color w:val="000000"/>
                <w:highlight w:val="none"/>
              </w:rPr>
              <w:t>3000t冷藏船及10000t散货船</w:t>
            </w:r>
            <w:r>
              <w:rPr>
                <w:rFonts w:hint="default" w:ascii="Times New Roman" w:hAnsi="Times New Roman" w:cs="Times New Roman"/>
                <w:color w:val="000000"/>
                <w:highlight w:val="none"/>
                <w:lang w:val="en-US" w:eastAsia="zh-CN"/>
              </w:rPr>
              <w:t>各1艘，预计渔船工作人员约122人，</w:t>
            </w:r>
            <w:r>
              <w:rPr>
                <w:rFonts w:hint="default" w:ascii="Times New Roman" w:hAnsi="Times New Roman" w:cs="Times New Roman"/>
                <w:color w:val="000000"/>
                <w:highlight w:val="none"/>
              </w:rPr>
              <w:t>根据《水运工程环境保护设计规范》（JTS149-2018），</w:t>
            </w:r>
            <w:r>
              <w:rPr>
                <w:rFonts w:hint="default" w:ascii="Times New Roman" w:hAnsi="Times New Roman" w:cs="Times New Roman"/>
                <w:color w:val="000000"/>
                <w:highlight w:val="none"/>
                <w:lang w:val="en-US" w:eastAsia="zh-CN"/>
              </w:rPr>
              <w:t>船舶生活垃圾量按</w:t>
            </w:r>
            <w:r>
              <w:rPr>
                <w:rFonts w:hint="default" w:ascii="Times New Roman" w:hAnsi="Times New Roman" w:cs="Times New Roman"/>
                <w:color w:val="000000"/>
                <w:highlight w:val="none"/>
              </w:rPr>
              <w:t>1.5kg/人∙</w:t>
            </w:r>
            <w:r>
              <w:rPr>
                <w:rFonts w:hint="default" w:ascii="Times New Roman" w:hAnsi="Times New Roman" w:cs="Times New Roman"/>
                <w:color w:val="000000"/>
                <w:highlight w:val="none"/>
                <w:lang w:val="en-US" w:eastAsia="zh-CN"/>
              </w:rPr>
              <w:t>天</w:t>
            </w:r>
            <w:r>
              <w:rPr>
                <w:rFonts w:hint="default" w:ascii="Times New Roman" w:hAnsi="Times New Roman" w:cs="Times New Roman"/>
                <w:color w:val="000000"/>
                <w:highlight w:val="none"/>
              </w:rPr>
              <w:t>计算</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运营期船舶生活垃圾产生量约为183kg</w:t>
            </w:r>
            <w:r>
              <w:rPr>
                <w:rFonts w:hint="default" w:ascii="Times New Roman" w:hAnsi="Times New Roman" w:cs="Times New Roman"/>
                <w:color w:val="000000"/>
                <w:highlight w:val="none"/>
                <w:lang w:eastAsia="zh-CN"/>
              </w:rPr>
              <w:t>/d，</w:t>
            </w:r>
            <w:r>
              <w:rPr>
                <w:rFonts w:hint="default" w:ascii="Times New Roman" w:hAnsi="Times New Roman" w:cs="Times New Roman"/>
                <w:color w:val="000000"/>
                <w:highlight w:val="none"/>
                <w:lang w:val="en-US" w:eastAsia="zh-CN"/>
              </w:rPr>
              <w:t>年工作时间按225天计，因此船舶生活垃圾年产生量约为41.175t/a。船舶生活垃圾</w:t>
            </w:r>
            <w:r>
              <w:rPr>
                <w:rFonts w:hint="default" w:ascii="Times New Roman" w:hAnsi="Times New Roman" w:cs="Times New Roman"/>
                <w:color w:val="000000"/>
                <w:highlight w:val="none"/>
              </w:rPr>
              <w:t>由海事部门认可的船舶污染物接收单位接收处理，</w:t>
            </w:r>
            <w:r>
              <w:rPr>
                <w:rFonts w:hint="default" w:ascii="Times New Roman" w:hAnsi="Times New Roman" w:cs="Times New Roman"/>
                <w:color w:val="000000"/>
                <w:highlight w:val="none"/>
                <w:lang w:val="en-US" w:eastAsia="zh-CN"/>
              </w:rPr>
              <w:t>不在港区排放</w:t>
            </w:r>
            <w:r>
              <w:rPr>
                <w:rFonts w:hint="default" w:ascii="Times New Roman" w:hAnsi="Times New Roman" w:cs="Times New Roman"/>
                <w:color w:val="000000"/>
                <w:highlight w:val="none"/>
              </w:rPr>
              <w:t>。</w:t>
            </w:r>
          </w:p>
          <w:p w14:paraId="2B71DD26">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船舶含油垃圾主要为船舶保养维护过程中产生的废机油、含油抹布、手套等，本项目不提供船舶维修场所，船舶定期前往修造船厂进行保养，不属于本报告评价内容。</w:t>
            </w:r>
          </w:p>
          <w:p w14:paraId="58E55868">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eastAsia="宋体" w:cs="Times New Roman"/>
                <w:b/>
                <w:bCs/>
                <w:color w:val="000000"/>
                <w:highlight w:val="none"/>
                <w:lang w:val="en-US" w:eastAsia="zh-CN"/>
              </w:rPr>
            </w:pP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4</w:t>
            </w: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污水处理站污泥</w:t>
            </w:r>
          </w:p>
          <w:p w14:paraId="44C3ECFF">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污水处理站运营过</w:t>
            </w:r>
            <w:r>
              <w:rPr>
                <w:rFonts w:hint="default" w:ascii="Times New Roman" w:hAnsi="Times New Roman" w:cs="Times New Roman"/>
                <w:color w:val="000000"/>
                <w:highlight w:val="none"/>
                <w:lang w:eastAsia="zh-CN"/>
              </w:rPr>
              <w:t>程中</w:t>
            </w:r>
            <w:r>
              <w:rPr>
                <w:rFonts w:hint="default" w:ascii="Times New Roman" w:hAnsi="Times New Roman" w:cs="Times New Roman"/>
                <w:color w:val="000000"/>
                <w:highlight w:val="none"/>
              </w:rPr>
              <w:t>，将产生少量的剩余污泥，参考《厌氧-缺氧-好氧活性污泥法污水处理工程技术规范》（HJ-576-2010），本项目污泥产生量按照经验公式进行估算，以污水中的BOD</w:t>
            </w:r>
            <w:r>
              <w:rPr>
                <w:rFonts w:hint="default" w:ascii="Times New Roman" w:hAnsi="Times New Roman" w:cs="Times New Roman"/>
                <w:color w:val="000000"/>
                <w:highlight w:val="none"/>
                <w:vertAlign w:val="subscript"/>
              </w:rPr>
              <w:t>5</w:t>
            </w:r>
            <w:r>
              <w:rPr>
                <w:rFonts w:hint="default" w:ascii="Times New Roman" w:hAnsi="Times New Roman" w:cs="Times New Roman"/>
                <w:color w:val="000000"/>
                <w:highlight w:val="none"/>
              </w:rPr>
              <w:t>含量核算污泥，即：Y=Y</w:t>
            </w:r>
            <w:r>
              <w:rPr>
                <w:rFonts w:hint="default" w:ascii="Times New Roman" w:hAnsi="Times New Roman" w:cs="Times New Roman"/>
                <w:color w:val="000000"/>
                <w:highlight w:val="none"/>
                <w:vertAlign w:val="subscript"/>
              </w:rPr>
              <w:t>T</w:t>
            </w:r>
            <w:r>
              <w:rPr>
                <w:rFonts w:hint="default" w:ascii="Times New Roman" w:hAnsi="Times New Roman" w:cs="Times New Roman"/>
                <w:color w:val="000000"/>
                <w:highlight w:val="none"/>
              </w:rPr>
              <w:t>×Q×Lr</w:t>
            </w:r>
          </w:p>
          <w:p w14:paraId="5BF86F56">
            <w:pPr>
              <w:ind w:firstLine="480" w:firstLineChars="200"/>
              <w:rPr>
                <w:rFonts w:hint="default" w:ascii="Times New Roman" w:hAnsi="Times New Roman" w:cs="Times New Roman"/>
                <w:color w:val="000000"/>
                <w:highlight w:val="none"/>
              </w:rPr>
            </w:pPr>
            <w:r>
              <w:rPr>
                <w:rFonts w:hint="default" w:ascii="Times New Roman" w:hAnsi="Times New Roman" w:cs="Times New Roman"/>
                <w:color w:val="000000"/>
                <w:highlight w:val="none"/>
              </w:rPr>
              <w:t>式中：Y—绝干污泥产量，g/d；</w:t>
            </w:r>
          </w:p>
          <w:p w14:paraId="09D722DF">
            <w:pPr>
              <w:ind w:firstLine="1200" w:firstLineChars="500"/>
              <w:rPr>
                <w:rFonts w:hint="default" w:ascii="Times New Roman" w:hAnsi="Times New Roman" w:cs="Times New Roman"/>
                <w:color w:val="000000"/>
                <w:highlight w:val="none"/>
              </w:rPr>
            </w:pPr>
            <w:r>
              <w:rPr>
                <w:rFonts w:hint="default" w:ascii="Times New Roman" w:hAnsi="Times New Roman" w:cs="Times New Roman"/>
                <w:color w:val="000000"/>
                <w:highlight w:val="none"/>
              </w:rPr>
              <w:t>Q—处理量，</w:t>
            </w:r>
            <w:r>
              <w:rPr>
                <w:rFonts w:hint="default" w:ascii="Times New Roman" w:hAnsi="Times New Roman" w:cs="Times New Roman"/>
                <w:color w:val="000000"/>
                <w:highlight w:val="none"/>
                <w:lang w:val="en-US" w:eastAsia="zh-CN"/>
              </w:rPr>
              <w:t>扩建后全港区</w:t>
            </w:r>
            <w:r>
              <w:rPr>
                <w:rFonts w:hint="default" w:ascii="Times New Roman" w:hAnsi="Times New Roman" w:cs="Times New Roman"/>
                <w:color w:val="000000"/>
                <w:highlight w:val="none"/>
              </w:rPr>
              <w:t>污水处理</w:t>
            </w:r>
            <w:r>
              <w:rPr>
                <w:rFonts w:hint="default" w:ascii="Times New Roman" w:hAnsi="Times New Roman" w:cs="Times New Roman"/>
                <w:color w:val="000000"/>
                <w:highlight w:val="none"/>
                <w:lang w:val="en-US" w:eastAsia="zh-CN"/>
              </w:rPr>
              <w:t>站</w:t>
            </w:r>
            <w:r>
              <w:rPr>
                <w:rFonts w:hint="default" w:ascii="Times New Roman" w:hAnsi="Times New Roman" w:cs="Times New Roman"/>
                <w:color w:val="000000"/>
                <w:highlight w:val="none"/>
              </w:rPr>
              <w:t>废水处理量为</w:t>
            </w:r>
            <w:r>
              <w:rPr>
                <w:rFonts w:hint="default" w:ascii="Times New Roman" w:hAnsi="Times New Roman" w:cs="Times New Roman"/>
                <w:color w:val="000000"/>
                <w:highlight w:val="none"/>
                <w:lang w:val="en-US" w:eastAsia="zh-CN"/>
              </w:rPr>
              <w:t>51.66</w:t>
            </w:r>
            <w:r>
              <w:rPr>
                <w:rFonts w:hint="default" w:ascii="Times New Roman" w:hAnsi="Times New Roman" w:cs="Times New Roman"/>
                <w:color w:val="000000"/>
                <w:highlight w:val="none"/>
              </w:rPr>
              <w:t>m</w:t>
            </w:r>
            <w:r>
              <w:rPr>
                <w:rFonts w:hint="default" w:ascii="Times New Roman" w:hAnsi="Times New Roman" w:cs="Times New Roman"/>
                <w:color w:val="000000"/>
                <w:highlight w:val="none"/>
                <w:vertAlign w:val="superscript"/>
              </w:rPr>
              <w:t>3</w:t>
            </w:r>
            <w:r>
              <w:rPr>
                <w:rFonts w:hint="default" w:ascii="Times New Roman" w:hAnsi="Times New Roman" w:cs="Times New Roman"/>
                <w:color w:val="000000"/>
                <w:highlight w:val="none"/>
                <w:vertAlign w:val="baseline"/>
                <w:lang w:val="en-US" w:eastAsia="zh-CN"/>
              </w:rPr>
              <w:t>/d</w:t>
            </w:r>
            <w:r>
              <w:rPr>
                <w:rFonts w:hint="default" w:ascii="Times New Roman" w:hAnsi="Times New Roman" w:cs="Times New Roman"/>
                <w:color w:val="000000"/>
                <w:highlight w:val="none"/>
              </w:rPr>
              <w:t>；</w:t>
            </w:r>
          </w:p>
          <w:p w14:paraId="0722FD13">
            <w:pPr>
              <w:ind w:firstLine="1200" w:firstLineChars="500"/>
              <w:rPr>
                <w:rFonts w:hint="default" w:ascii="Times New Roman" w:hAnsi="Times New Roman" w:cs="Times New Roman"/>
                <w:color w:val="000000"/>
                <w:highlight w:val="none"/>
              </w:rPr>
            </w:pPr>
            <w:r>
              <w:rPr>
                <w:rFonts w:hint="default" w:ascii="Times New Roman" w:hAnsi="Times New Roman" w:cs="Times New Roman"/>
                <w:color w:val="000000"/>
                <w:highlight w:val="none"/>
              </w:rPr>
              <w:t>Lr—去除的BOD</w:t>
            </w:r>
            <w:r>
              <w:rPr>
                <w:rFonts w:hint="default" w:ascii="Times New Roman" w:hAnsi="Times New Roman" w:cs="Times New Roman"/>
                <w:color w:val="000000"/>
                <w:highlight w:val="none"/>
                <w:vertAlign w:val="subscript"/>
              </w:rPr>
              <w:t>5</w:t>
            </w:r>
            <w:r>
              <w:rPr>
                <w:rFonts w:hint="default" w:ascii="Times New Roman" w:hAnsi="Times New Roman" w:cs="Times New Roman"/>
                <w:color w:val="000000"/>
                <w:highlight w:val="none"/>
              </w:rPr>
              <w:t>浓度，去除BOD</w:t>
            </w:r>
            <w:r>
              <w:rPr>
                <w:rFonts w:hint="default" w:ascii="Times New Roman" w:hAnsi="Times New Roman" w:cs="Times New Roman"/>
                <w:color w:val="000000"/>
                <w:highlight w:val="none"/>
                <w:vertAlign w:val="subscript"/>
              </w:rPr>
              <w:t>5</w:t>
            </w:r>
            <w:r>
              <w:rPr>
                <w:rFonts w:hint="default" w:ascii="Times New Roman" w:hAnsi="Times New Roman" w:cs="Times New Roman"/>
                <w:color w:val="000000"/>
                <w:highlight w:val="none"/>
              </w:rPr>
              <w:t>浓度</w:t>
            </w:r>
            <w:r>
              <w:rPr>
                <w:rFonts w:hint="default" w:ascii="Times New Roman" w:hAnsi="Times New Roman" w:cs="Times New Roman"/>
                <w:color w:val="000000"/>
                <w:highlight w:val="none"/>
                <w:lang w:val="en-US" w:eastAsia="zh-CN"/>
              </w:rPr>
              <w:t>260</w:t>
            </w:r>
            <w:r>
              <w:rPr>
                <w:rFonts w:hint="default" w:ascii="Times New Roman" w:hAnsi="Times New Roman" w:cs="Times New Roman"/>
                <w:color w:val="000000"/>
                <w:highlight w:val="none"/>
              </w:rPr>
              <w:t>mg/L；</w:t>
            </w:r>
          </w:p>
          <w:p w14:paraId="6B1C1F9C">
            <w:pPr>
              <w:ind w:firstLine="1200" w:firstLineChars="500"/>
              <w:rPr>
                <w:rFonts w:hint="default" w:ascii="Times New Roman" w:hAnsi="Times New Roman" w:cs="Times New Roman"/>
                <w:color w:val="000000"/>
                <w:highlight w:val="none"/>
              </w:rPr>
            </w:pPr>
            <w:r>
              <w:rPr>
                <w:rFonts w:hint="default" w:ascii="Times New Roman" w:hAnsi="Times New Roman" w:cs="Times New Roman"/>
                <w:color w:val="000000"/>
                <w:highlight w:val="none"/>
              </w:rPr>
              <w:t>Y</w:t>
            </w:r>
            <w:r>
              <w:rPr>
                <w:rFonts w:hint="default" w:ascii="Times New Roman" w:hAnsi="Times New Roman" w:cs="Times New Roman"/>
                <w:color w:val="000000"/>
                <w:highlight w:val="none"/>
                <w:vertAlign w:val="subscript"/>
              </w:rPr>
              <w:t>T</w:t>
            </w:r>
            <w:r>
              <w:rPr>
                <w:rFonts w:hint="default" w:ascii="Times New Roman" w:hAnsi="Times New Roman" w:cs="Times New Roman"/>
                <w:color w:val="000000"/>
                <w:highlight w:val="none"/>
              </w:rPr>
              <w:t>—污泥产量系数，本评价取0.85。</w:t>
            </w:r>
          </w:p>
          <w:p w14:paraId="528B6850">
            <w:pPr>
              <w:ind w:firstLine="480" w:firstLineChars="200"/>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rPr>
              <w:t>经计算，</w:t>
            </w:r>
            <w:r>
              <w:rPr>
                <w:rFonts w:hint="default" w:ascii="Times New Roman" w:hAnsi="Times New Roman" w:cs="Times New Roman"/>
                <w:color w:val="000000"/>
                <w:highlight w:val="none"/>
                <w:lang w:val="en-US" w:eastAsia="zh-CN"/>
              </w:rPr>
              <w:t>全港区</w:t>
            </w:r>
            <w:r>
              <w:rPr>
                <w:rFonts w:hint="default" w:ascii="Times New Roman" w:hAnsi="Times New Roman" w:cs="Times New Roman"/>
                <w:color w:val="000000"/>
                <w:highlight w:val="none"/>
              </w:rPr>
              <w:t>污水处理</w:t>
            </w:r>
            <w:r>
              <w:rPr>
                <w:rFonts w:hint="default" w:ascii="Times New Roman" w:hAnsi="Times New Roman" w:cs="Times New Roman"/>
                <w:color w:val="000000"/>
                <w:highlight w:val="none"/>
                <w:lang w:val="en-US" w:eastAsia="zh-CN"/>
              </w:rPr>
              <w:t>站</w:t>
            </w:r>
            <w:r>
              <w:rPr>
                <w:rFonts w:hint="default" w:ascii="Times New Roman" w:hAnsi="Times New Roman" w:cs="Times New Roman"/>
                <w:color w:val="000000"/>
                <w:highlight w:val="none"/>
              </w:rPr>
              <w:t>污泥（绝干）产生量为</w:t>
            </w:r>
            <w:r>
              <w:rPr>
                <w:rFonts w:hint="default" w:ascii="Times New Roman" w:hAnsi="Times New Roman" w:cs="Times New Roman"/>
                <w:color w:val="000000"/>
                <w:highlight w:val="none"/>
                <w:lang w:val="en-US" w:eastAsia="zh-CN"/>
              </w:rPr>
              <w:t>11.41</w:t>
            </w:r>
            <w:r>
              <w:rPr>
                <w:rFonts w:hint="default" w:ascii="Times New Roman" w:hAnsi="Times New Roman" w:cs="Times New Roman"/>
                <w:color w:val="000000"/>
                <w:highlight w:val="none"/>
              </w:rPr>
              <w:t>kg/d</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2.57</w:t>
            </w:r>
            <w:r>
              <w:rPr>
                <w:rFonts w:hint="default" w:ascii="Times New Roman" w:hAnsi="Times New Roman" w:cs="Times New Roman"/>
                <w:color w:val="000000"/>
                <w:highlight w:val="none"/>
              </w:rPr>
              <w:t>t/a</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，项目污泥含水率以80%计，则项目污水处理</w:t>
            </w:r>
            <w:r>
              <w:rPr>
                <w:rFonts w:hint="default" w:ascii="Times New Roman" w:hAnsi="Times New Roman" w:cs="Times New Roman"/>
                <w:color w:val="000000"/>
                <w:highlight w:val="none"/>
                <w:lang w:val="en-US" w:eastAsia="zh-CN"/>
              </w:rPr>
              <w:t>站</w:t>
            </w:r>
            <w:r>
              <w:rPr>
                <w:rFonts w:hint="default" w:ascii="Times New Roman" w:hAnsi="Times New Roman" w:cs="Times New Roman"/>
                <w:color w:val="000000"/>
                <w:highlight w:val="none"/>
              </w:rPr>
              <w:t>污泥（含水率80%）产生量为</w:t>
            </w:r>
            <w:r>
              <w:rPr>
                <w:rFonts w:hint="default" w:ascii="Times New Roman" w:hAnsi="Times New Roman" w:cs="Times New Roman"/>
                <w:color w:val="000000"/>
                <w:highlight w:val="none"/>
                <w:lang w:val="en-US" w:eastAsia="zh-CN"/>
              </w:rPr>
              <w:t>57.06</w:t>
            </w:r>
            <w:r>
              <w:rPr>
                <w:rFonts w:hint="default" w:ascii="Times New Roman" w:hAnsi="Times New Roman" w:cs="Times New Roman"/>
                <w:color w:val="000000"/>
                <w:highlight w:val="none"/>
              </w:rPr>
              <w:t>kg/d</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12.84</w:t>
            </w:r>
            <w:r>
              <w:rPr>
                <w:rFonts w:hint="default" w:ascii="Times New Roman" w:hAnsi="Times New Roman" w:cs="Times New Roman"/>
                <w:color w:val="000000"/>
                <w:highlight w:val="none"/>
              </w:rPr>
              <w:t>t/a</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其中本次扩建</w:t>
            </w:r>
            <w:r>
              <w:rPr>
                <w:rFonts w:hint="default" w:ascii="Times New Roman" w:hAnsi="Times New Roman" w:cs="Times New Roman"/>
                <w:color w:val="000000"/>
                <w:highlight w:val="none"/>
              </w:rPr>
              <w:t>污水处理</w:t>
            </w:r>
            <w:r>
              <w:rPr>
                <w:rFonts w:hint="default" w:ascii="Times New Roman" w:hAnsi="Times New Roman" w:cs="Times New Roman"/>
                <w:color w:val="000000"/>
                <w:highlight w:val="none"/>
                <w:lang w:val="en-US" w:eastAsia="zh-CN"/>
              </w:rPr>
              <w:t>站</w:t>
            </w:r>
            <w:r>
              <w:rPr>
                <w:rFonts w:hint="default" w:ascii="Times New Roman" w:hAnsi="Times New Roman" w:cs="Times New Roman"/>
                <w:color w:val="000000"/>
                <w:highlight w:val="none"/>
              </w:rPr>
              <w:t>污泥（含水率80%）产生量为</w:t>
            </w:r>
            <w:r>
              <w:rPr>
                <w:rFonts w:hint="default" w:ascii="Times New Roman" w:hAnsi="Times New Roman" w:cs="Times New Roman"/>
                <w:color w:val="000000"/>
                <w:highlight w:val="none"/>
                <w:lang w:val="en-US" w:eastAsia="zh-CN"/>
              </w:rPr>
              <w:t>49.51</w:t>
            </w:r>
            <w:r>
              <w:rPr>
                <w:rFonts w:hint="default" w:ascii="Times New Roman" w:hAnsi="Times New Roman" w:cs="Times New Roman"/>
                <w:color w:val="000000"/>
                <w:highlight w:val="none"/>
              </w:rPr>
              <w:t>kg/d</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11.14</w:t>
            </w:r>
            <w:r>
              <w:rPr>
                <w:rFonts w:hint="default" w:ascii="Times New Roman" w:hAnsi="Times New Roman" w:cs="Times New Roman"/>
                <w:color w:val="000000"/>
                <w:highlight w:val="none"/>
              </w:rPr>
              <w:t>t/a</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污泥经压滤机脱水处理，降低含水率后外运至生活垃圾处理厂处理。</w:t>
            </w:r>
          </w:p>
          <w:p w14:paraId="116C41A9">
            <w:pPr>
              <w:pStyle w:val="4"/>
              <w:bidi w:val="0"/>
              <w:rPr>
                <w:rFonts w:hint="default"/>
              </w:rPr>
            </w:pPr>
            <w:r>
              <w:rPr>
                <w:rFonts w:hint="default"/>
                <w:lang w:val="en-US" w:eastAsia="zh-CN"/>
              </w:rPr>
              <w:t>运营期污染源汇总</w:t>
            </w:r>
          </w:p>
          <w:p w14:paraId="32478B98">
            <w:pPr>
              <w:ind w:firstLine="480" w:firstLineChars="20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本项目运营期各污染源情况汇总如下：</w:t>
            </w:r>
          </w:p>
          <w:p w14:paraId="7BD9037D">
            <w:pPr>
              <w:pStyle w:val="30"/>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4.5</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表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5</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val="en-US" w:eastAsia="zh-CN"/>
              </w:rPr>
              <w:t xml:space="preserve"> </w:t>
            </w:r>
            <w:r>
              <w:rPr>
                <w:rFonts w:hint="default" w:ascii="Times New Roman" w:hAnsi="Times New Roman" w:cs="Times New Roman"/>
                <w:color w:val="000000"/>
                <w:highlight w:val="none"/>
              </w:rPr>
              <w:t>运营期污染源情况汇总</w:t>
            </w:r>
          </w:p>
          <w:tbl>
            <w:tblPr>
              <w:tblStyle w:val="21"/>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03"/>
              <w:gridCol w:w="1779"/>
              <w:gridCol w:w="1417"/>
              <w:gridCol w:w="1243"/>
              <w:gridCol w:w="2984"/>
            </w:tblGrid>
            <w:tr w14:paraId="2D408B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blHeader/>
              </w:trPr>
              <w:tc>
                <w:tcPr>
                  <w:tcW w:w="885" w:type="dxa"/>
                  <w:noWrap w:val="0"/>
                  <w:vAlign w:val="center"/>
                </w:tcPr>
                <w:p w14:paraId="6846E02B">
                  <w:pPr>
                    <w:pStyle w:val="31"/>
                    <w:bidi w:val="0"/>
                    <w:ind w:firstLine="0" w:firstLineChars="0"/>
                    <w:jc w:val="center"/>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lang w:val="en-US" w:eastAsia="zh-CN"/>
                    </w:rPr>
                    <w:t>环境影响要素</w:t>
                  </w:r>
                </w:p>
              </w:tc>
              <w:tc>
                <w:tcPr>
                  <w:tcW w:w="2000" w:type="dxa"/>
                  <w:noWrap w:val="0"/>
                  <w:vAlign w:val="center"/>
                </w:tcPr>
                <w:p w14:paraId="53FA2DDD">
                  <w:pPr>
                    <w:pStyle w:val="31"/>
                    <w:bidi w:val="0"/>
                    <w:ind w:firstLine="0" w:firstLineChars="0"/>
                    <w:jc w:val="center"/>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lang w:val="en-US" w:eastAsia="zh-CN"/>
                    </w:rPr>
                    <w:t>污染源</w:t>
                  </w:r>
                </w:p>
              </w:tc>
              <w:tc>
                <w:tcPr>
                  <w:tcW w:w="1587" w:type="dxa"/>
                  <w:noWrap w:val="0"/>
                  <w:vAlign w:val="center"/>
                </w:tcPr>
                <w:p w14:paraId="33953C98">
                  <w:pPr>
                    <w:pStyle w:val="31"/>
                    <w:bidi w:val="0"/>
                    <w:ind w:firstLine="0" w:firstLineChars="0"/>
                    <w:jc w:val="center"/>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lang w:val="en-US" w:eastAsia="zh-CN"/>
                    </w:rPr>
                    <w:t>主要污染物</w:t>
                  </w:r>
                </w:p>
              </w:tc>
              <w:tc>
                <w:tcPr>
                  <w:tcW w:w="1388" w:type="dxa"/>
                  <w:noWrap w:val="0"/>
                  <w:vAlign w:val="center"/>
                </w:tcPr>
                <w:p w14:paraId="0FBF059E">
                  <w:pPr>
                    <w:pStyle w:val="31"/>
                    <w:bidi w:val="0"/>
                    <w:ind w:firstLine="0" w:firstLineChars="0"/>
                    <w:jc w:val="center"/>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lang w:val="en-US" w:eastAsia="zh-CN"/>
                    </w:rPr>
                    <w:t>污染物源强</w:t>
                  </w:r>
                </w:p>
              </w:tc>
              <w:tc>
                <w:tcPr>
                  <w:tcW w:w="3375" w:type="dxa"/>
                  <w:noWrap w:val="0"/>
                  <w:vAlign w:val="center"/>
                </w:tcPr>
                <w:p w14:paraId="0E0D73FB">
                  <w:pPr>
                    <w:pStyle w:val="31"/>
                    <w:bidi w:val="0"/>
                    <w:ind w:firstLine="0" w:firstLineChars="0"/>
                    <w:jc w:val="center"/>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lang w:val="en-US" w:eastAsia="zh-CN"/>
                    </w:rPr>
                    <w:t>排放方式</w:t>
                  </w:r>
                </w:p>
              </w:tc>
            </w:tr>
            <w:tr w14:paraId="1BDB24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85" w:type="dxa"/>
                  <w:vMerge w:val="restart"/>
                  <w:noWrap w:val="0"/>
                  <w:vAlign w:val="center"/>
                </w:tcPr>
                <w:p w14:paraId="2C373205">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废水</w:t>
                  </w:r>
                </w:p>
              </w:tc>
              <w:tc>
                <w:tcPr>
                  <w:tcW w:w="2000" w:type="dxa"/>
                  <w:noWrap w:val="0"/>
                  <w:vAlign w:val="center"/>
                </w:tcPr>
                <w:p w14:paraId="3DB30273">
                  <w:pPr>
                    <w:pStyle w:val="31"/>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船舶含油污水</w:t>
                  </w:r>
                </w:p>
              </w:tc>
              <w:tc>
                <w:tcPr>
                  <w:tcW w:w="1587" w:type="dxa"/>
                  <w:noWrap w:val="0"/>
                  <w:vAlign w:val="center"/>
                </w:tcPr>
                <w:p w14:paraId="1FD733D7">
                  <w:pPr>
                    <w:pStyle w:val="31"/>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石油类</w:t>
                  </w:r>
                </w:p>
              </w:tc>
              <w:tc>
                <w:tcPr>
                  <w:tcW w:w="1388" w:type="dxa"/>
                  <w:noWrap w:val="0"/>
                  <w:vAlign w:val="center"/>
                </w:tcPr>
                <w:p w14:paraId="2A7DD4F9">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7.11m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/d</w:t>
                  </w:r>
                </w:p>
              </w:tc>
              <w:tc>
                <w:tcPr>
                  <w:tcW w:w="3375" w:type="dxa"/>
                  <w:noWrap w:val="0"/>
                  <w:vAlign w:val="center"/>
                </w:tcPr>
                <w:p w14:paraId="059A7FC0">
                  <w:pPr>
                    <w:pStyle w:val="31"/>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到港船舶含油污水由海事部门认可的船舶污染物接收单位接收处理，不在港区排放。</w:t>
                  </w:r>
                </w:p>
              </w:tc>
            </w:tr>
            <w:tr w14:paraId="055EBD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85" w:type="dxa"/>
                  <w:vMerge w:val="continue"/>
                  <w:noWrap w:val="0"/>
                  <w:vAlign w:val="center"/>
                </w:tcPr>
                <w:p w14:paraId="2DEA8539">
                  <w:pPr>
                    <w:pStyle w:val="31"/>
                    <w:bidi w:val="0"/>
                    <w:rPr>
                      <w:rFonts w:hint="default" w:ascii="Times New Roman" w:hAnsi="Times New Roman" w:cs="Times New Roman"/>
                      <w:color w:val="000000"/>
                      <w:highlight w:val="none"/>
                    </w:rPr>
                  </w:pPr>
                </w:p>
              </w:tc>
              <w:tc>
                <w:tcPr>
                  <w:tcW w:w="2000" w:type="dxa"/>
                  <w:noWrap w:val="0"/>
                  <w:vAlign w:val="center"/>
                </w:tcPr>
                <w:p w14:paraId="0C385324">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船舶生活污水</w:t>
                  </w:r>
                </w:p>
              </w:tc>
              <w:tc>
                <w:tcPr>
                  <w:tcW w:w="1587" w:type="dxa"/>
                  <w:noWrap w:val="0"/>
                  <w:vAlign w:val="center"/>
                </w:tcPr>
                <w:p w14:paraId="13AEEB32">
                  <w:pPr>
                    <w:pStyle w:val="31"/>
                    <w:bidi w:val="0"/>
                    <w:rPr>
                      <w:rFonts w:hint="default" w:ascii="Times New Roman" w:hAnsi="Times New Roman" w:eastAsia="宋体" w:cs="Times New Roman"/>
                      <w:color w:val="000000"/>
                      <w:highlight w:val="none"/>
                      <w:lang w:eastAsia="zh-CN"/>
                    </w:rPr>
                  </w:pPr>
                  <w:r>
                    <w:rPr>
                      <w:rFonts w:hint="default" w:ascii="Times New Roman" w:hAnsi="Times New Roman" w:cs="Times New Roman"/>
                      <w:color w:val="000000"/>
                      <w:highlight w:val="none"/>
                    </w:rPr>
                    <w:t>COD、BOD</w:t>
                  </w:r>
                  <w:r>
                    <w:rPr>
                      <w:rFonts w:hint="default" w:ascii="Times New Roman" w:hAnsi="Times New Roman" w:cs="Times New Roman"/>
                      <w:color w:val="000000"/>
                      <w:highlight w:val="none"/>
                      <w:vertAlign w:val="subscript"/>
                    </w:rPr>
                    <w:t>5</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SS</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NH</w:t>
                  </w:r>
                  <w:r>
                    <w:rPr>
                      <w:rFonts w:hint="default" w:ascii="Times New Roman" w:hAnsi="Times New Roman" w:cs="Times New Roman"/>
                      <w:color w:val="000000"/>
                      <w:highlight w:val="none"/>
                      <w:vertAlign w:val="subscript"/>
                      <w:lang w:val="en-US" w:eastAsia="zh-CN"/>
                    </w:rPr>
                    <w:t>3</w:t>
                  </w:r>
                  <w:r>
                    <w:rPr>
                      <w:rFonts w:hint="default" w:ascii="Times New Roman" w:hAnsi="Times New Roman" w:cs="Times New Roman"/>
                      <w:color w:val="000000"/>
                      <w:highlight w:val="none"/>
                      <w:lang w:val="en-US" w:eastAsia="zh-CN"/>
                    </w:rPr>
                    <w:t>-N</w:t>
                  </w:r>
                </w:p>
              </w:tc>
              <w:tc>
                <w:tcPr>
                  <w:tcW w:w="1388" w:type="dxa"/>
                  <w:noWrap w:val="0"/>
                  <w:vAlign w:val="center"/>
                </w:tcPr>
                <w:p w14:paraId="58CD82CC">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13.6m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/d</w:t>
                  </w:r>
                </w:p>
              </w:tc>
              <w:tc>
                <w:tcPr>
                  <w:tcW w:w="3375" w:type="dxa"/>
                  <w:noWrap w:val="0"/>
                  <w:vAlign w:val="center"/>
                </w:tcPr>
                <w:p w14:paraId="26B55CB3">
                  <w:pPr>
                    <w:pStyle w:val="31"/>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到港船舶生活污水由海事部门认可的船舶污染物接收单位接收处理，不在港区排放。</w:t>
                  </w:r>
                </w:p>
              </w:tc>
            </w:tr>
            <w:tr w14:paraId="49A097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85" w:type="dxa"/>
                  <w:vMerge w:val="continue"/>
                  <w:noWrap w:val="0"/>
                  <w:vAlign w:val="center"/>
                </w:tcPr>
                <w:p w14:paraId="7BF4927F">
                  <w:pPr>
                    <w:pStyle w:val="31"/>
                    <w:bidi w:val="0"/>
                    <w:rPr>
                      <w:rFonts w:hint="default" w:ascii="Times New Roman" w:hAnsi="Times New Roman" w:cs="Times New Roman"/>
                      <w:color w:val="000000"/>
                      <w:highlight w:val="none"/>
                    </w:rPr>
                  </w:pPr>
                </w:p>
              </w:tc>
              <w:tc>
                <w:tcPr>
                  <w:tcW w:w="2000" w:type="dxa"/>
                  <w:noWrap w:val="0"/>
                  <w:vAlign w:val="center"/>
                </w:tcPr>
                <w:p w14:paraId="697A3DF5">
                  <w:pPr>
                    <w:pStyle w:val="31"/>
                    <w:bidi w:val="0"/>
                    <w:rPr>
                      <w:rFonts w:hint="default" w:ascii="Times New Roman" w:hAnsi="Times New Roman" w:cs="Times New Roman"/>
                      <w:color w:val="000000"/>
                      <w:highlight w:val="none"/>
                    </w:rPr>
                  </w:pPr>
                  <w:r>
                    <w:rPr>
                      <w:rStyle w:val="23"/>
                      <w:rFonts w:hint="default" w:ascii="Times New Roman" w:hAnsi="Times New Roman" w:cs="Times New Roman"/>
                      <w:color w:val="000000"/>
                      <w:highlight w:val="none"/>
                    </w:rPr>
                    <w:t>码头冲洗废水</w:t>
                  </w:r>
                </w:p>
              </w:tc>
              <w:tc>
                <w:tcPr>
                  <w:tcW w:w="1587" w:type="dxa"/>
                  <w:noWrap w:val="0"/>
                  <w:vAlign w:val="center"/>
                </w:tcPr>
                <w:p w14:paraId="2349FA1A">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COD、BOD</w:t>
                  </w:r>
                  <w:r>
                    <w:rPr>
                      <w:rFonts w:hint="default" w:ascii="Times New Roman" w:hAnsi="Times New Roman" w:cs="Times New Roman"/>
                      <w:color w:val="000000"/>
                      <w:highlight w:val="none"/>
                      <w:vertAlign w:val="subscript"/>
                    </w:rPr>
                    <w:t>5</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SS</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NH</w:t>
                  </w:r>
                  <w:r>
                    <w:rPr>
                      <w:rFonts w:hint="default" w:ascii="Times New Roman" w:hAnsi="Times New Roman" w:cs="Times New Roman"/>
                      <w:color w:val="000000"/>
                      <w:highlight w:val="none"/>
                      <w:vertAlign w:val="subscript"/>
                      <w:lang w:val="en-US" w:eastAsia="zh-CN"/>
                    </w:rPr>
                    <w:t>3</w:t>
                  </w:r>
                  <w:r>
                    <w:rPr>
                      <w:rFonts w:hint="default" w:ascii="Times New Roman" w:hAnsi="Times New Roman" w:cs="Times New Roman"/>
                      <w:color w:val="000000"/>
                      <w:highlight w:val="none"/>
                      <w:lang w:val="en-US" w:eastAsia="zh-CN"/>
                    </w:rPr>
                    <w:t>-N</w:t>
                  </w:r>
                </w:p>
              </w:tc>
              <w:tc>
                <w:tcPr>
                  <w:tcW w:w="1388" w:type="dxa"/>
                  <w:noWrap w:val="0"/>
                  <w:vAlign w:val="center"/>
                </w:tcPr>
                <w:p w14:paraId="19F82468">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7.48m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/d</w:t>
                  </w:r>
                </w:p>
              </w:tc>
              <w:tc>
                <w:tcPr>
                  <w:tcW w:w="3375" w:type="dxa"/>
                  <w:noWrap w:val="0"/>
                  <w:vAlign w:val="center"/>
                </w:tcPr>
                <w:p w14:paraId="56B23C00">
                  <w:pPr>
                    <w:pStyle w:val="31"/>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rPr>
                    <w:t>码头区域设置收集沟，码头作业面清洗废水经收集后，接入港区自建污水处理站处理。</w:t>
                  </w:r>
                </w:p>
              </w:tc>
            </w:tr>
            <w:tr w14:paraId="2978B5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85" w:type="dxa"/>
                  <w:vMerge w:val="continue"/>
                  <w:noWrap w:val="0"/>
                  <w:vAlign w:val="center"/>
                </w:tcPr>
                <w:p w14:paraId="58975B24">
                  <w:pPr>
                    <w:pStyle w:val="31"/>
                    <w:bidi w:val="0"/>
                    <w:rPr>
                      <w:rFonts w:hint="default" w:ascii="Times New Roman" w:hAnsi="Times New Roman" w:cs="Times New Roman"/>
                      <w:color w:val="000000"/>
                      <w:highlight w:val="none"/>
                    </w:rPr>
                  </w:pPr>
                </w:p>
              </w:tc>
              <w:tc>
                <w:tcPr>
                  <w:tcW w:w="2000" w:type="dxa"/>
                  <w:noWrap w:val="0"/>
                  <w:vAlign w:val="center"/>
                </w:tcPr>
                <w:p w14:paraId="7FADF32A">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卸渔区</w:t>
                  </w:r>
                  <w:r>
                    <w:rPr>
                      <w:rFonts w:hint="default" w:ascii="Times New Roman" w:hAnsi="Times New Roman" w:cs="Times New Roman"/>
                      <w:color w:val="000000"/>
                      <w:highlight w:val="none"/>
                      <w:lang w:eastAsia="zh-CN"/>
                    </w:rPr>
                    <w:t>冲洗废水</w:t>
                  </w:r>
                </w:p>
              </w:tc>
              <w:tc>
                <w:tcPr>
                  <w:tcW w:w="1587" w:type="dxa"/>
                  <w:noWrap w:val="0"/>
                  <w:vAlign w:val="center"/>
                </w:tcPr>
                <w:p w14:paraId="3B61B9BB">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COD、BOD</w:t>
                  </w:r>
                  <w:r>
                    <w:rPr>
                      <w:rFonts w:hint="default" w:ascii="Times New Roman" w:hAnsi="Times New Roman" w:cs="Times New Roman"/>
                      <w:color w:val="000000"/>
                      <w:highlight w:val="none"/>
                      <w:vertAlign w:val="subscript"/>
                    </w:rPr>
                    <w:t>5</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SS</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NH</w:t>
                  </w:r>
                  <w:r>
                    <w:rPr>
                      <w:rFonts w:hint="default" w:ascii="Times New Roman" w:hAnsi="Times New Roman" w:cs="Times New Roman"/>
                      <w:color w:val="000000"/>
                      <w:highlight w:val="none"/>
                      <w:vertAlign w:val="subscript"/>
                      <w:lang w:val="en-US" w:eastAsia="zh-CN"/>
                    </w:rPr>
                    <w:t>3</w:t>
                  </w:r>
                  <w:r>
                    <w:rPr>
                      <w:rFonts w:hint="default" w:ascii="Times New Roman" w:hAnsi="Times New Roman" w:cs="Times New Roman"/>
                      <w:color w:val="000000"/>
                      <w:highlight w:val="none"/>
                      <w:lang w:val="en-US" w:eastAsia="zh-CN"/>
                    </w:rPr>
                    <w:t>-N</w:t>
                  </w:r>
                </w:p>
              </w:tc>
              <w:tc>
                <w:tcPr>
                  <w:tcW w:w="1388" w:type="dxa"/>
                  <w:noWrap w:val="0"/>
                  <w:vAlign w:val="center"/>
                </w:tcPr>
                <w:p w14:paraId="22469E45">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18.99m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/d</w:t>
                  </w:r>
                </w:p>
              </w:tc>
              <w:tc>
                <w:tcPr>
                  <w:tcW w:w="3375" w:type="dxa"/>
                  <w:noWrap w:val="0"/>
                  <w:vAlign w:val="center"/>
                </w:tcPr>
                <w:p w14:paraId="4DCE4F1B">
                  <w:pPr>
                    <w:pStyle w:val="31"/>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卸渔区</w:t>
                  </w:r>
                  <w:r>
                    <w:rPr>
                      <w:rFonts w:hint="default" w:ascii="Times New Roman" w:hAnsi="Times New Roman" w:cs="Times New Roman"/>
                      <w:color w:val="000000"/>
                      <w:highlight w:val="none"/>
                    </w:rPr>
                    <w:t>域设置收集沟，</w:t>
                  </w:r>
                  <w:r>
                    <w:rPr>
                      <w:rFonts w:hint="default" w:ascii="Times New Roman" w:hAnsi="Times New Roman" w:cs="Times New Roman"/>
                      <w:color w:val="000000"/>
                      <w:highlight w:val="none"/>
                      <w:lang w:val="en-US" w:eastAsia="zh-CN"/>
                    </w:rPr>
                    <w:t>卸渔区</w:t>
                  </w:r>
                  <w:r>
                    <w:rPr>
                      <w:rFonts w:hint="default" w:ascii="Times New Roman" w:hAnsi="Times New Roman" w:cs="Times New Roman"/>
                      <w:color w:val="000000"/>
                      <w:highlight w:val="none"/>
                    </w:rPr>
                    <w:t>清洗废水经收集后，接入港区自建污水处理站处理。</w:t>
                  </w:r>
                </w:p>
              </w:tc>
            </w:tr>
            <w:tr w14:paraId="39B317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85" w:type="dxa"/>
                  <w:vMerge w:val="continue"/>
                  <w:noWrap w:val="0"/>
                  <w:vAlign w:val="center"/>
                </w:tcPr>
                <w:p w14:paraId="46381FDD">
                  <w:pPr>
                    <w:pStyle w:val="31"/>
                    <w:bidi w:val="0"/>
                    <w:rPr>
                      <w:rFonts w:hint="default" w:ascii="Times New Roman" w:hAnsi="Times New Roman" w:cs="Times New Roman"/>
                      <w:color w:val="000000"/>
                      <w:highlight w:val="none"/>
                    </w:rPr>
                  </w:pPr>
                </w:p>
              </w:tc>
              <w:tc>
                <w:tcPr>
                  <w:tcW w:w="2000" w:type="dxa"/>
                  <w:noWrap w:val="0"/>
                  <w:vAlign w:val="center"/>
                </w:tcPr>
                <w:p w14:paraId="392AFAB5">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港区生活污水</w:t>
                  </w:r>
                </w:p>
              </w:tc>
              <w:tc>
                <w:tcPr>
                  <w:tcW w:w="1587" w:type="dxa"/>
                  <w:noWrap w:val="0"/>
                  <w:vAlign w:val="center"/>
                </w:tcPr>
                <w:p w14:paraId="4E5EF23A">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COD、BOD</w:t>
                  </w:r>
                  <w:r>
                    <w:rPr>
                      <w:rFonts w:hint="default" w:ascii="Times New Roman" w:hAnsi="Times New Roman" w:cs="Times New Roman"/>
                      <w:color w:val="000000"/>
                      <w:highlight w:val="none"/>
                      <w:vertAlign w:val="subscript"/>
                    </w:rPr>
                    <w:t>5</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SS</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NH</w:t>
                  </w:r>
                  <w:r>
                    <w:rPr>
                      <w:rFonts w:hint="default" w:ascii="Times New Roman" w:hAnsi="Times New Roman" w:cs="Times New Roman"/>
                      <w:color w:val="000000"/>
                      <w:highlight w:val="none"/>
                      <w:vertAlign w:val="subscript"/>
                      <w:lang w:val="en-US" w:eastAsia="zh-CN"/>
                    </w:rPr>
                    <w:t>3</w:t>
                  </w:r>
                  <w:r>
                    <w:rPr>
                      <w:rFonts w:hint="default" w:ascii="Times New Roman" w:hAnsi="Times New Roman" w:cs="Times New Roman"/>
                      <w:color w:val="000000"/>
                      <w:highlight w:val="none"/>
                      <w:lang w:val="en-US" w:eastAsia="zh-CN"/>
                    </w:rPr>
                    <w:t>-N</w:t>
                  </w:r>
                </w:p>
              </w:tc>
              <w:tc>
                <w:tcPr>
                  <w:tcW w:w="1388" w:type="dxa"/>
                  <w:noWrap w:val="0"/>
                  <w:vAlign w:val="center"/>
                </w:tcPr>
                <w:p w14:paraId="6C68B3B2">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18.36m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/d</w:t>
                  </w:r>
                </w:p>
              </w:tc>
              <w:tc>
                <w:tcPr>
                  <w:tcW w:w="3375" w:type="dxa"/>
                  <w:noWrap w:val="0"/>
                  <w:vAlign w:val="center"/>
                </w:tcPr>
                <w:p w14:paraId="2BDC00F0">
                  <w:pPr>
                    <w:pStyle w:val="31"/>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食堂废水经隔油沉淀后，与生活污水一同经过化粪池处理后，</w:t>
                  </w:r>
                  <w:r>
                    <w:rPr>
                      <w:rFonts w:hint="default" w:ascii="Times New Roman" w:hAnsi="Times New Roman" w:cs="Times New Roman"/>
                      <w:color w:val="000000"/>
                      <w:highlight w:val="none"/>
                    </w:rPr>
                    <w:t>接入港区自建污水处理站处理</w:t>
                  </w:r>
                  <w:r>
                    <w:rPr>
                      <w:rFonts w:hint="default" w:ascii="Times New Roman" w:hAnsi="Times New Roman" w:cs="Times New Roman"/>
                      <w:color w:val="000000"/>
                      <w:highlight w:val="none"/>
                      <w:lang w:eastAsia="zh-CN"/>
                    </w:rPr>
                    <w:t>。</w:t>
                  </w:r>
                </w:p>
              </w:tc>
            </w:tr>
            <w:tr w14:paraId="1C44D5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85" w:type="dxa"/>
                  <w:vMerge w:val="restart"/>
                  <w:noWrap w:val="0"/>
                  <w:vAlign w:val="center"/>
                </w:tcPr>
                <w:p w14:paraId="122CD0BF">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废气</w:t>
                  </w:r>
                </w:p>
              </w:tc>
              <w:tc>
                <w:tcPr>
                  <w:tcW w:w="2000" w:type="dxa"/>
                  <w:noWrap w:val="0"/>
                  <w:vAlign w:val="center"/>
                </w:tcPr>
                <w:p w14:paraId="57DC43ED">
                  <w:pPr>
                    <w:pStyle w:val="31"/>
                    <w:bidi w:val="0"/>
                    <w:rPr>
                      <w:rFonts w:hint="default" w:ascii="Times New Roman" w:hAnsi="Times New Roman" w:cs="Times New Roman"/>
                      <w:color w:val="000000"/>
                      <w:highlight w:val="none"/>
                    </w:rPr>
                  </w:pPr>
                  <w:r>
                    <w:rPr>
                      <w:rFonts w:hint="default" w:ascii="Times New Roman" w:hAnsi="Times New Roman" w:cs="Times New Roman"/>
                      <w:b w:val="0"/>
                      <w:bCs w:val="0"/>
                      <w:color w:val="000000"/>
                      <w:highlight w:val="none"/>
                      <w:lang w:val="en-US" w:eastAsia="zh-CN"/>
                    </w:rPr>
                    <w:t>船舶、运输车辆燃油废气</w:t>
                  </w:r>
                </w:p>
              </w:tc>
              <w:tc>
                <w:tcPr>
                  <w:tcW w:w="1587" w:type="dxa"/>
                  <w:noWrap w:val="0"/>
                  <w:vAlign w:val="center"/>
                </w:tcPr>
                <w:p w14:paraId="114311DD">
                  <w:pPr>
                    <w:pStyle w:val="31"/>
                    <w:bidi w:val="0"/>
                    <w:rPr>
                      <w:rFonts w:hint="default" w:ascii="Times New Roman" w:hAnsi="Times New Roman" w:cs="Times New Roman"/>
                      <w:color w:val="000000"/>
                      <w:highlight w:val="none"/>
                    </w:rPr>
                  </w:pPr>
                  <w:r>
                    <w:rPr>
                      <w:rFonts w:hint="default" w:ascii="Times New Roman" w:hAnsi="Times New Roman" w:cs="Times New Roman"/>
                      <w:b w:val="0"/>
                      <w:bCs w:val="0"/>
                      <w:color w:val="000000"/>
                      <w:highlight w:val="none"/>
                      <w:lang w:val="en-US" w:eastAsia="zh-CN"/>
                    </w:rPr>
                    <w:t>SO</w:t>
                  </w:r>
                  <w:r>
                    <w:rPr>
                      <w:rFonts w:hint="default" w:ascii="Times New Roman" w:hAnsi="Times New Roman" w:cs="Times New Roman"/>
                      <w:b w:val="0"/>
                      <w:bCs w:val="0"/>
                      <w:color w:val="000000"/>
                      <w:highlight w:val="none"/>
                      <w:vertAlign w:val="subscript"/>
                      <w:lang w:val="en-US" w:eastAsia="zh-CN"/>
                    </w:rPr>
                    <w:t>2</w:t>
                  </w:r>
                  <w:r>
                    <w:rPr>
                      <w:rFonts w:hint="default" w:ascii="Times New Roman" w:hAnsi="Times New Roman" w:cs="Times New Roman"/>
                      <w:b w:val="0"/>
                      <w:bCs w:val="0"/>
                      <w:color w:val="000000"/>
                      <w:highlight w:val="none"/>
                      <w:lang w:val="en-US" w:eastAsia="zh-CN"/>
                    </w:rPr>
                    <w:t>、NO</w:t>
                  </w:r>
                  <w:r>
                    <w:rPr>
                      <w:rFonts w:hint="default" w:ascii="Times New Roman" w:hAnsi="Times New Roman" w:cs="Times New Roman"/>
                      <w:b w:val="0"/>
                      <w:bCs w:val="0"/>
                      <w:color w:val="000000"/>
                      <w:highlight w:val="none"/>
                      <w:vertAlign w:val="subscript"/>
                      <w:lang w:val="en-US" w:eastAsia="zh-CN"/>
                    </w:rPr>
                    <w:t>X</w:t>
                  </w:r>
                  <w:r>
                    <w:rPr>
                      <w:rFonts w:hint="default" w:ascii="Times New Roman" w:hAnsi="Times New Roman" w:cs="Times New Roman"/>
                      <w:b w:val="0"/>
                      <w:bCs w:val="0"/>
                      <w:color w:val="000000"/>
                      <w:highlight w:val="none"/>
                      <w:lang w:val="en-US" w:eastAsia="zh-CN"/>
                    </w:rPr>
                    <w:t>、CO、颗粒物</w:t>
                  </w:r>
                </w:p>
              </w:tc>
              <w:tc>
                <w:tcPr>
                  <w:tcW w:w="1388" w:type="dxa"/>
                  <w:noWrap w:val="0"/>
                  <w:vAlign w:val="center"/>
                </w:tcPr>
                <w:p w14:paraId="0674964B">
                  <w:pPr>
                    <w:pStyle w:val="31"/>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少量</w:t>
                  </w:r>
                </w:p>
              </w:tc>
              <w:tc>
                <w:tcPr>
                  <w:tcW w:w="3375" w:type="dxa"/>
                  <w:noWrap w:val="0"/>
                  <w:vAlign w:val="center"/>
                </w:tcPr>
                <w:p w14:paraId="52B0040E">
                  <w:pPr>
                    <w:pStyle w:val="31"/>
                    <w:bidi w:val="0"/>
                    <w:rPr>
                      <w:rFonts w:hint="default" w:ascii="Times New Roman" w:hAnsi="Times New Roman" w:eastAsia="宋体" w:cs="Times New Roman"/>
                      <w:color w:val="000000"/>
                      <w:highlight w:val="none"/>
                      <w:lang w:eastAsia="zh-CN"/>
                    </w:rPr>
                  </w:pPr>
                  <w:r>
                    <w:rPr>
                      <w:rFonts w:hint="default" w:ascii="Times New Roman" w:hAnsi="Times New Roman" w:cs="Times New Roman"/>
                      <w:color w:val="000000"/>
                      <w:highlight w:val="none"/>
                      <w:lang w:val="en-US" w:eastAsia="zh-CN"/>
                    </w:rPr>
                    <w:t>自然扩散</w:t>
                  </w:r>
                </w:p>
              </w:tc>
            </w:tr>
            <w:tr w14:paraId="3C42D1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85" w:type="dxa"/>
                  <w:vMerge w:val="continue"/>
                  <w:noWrap w:val="0"/>
                  <w:vAlign w:val="center"/>
                </w:tcPr>
                <w:p w14:paraId="3853059E">
                  <w:pPr>
                    <w:pStyle w:val="31"/>
                    <w:bidi w:val="0"/>
                    <w:rPr>
                      <w:rFonts w:hint="default" w:ascii="Times New Roman" w:hAnsi="Times New Roman" w:cs="Times New Roman"/>
                      <w:color w:val="000000"/>
                      <w:highlight w:val="none"/>
                    </w:rPr>
                  </w:pPr>
                </w:p>
              </w:tc>
              <w:tc>
                <w:tcPr>
                  <w:tcW w:w="2000" w:type="dxa"/>
                  <w:vMerge w:val="restart"/>
                  <w:noWrap w:val="0"/>
                  <w:vAlign w:val="center"/>
                </w:tcPr>
                <w:p w14:paraId="341706B2">
                  <w:pPr>
                    <w:pStyle w:val="31"/>
                    <w:bidi w:val="0"/>
                    <w:rPr>
                      <w:rFonts w:hint="default" w:ascii="Times New Roman" w:hAnsi="Times New Roman" w:cs="Times New Roman"/>
                      <w:b w:val="0"/>
                      <w:bCs w:val="0"/>
                      <w:color w:val="000000"/>
                      <w:highlight w:val="none"/>
                      <w:lang w:val="en-US" w:eastAsia="zh-CN"/>
                    </w:rPr>
                  </w:pPr>
                  <w:r>
                    <w:rPr>
                      <w:rFonts w:hint="default" w:ascii="Times New Roman" w:hAnsi="Times New Roman" w:cs="Times New Roman"/>
                      <w:b w:val="0"/>
                      <w:bCs w:val="0"/>
                      <w:color w:val="000000"/>
                      <w:highlight w:val="none"/>
                      <w:lang w:val="en-US" w:eastAsia="zh-CN"/>
                    </w:rPr>
                    <w:t>码头卸渔区恶臭</w:t>
                  </w:r>
                </w:p>
              </w:tc>
              <w:tc>
                <w:tcPr>
                  <w:tcW w:w="1587" w:type="dxa"/>
                  <w:noWrap w:val="0"/>
                  <w:vAlign w:val="center"/>
                </w:tcPr>
                <w:p w14:paraId="4EEDEE4F">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NH</w:t>
                  </w:r>
                  <w:r>
                    <w:rPr>
                      <w:rFonts w:hint="default" w:ascii="Times New Roman" w:hAnsi="Times New Roman" w:cs="Times New Roman"/>
                      <w:color w:val="000000"/>
                      <w:highlight w:val="none"/>
                      <w:vertAlign w:val="subscript"/>
                    </w:rPr>
                    <w:t>3</w:t>
                  </w:r>
                </w:p>
              </w:tc>
              <w:tc>
                <w:tcPr>
                  <w:tcW w:w="1388" w:type="dxa"/>
                  <w:noWrap w:val="0"/>
                  <w:vAlign w:val="center"/>
                </w:tcPr>
                <w:p w14:paraId="0C8B570E">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b w:val="0"/>
                      <w:bCs w:val="0"/>
                      <w:color w:val="000000"/>
                      <w:highlight w:val="none"/>
                      <w:lang w:val="en-US" w:eastAsia="zh-CN"/>
                    </w:rPr>
                    <w:t>0.0047</w:t>
                  </w:r>
                  <w:r>
                    <w:rPr>
                      <w:rFonts w:hint="default" w:ascii="Times New Roman" w:hAnsi="Times New Roman" w:cs="Times New Roman"/>
                      <w:b w:val="0"/>
                      <w:bCs w:val="0"/>
                      <w:color w:val="000000"/>
                      <w:highlight w:val="none"/>
                      <w:lang w:eastAsia="zh-CN"/>
                    </w:rPr>
                    <w:t>t/a</w:t>
                  </w:r>
                </w:p>
              </w:tc>
              <w:tc>
                <w:tcPr>
                  <w:tcW w:w="3375" w:type="dxa"/>
                  <w:vMerge w:val="restart"/>
                  <w:noWrap w:val="0"/>
                  <w:vAlign w:val="center"/>
                </w:tcPr>
                <w:p w14:paraId="196847A1">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自然扩散</w:t>
                  </w:r>
                </w:p>
              </w:tc>
            </w:tr>
            <w:tr w14:paraId="084F7A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85" w:type="dxa"/>
                  <w:vMerge w:val="continue"/>
                  <w:noWrap w:val="0"/>
                  <w:vAlign w:val="center"/>
                </w:tcPr>
                <w:p w14:paraId="6EFD0C2D">
                  <w:pPr>
                    <w:pStyle w:val="31"/>
                    <w:bidi w:val="0"/>
                    <w:rPr>
                      <w:rFonts w:hint="default" w:ascii="Times New Roman" w:hAnsi="Times New Roman" w:cs="Times New Roman"/>
                      <w:color w:val="000000"/>
                      <w:highlight w:val="none"/>
                    </w:rPr>
                  </w:pPr>
                </w:p>
              </w:tc>
              <w:tc>
                <w:tcPr>
                  <w:tcW w:w="2000" w:type="dxa"/>
                  <w:vMerge w:val="continue"/>
                  <w:noWrap w:val="0"/>
                  <w:vAlign w:val="center"/>
                </w:tcPr>
                <w:p w14:paraId="50C0A42B">
                  <w:pPr>
                    <w:pStyle w:val="31"/>
                    <w:bidi w:val="0"/>
                    <w:rPr>
                      <w:rFonts w:hint="default" w:ascii="Times New Roman" w:hAnsi="Times New Roman" w:cs="Times New Roman"/>
                      <w:b w:val="0"/>
                      <w:bCs w:val="0"/>
                      <w:color w:val="000000"/>
                      <w:highlight w:val="none"/>
                      <w:lang w:val="en-US" w:eastAsia="zh-CN"/>
                    </w:rPr>
                  </w:pPr>
                </w:p>
              </w:tc>
              <w:tc>
                <w:tcPr>
                  <w:tcW w:w="1587" w:type="dxa"/>
                  <w:noWrap w:val="0"/>
                  <w:vAlign w:val="center"/>
                </w:tcPr>
                <w:p w14:paraId="59FBBDB5">
                  <w:pPr>
                    <w:pStyle w:val="31"/>
                    <w:bidi w:val="0"/>
                    <w:rPr>
                      <w:rFonts w:hint="default" w:ascii="Times New Roman" w:hAnsi="Times New Roman" w:cs="Times New Roman"/>
                      <w:b w:val="0"/>
                      <w:bCs w:val="0"/>
                      <w:color w:val="000000"/>
                      <w:highlight w:val="none"/>
                      <w:lang w:val="en-US" w:eastAsia="zh-CN"/>
                    </w:rPr>
                  </w:pPr>
                  <w:r>
                    <w:rPr>
                      <w:rFonts w:hint="default" w:ascii="Times New Roman" w:hAnsi="Times New Roman" w:cs="Times New Roman"/>
                      <w:color w:val="000000"/>
                      <w:highlight w:val="none"/>
                    </w:rPr>
                    <w:t>H</w:t>
                  </w:r>
                  <w:r>
                    <w:rPr>
                      <w:rFonts w:hint="default" w:ascii="Times New Roman" w:hAnsi="Times New Roman" w:cs="Times New Roman"/>
                      <w:color w:val="000000"/>
                      <w:highlight w:val="none"/>
                      <w:vertAlign w:val="subscript"/>
                    </w:rPr>
                    <w:t>2</w:t>
                  </w:r>
                  <w:r>
                    <w:rPr>
                      <w:rFonts w:hint="default" w:ascii="Times New Roman" w:hAnsi="Times New Roman" w:cs="Times New Roman"/>
                      <w:color w:val="000000"/>
                      <w:highlight w:val="none"/>
                    </w:rPr>
                    <w:t>S</w:t>
                  </w:r>
                </w:p>
              </w:tc>
              <w:tc>
                <w:tcPr>
                  <w:tcW w:w="1388" w:type="dxa"/>
                  <w:noWrap w:val="0"/>
                  <w:vAlign w:val="center"/>
                </w:tcPr>
                <w:p w14:paraId="0A5004A5">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0.0005t/a</w:t>
                  </w:r>
                </w:p>
              </w:tc>
              <w:tc>
                <w:tcPr>
                  <w:tcW w:w="3375" w:type="dxa"/>
                  <w:vMerge w:val="continue"/>
                  <w:noWrap w:val="0"/>
                  <w:vAlign w:val="center"/>
                </w:tcPr>
                <w:p w14:paraId="7682AA11">
                  <w:pPr>
                    <w:pStyle w:val="31"/>
                    <w:bidi w:val="0"/>
                    <w:rPr>
                      <w:rFonts w:hint="default" w:ascii="Times New Roman" w:hAnsi="Times New Roman" w:cs="Times New Roman"/>
                      <w:color w:val="000000"/>
                      <w:highlight w:val="none"/>
                    </w:rPr>
                  </w:pPr>
                </w:p>
              </w:tc>
            </w:tr>
            <w:tr w14:paraId="5C62D2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85" w:type="dxa"/>
                  <w:vMerge w:val="continue"/>
                  <w:noWrap w:val="0"/>
                  <w:vAlign w:val="center"/>
                </w:tcPr>
                <w:p w14:paraId="2EBB2582">
                  <w:pPr>
                    <w:pStyle w:val="31"/>
                    <w:bidi w:val="0"/>
                    <w:rPr>
                      <w:rFonts w:hint="default" w:ascii="Times New Roman" w:hAnsi="Times New Roman" w:cs="Times New Roman"/>
                      <w:color w:val="000000"/>
                      <w:highlight w:val="none"/>
                    </w:rPr>
                  </w:pPr>
                </w:p>
              </w:tc>
              <w:tc>
                <w:tcPr>
                  <w:tcW w:w="2000" w:type="dxa"/>
                  <w:vMerge w:val="restart"/>
                  <w:noWrap w:val="0"/>
                  <w:vAlign w:val="center"/>
                </w:tcPr>
                <w:p w14:paraId="1AC86C21">
                  <w:pPr>
                    <w:pStyle w:val="31"/>
                    <w:bidi w:val="0"/>
                    <w:rPr>
                      <w:rFonts w:hint="default" w:ascii="Times New Roman" w:hAnsi="Times New Roman" w:eastAsia="宋体" w:cs="Times New Roman"/>
                      <w:color w:val="000000"/>
                      <w:highlight w:val="none"/>
                      <w:lang w:eastAsia="zh-CN"/>
                    </w:rPr>
                  </w:pPr>
                  <w:r>
                    <w:rPr>
                      <w:rFonts w:hint="default" w:ascii="Times New Roman" w:hAnsi="Times New Roman" w:cs="Times New Roman"/>
                      <w:color w:val="000000"/>
                      <w:highlight w:val="none"/>
                    </w:rPr>
                    <w:t>污水处理站恶臭</w:t>
                  </w:r>
                </w:p>
              </w:tc>
              <w:tc>
                <w:tcPr>
                  <w:tcW w:w="1587" w:type="dxa"/>
                  <w:noWrap w:val="0"/>
                  <w:vAlign w:val="center"/>
                </w:tcPr>
                <w:p w14:paraId="6B126292">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NH</w:t>
                  </w:r>
                  <w:r>
                    <w:rPr>
                      <w:rFonts w:hint="default" w:ascii="Times New Roman" w:hAnsi="Times New Roman" w:cs="Times New Roman"/>
                      <w:color w:val="000000"/>
                      <w:highlight w:val="none"/>
                      <w:vertAlign w:val="subscript"/>
                    </w:rPr>
                    <w:t>3</w:t>
                  </w:r>
                </w:p>
              </w:tc>
              <w:tc>
                <w:tcPr>
                  <w:tcW w:w="1388" w:type="dxa"/>
                  <w:noWrap w:val="0"/>
                  <w:vAlign w:val="center"/>
                </w:tcPr>
                <w:p w14:paraId="5663BCC1">
                  <w:pPr>
                    <w:pStyle w:val="31"/>
                    <w:bidi w:val="0"/>
                    <w:ind w:firstLine="0" w:firstLineChars="0"/>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0.0094</w:t>
                  </w:r>
                  <w:r>
                    <w:rPr>
                      <w:rFonts w:hint="default" w:ascii="Times New Roman" w:hAnsi="Times New Roman" w:cs="Times New Roman"/>
                      <w:color w:val="000000"/>
                      <w:highlight w:val="none"/>
                    </w:rPr>
                    <w:t>t/a</w:t>
                  </w:r>
                </w:p>
              </w:tc>
              <w:tc>
                <w:tcPr>
                  <w:tcW w:w="3375" w:type="dxa"/>
                  <w:vMerge w:val="restart"/>
                  <w:noWrap w:val="0"/>
                  <w:vAlign w:val="center"/>
                </w:tcPr>
                <w:p w14:paraId="61A4A7D7">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自然扩散</w:t>
                  </w:r>
                </w:p>
              </w:tc>
            </w:tr>
            <w:tr w14:paraId="2633A0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85" w:type="dxa"/>
                  <w:vMerge w:val="continue"/>
                  <w:noWrap w:val="0"/>
                  <w:vAlign w:val="center"/>
                </w:tcPr>
                <w:p w14:paraId="468D7FBE">
                  <w:pPr>
                    <w:pStyle w:val="31"/>
                    <w:bidi w:val="0"/>
                    <w:rPr>
                      <w:rFonts w:hint="default" w:ascii="Times New Roman" w:hAnsi="Times New Roman" w:cs="Times New Roman"/>
                      <w:color w:val="000000"/>
                      <w:highlight w:val="none"/>
                    </w:rPr>
                  </w:pPr>
                </w:p>
              </w:tc>
              <w:tc>
                <w:tcPr>
                  <w:tcW w:w="2000" w:type="dxa"/>
                  <w:vMerge w:val="continue"/>
                  <w:noWrap w:val="0"/>
                  <w:vAlign w:val="center"/>
                </w:tcPr>
                <w:p w14:paraId="121A2B17">
                  <w:pPr>
                    <w:pStyle w:val="31"/>
                    <w:bidi w:val="0"/>
                    <w:rPr>
                      <w:rFonts w:hint="default" w:ascii="Times New Roman" w:hAnsi="Times New Roman" w:cs="Times New Roman"/>
                      <w:color w:val="000000"/>
                      <w:highlight w:val="none"/>
                    </w:rPr>
                  </w:pPr>
                </w:p>
              </w:tc>
              <w:tc>
                <w:tcPr>
                  <w:tcW w:w="1587" w:type="dxa"/>
                  <w:noWrap w:val="0"/>
                  <w:vAlign w:val="center"/>
                </w:tcPr>
                <w:p w14:paraId="73C2C9E1">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H</w:t>
                  </w:r>
                  <w:r>
                    <w:rPr>
                      <w:rFonts w:hint="default" w:ascii="Times New Roman" w:hAnsi="Times New Roman" w:cs="Times New Roman"/>
                      <w:color w:val="000000"/>
                      <w:highlight w:val="none"/>
                      <w:vertAlign w:val="subscript"/>
                    </w:rPr>
                    <w:t>2</w:t>
                  </w:r>
                  <w:r>
                    <w:rPr>
                      <w:rFonts w:hint="default" w:ascii="Times New Roman" w:hAnsi="Times New Roman" w:cs="Times New Roman"/>
                      <w:color w:val="000000"/>
                      <w:highlight w:val="none"/>
                    </w:rPr>
                    <w:t>S</w:t>
                  </w:r>
                </w:p>
              </w:tc>
              <w:tc>
                <w:tcPr>
                  <w:tcW w:w="1388" w:type="dxa"/>
                  <w:noWrap w:val="0"/>
                  <w:vAlign w:val="center"/>
                </w:tcPr>
                <w:p w14:paraId="2AA13027">
                  <w:pPr>
                    <w:pStyle w:val="31"/>
                    <w:bidi w:val="0"/>
                    <w:ind w:firstLine="0" w:firstLineChars="0"/>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0.00036</w:t>
                  </w:r>
                  <w:r>
                    <w:rPr>
                      <w:rFonts w:hint="default" w:ascii="Times New Roman" w:hAnsi="Times New Roman" w:cs="Times New Roman"/>
                      <w:color w:val="000000"/>
                      <w:highlight w:val="none"/>
                    </w:rPr>
                    <w:t>t/a</w:t>
                  </w:r>
                </w:p>
              </w:tc>
              <w:tc>
                <w:tcPr>
                  <w:tcW w:w="3375" w:type="dxa"/>
                  <w:vMerge w:val="continue"/>
                  <w:noWrap w:val="0"/>
                  <w:vAlign w:val="center"/>
                </w:tcPr>
                <w:p w14:paraId="33FAB635">
                  <w:pPr>
                    <w:pStyle w:val="31"/>
                    <w:bidi w:val="0"/>
                    <w:rPr>
                      <w:rFonts w:hint="default" w:ascii="Times New Roman" w:hAnsi="Times New Roman" w:cs="Times New Roman"/>
                      <w:color w:val="000000"/>
                      <w:highlight w:val="none"/>
                    </w:rPr>
                  </w:pPr>
                </w:p>
              </w:tc>
            </w:tr>
            <w:tr w14:paraId="038C8C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85" w:type="dxa"/>
                  <w:vMerge w:val="continue"/>
                  <w:noWrap w:val="0"/>
                  <w:vAlign w:val="center"/>
                </w:tcPr>
                <w:p w14:paraId="5786C8BC">
                  <w:pPr>
                    <w:pStyle w:val="31"/>
                    <w:bidi w:val="0"/>
                    <w:rPr>
                      <w:rFonts w:hint="default" w:ascii="Times New Roman" w:hAnsi="Times New Roman" w:cs="Times New Roman"/>
                      <w:color w:val="000000"/>
                      <w:highlight w:val="none"/>
                    </w:rPr>
                  </w:pPr>
                </w:p>
              </w:tc>
              <w:tc>
                <w:tcPr>
                  <w:tcW w:w="2000" w:type="dxa"/>
                  <w:noWrap w:val="0"/>
                  <w:vAlign w:val="center"/>
                </w:tcPr>
                <w:p w14:paraId="734AE2C6">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食堂油烟</w:t>
                  </w:r>
                </w:p>
              </w:tc>
              <w:tc>
                <w:tcPr>
                  <w:tcW w:w="1587" w:type="dxa"/>
                  <w:noWrap w:val="0"/>
                  <w:vAlign w:val="center"/>
                </w:tcPr>
                <w:p w14:paraId="4AF0F90D">
                  <w:pPr>
                    <w:pStyle w:val="31"/>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油烟</w:t>
                  </w:r>
                </w:p>
              </w:tc>
              <w:tc>
                <w:tcPr>
                  <w:tcW w:w="1388" w:type="dxa"/>
                  <w:noWrap w:val="0"/>
                  <w:vAlign w:val="center"/>
                </w:tcPr>
                <w:p w14:paraId="7ADA950E">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u w:val="none"/>
                      <w:lang w:val="en-US" w:eastAsia="zh-CN"/>
                    </w:rPr>
                    <w:t>0.0159kg/h</w:t>
                  </w:r>
                </w:p>
              </w:tc>
              <w:tc>
                <w:tcPr>
                  <w:tcW w:w="3375" w:type="dxa"/>
                  <w:noWrap w:val="0"/>
                  <w:vAlign w:val="center"/>
                </w:tcPr>
                <w:p w14:paraId="5E70C4B3">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u w:val="none"/>
                      <w:lang w:val="en-US" w:eastAsia="zh-CN"/>
                    </w:rPr>
                    <w:t>经油烟净化装置处理后至屋顶天面排放。</w:t>
                  </w:r>
                </w:p>
              </w:tc>
            </w:tr>
            <w:tr w14:paraId="1F6120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85" w:type="dxa"/>
                  <w:noWrap w:val="0"/>
                  <w:vAlign w:val="center"/>
                </w:tcPr>
                <w:p w14:paraId="4DF1CE60">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噪声</w:t>
                  </w:r>
                </w:p>
              </w:tc>
              <w:tc>
                <w:tcPr>
                  <w:tcW w:w="3587" w:type="dxa"/>
                  <w:gridSpan w:val="2"/>
                  <w:noWrap w:val="0"/>
                  <w:vAlign w:val="center"/>
                </w:tcPr>
                <w:p w14:paraId="00F51762">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渔船、车辆、机械</w:t>
                  </w:r>
                  <w:r>
                    <w:rPr>
                      <w:rFonts w:hint="default" w:ascii="Times New Roman" w:hAnsi="Times New Roman" w:cs="Times New Roman"/>
                      <w:color w:val="000000"/>
                      <w:highlight w:val="none"/>
                    </w:rPr>
                    <w:t>噪声</w:t>
                  </w:r>
                </w:p>
              </w:tc>
              <w:tc>
                <w:tcPr>
                  <w:tcW w:w="1388" w:type="dxa"/>
                  <w:noWrap w:val="0"/>
                  <w:vAlign w:val="center"/>
                </w:tcPr>
                <w:p w14:paraId="0FD29D1D">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70~90</w:t>
                  </w:r>
                  <w:r>
                    <w:rPr>
                      <w:rFonts w:hint="default" w:ascii="Times New Roman" w:hAnsi="Times New Roman" w:cs="Times New Roman"/>
                      <w:color w:val="000000"/>
                      <w:highlight w:val="none"/>
                    </w:rPr>
                    <w:t>dB(A)</w:t>
                  </w:r>
                </w:p>
              </w:tc>
              <w:tc>
                <w:tcPr>
                  <w:tcW w:w="3375" w:type="dxa"/>
                  <w:noWrap w:val="0"/>
                  <w:vAlign w:val="center"/>
                </w:tcPr>
                <w:p w14:paraId="4DC6E382">
                  <w:pPr>
                    <w:pStyle w:val="31"/>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自然衰减</w:t>
                  </w:r>
                </w:p>
              </w:tc>
            </w:tr>
            <w:tr w14:paraId="4450A6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85" w:type="dxa"/>
                  <w:vMerge w:val="restart"/>
                  <w:noWrap w:val="0"/>
                  <w:vAlign w:val="center"/>
                </w:tcPr>
                <w:p w14:paraId="40094A31">
                  <w:pPr>
                    <w:pStyle w:val="31"/>
                    <w:bidi w:val="0"/>
                    <w:ind w:firstLine="0" w:firstLineChars="0"/>
                    <w:rPr>
                      <w:rFonts w:hint="default" w:ascii="Times New Roman" w:hAnsi="Times New Roman" w:cs="Times New Roman"/>
                      <w:color w:val="000000"/>
                      <w:highlight w:val="none"/>
                    </w:rPr>
                  </w:pPr>
                  <w:r>
                    <w:rPr>
                      <w:rFonts w:hint="default" w:ascii="Times New Roman" w:hAnsi="Times New Roman" w:cs="Times New Roman"/>
                      <w:color w:val="000000"/>
                      <w:highlight w:val="none"/>
                    </w:rPr>
                    <w:t>固体废物</w:t>
                  </w:r>
                </w:p>
              </w:tc>
              <w:tc>
                <w:tcPr>
                  <w:tcW w:w="3587" w:type="dxa"/>
                  <w:gridSpan w:val="2"/>
                  <w:noWrap w:val="0"/>
                  <w:vAlign w:val="center"/>
                </w:tcPr>
                <w:p w14:paraId="04A6DC37">
                  <w:pPr>
                    <w:pStyle w:val="31"/>
                    <w:bidi w:val="0"/>
                    <w:ind w:firstLine="0" w:firstLineChars="0"/>
                    <w:rPr>
                      <w:rFonts w:hint="default" w:ascii="Times New Roman" w:hAnsi="Times New Roman" w:cs="Times New Roman"/>
                      <w:color w:val="000000"/>
                      <w:highlight w:val="none"/>
                    </w:rPr>
                  </w:pPr>
                  <w:r>
                    <w:rPr>
                      <w:rFonts w:hint="default" w:ascii="Times New Roman" w:hAnsi="Times New Roman" w:cs="Times New Roman"/>
                      <w:b w:val="0"/>
                      <w:bCs w:val="0"/>
                      <w:color w:val="000000"/>
                      <w:highlight w:val="none"/>
                      <w:lang w:val="en-US" w:eastAsia="zh-CN"/>
                    </w:rPr>
                    <w:t>港区生产固废（渔产品废弃物）</w:t>
                  </w:r>
                </w:p>
              </w:tc>
              <w:tc>
                <w:tcPr>
                  <w:tcW w:w="1388" w:type="dxa"/>
                  <w:noWrap w:val="0"/>
                  <w:vAlign w:val="center"/>
                </w:tcPr>
                <w:p w14:paraId="2AF87762">
                  <w:pPr>
                    <w:pStyle w:val="31"/>
                    <w:bidi w:val="0"/>
                    <w:ind w:firstLine="0" w:firstLineChars="0"/>
                    <w:rPr>
                      <w:rFonts w:hint="default" w:ascii="Times New Roman" w:hAnsi="Times New Roman" w:cs="Times New Roman"/>
                      <w:color w:val="000000"/>
                      <w:highlight w:val="none"/>
                    </w:rPr>
                  </w:pPr>
                  <w:r>
                    <w:rPr>
                      <w:rFonts w:hint="default" w:ascii="Times New Roman" w:hAnsi="Times New Roman" w:cs="Times New Roman"/>
                      <w:b w:val="0"/>
                      <w:bCs w:val="0"/>
                      <w:color w:val="000000"/>
                      <w:highlight w:val="none"/>
                      <w:lang w:val="en-US" w:eastAsia="zh-CN"/>
                    </w:rPr>
                    <w:t>188.4kg/d</w:t>
                  </w:r>
                </w:p>
              </w:tc>
              <w:tc>
                <w:tcPr>
                  <w:tcW w:w="3375" w:type="dxa"/>
                  <w:noWrap w:val="0"/>
                  <w:vAlign w:val="center"/>
                </w:tcPr>
                <w:p w14:paraId="464DE171">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b w:val="0"/>
                      <w:bCs w:val="0"/>
                      <w:color w:val="000000"/>
                      <w:highlight w:val="none"/>
                      <w:lang w:val="en-US" w:eastAsia="zh-CN"/>
                    </w:rPr>
                    <w:t>可利用部分由专人清运作为饲料或加工后作为农田、果树的肥料使用，腐烂发臭部分运至城市垃圾处理厂处理。</w:t>
                  </w:r>
                </w:p>
              </w:tc>
            </w:tr>
            <w:tr w14:paraId="087B61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85" w:type="dxa"/>
                  <w:vMerge w:val="continue"/>
                  <w:noWrap w:val="0"/>
                  <w:vAlign w:val="center"/>
                </w:tcPr>
                <w:p w14:paraId="0242D207">
                  <w:pPr>
                    <w:pStyle w:val="31"/>
                    <w:bidi w:val="0"/>
                    <w:ind w:firstLine="0" w:firstLineChars="0"/>
                    <w:rPr>
                      <w:rFonts w:hint="default" w:ascii="Times New Roman" w:hAnsi="Times New Roman" w:cs="Times New Roman"/>
                      <w:color w:val="000000"/>
                      <w:highlight w:val="none"/>
                    </w:rPr>
                  </w:pPr>
                </w:p>
              </w:tc>
              <w:tc>
                <w:tcPr>
                  <w:tcW w:w="3587" w:type="dxa"/>
                  <w:gridSpan w:val="2"/>
                  <w:noWrap w:val="0"/>
                  <w:vAlign w:val="center"/>
                </w:tcPr>
                <w:p w14:paraId="581A4BA8">
                  <w:pPr>
                    <w:pStyle w:val="31"/>
                    <w:bidi w:val="0"/>
                    <w:ind w:firstLine="0" w:firstLineChars="0"/>
                    <w:rPr>
                      <w:rFonts w:hint="default" w:ascii="Times New Roman" w:hAnsi="Times New Roman" w:cs="Times New Roman"/>
                      <w:color w:val="000000"/>
                      <w:highlight w:val="none"/>
                    </w:rPr>
                  </w:pPr>
                  <w:r>
                    <w:rPr>
                      <w:rFonts w:hint="default" w:ascii="Times New Roman" w:hAnsi="Times New Roman" w:cs="Times New Roman"/>
                      <w:b w:val="0"/>
                      <w:bCs w:val="0"/>
                      <w:color w:val="000000"/>
                      <w:highlight w:val="none"/>
                      <w:lang w:val="en-US" w:eastAsia="zh-CN"/>
                    </w:rPr>
                    <w:t>港区生活垃圾</w:t>
                  </w:r>
                </w:p>
              </w:tc>
              <w:tc>
                <w:tcPr>
                  <w:tcW w:w="1388" w:type="dxa"/>
                  <w:noWrap w:val="0"/>
                  <w:vAlign w:val="center"/>
                </w:tcPr>
                <w:p w14:paraId="6CD6900B">
                  <w:pPr>
                    <w:pStyle w:val="31"/>
                    <w:bidi w:val="0"/>
                    <w:ind w:firstLine="0" w:firstLineChars="0"/>
                    <w:rPr>
                      <w:rFonts w:hint="default" w:ascii="Times New Roman" w:hAnsi="Times New Roman" w:cs="Times New Roman"/>
                      <w:color w:val="000000"/>
                      <w:highlight w:val="none"/>
                    </w:rPr>
                  </w:pPr>
                  <w:r>
                    <w:rPr>
                      <w:rFonts w:hint="default" w:ascii="Times New Roman" w:hAnsi="Times New Roman" w:cs="Times New Roman"/>
                      <w:b w:val="0"/>
                      <w:bCs w:val="0"/>
                      <w:color w:val="000000"/>
                      <w:highlight w:val="none"/>
                      <w:lang w:val="en-US" w:eastAsia="zh-CN"/>
                    </w:rPr>
                    <w:t>324kg</w:t>
                  </w:r>
                  <w:r>
                    <w:rPr>
                      <w:rFonts w:hint="default" w:ascii="Times New Roman" w:hAnsi="Times New Roman" w:cs="Times New Roman"/>
                      <w:b w:val="0"/>
                      <w:bCs w:val="0"/>
                      <w:color w:val="000000"/>
                      <w:highlight w:val="none"/>
                      <w:lang w:eastAsia="zh-CN"/>
                    </w:rPr>
                    <w:t>/d</w:t>
                  </w:r>
                </w:p>
              </w:tc>
              <w:tc>
                <w:tcPr>
                  <w:tcW w:w="3375" w:type="dxa"/>
                  <w:noWrap w:val="0"/>
                  <w:vAlign w:val="center"/>
                </w:tcPr>
                <w:p w14:paraId="20B0C024">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b w:val="0"/>
                      <w:bCs w:val="0"/>
                      <w:color w:val="000000"/>
                      <w:highlight w:val="none"/>
                      <w:lang w:val="en-US" w:eastAsia="zh-CN"/>
                    </w:rPr>
                    <w:t>港区生活垃圾定点堆放，分类收集，由环卫部门每日清运处理。</w:t>
                  </w:r>
                </w:p>
              </w:tc>
            </w:tr>
            <w:tr w14:paraId="67D5C8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85" w:type="dxa"/>
                  <w:vMerge w:val="continue"/>
                  <w:noWrap w:val="0"/>
                  <w:vAlign w:val="center"/>
                </w:tcPr>
                <w:p w14:paraId="67FE825C">
                  <w:pPr>
                    <w:pStyle w:val="31"/>
                    <w:bidi w:val="0"/>
                    <w:ind w:firstLine="0" w:firstLineChars="0"/>
                    <w:rPr>
                      <w:rFonts w:hint="default" w:ascii="Times New Roman" w:hAnsi="Times New Roman" w:cs="Times New Roman"/>
                      <w:color w:val="000000"/>
                      <w:highlight w:val="none"/>
                    </w:rPr>
                  </w:pPr>
                </w:p>
              </w:tc>
              <w:tc>
                <w:tcPr>
                  <w:tcW w:w="3587" w:type="dxa"/>
                  <w:gridSpan w:val="2"/>
                  <w:noWrap w:val="0"/>
                  <w:vAlign w:val="center"/>
                </w:tcPr>
                <w:p w14:paraId="6AEEACCC">
                  <w:pPr>
                    <w:pStyle w:val="31"/>
                    <w:bidi w:val="0"/>
                    <w:ind w:firstLine="0" w:firstLineChars="0"/>
                    <w:rPr>
                      <w:rFonts w:hint="default" w:ascii="Times New Roman" w:hAnsi="Times New Roman" w:cs="Times New Roman"/>
                      <w:b w:val="0"/>
                      <w:bCs w:val="0"/>
                      <w:color w:val="000000"/>
                      <w:highlight w:val="none"/>
                      <w:lang w:val="en-US" w:eastAsia="zh-CN"/>
                    </w:rPr>
                  </w:pPr>
                  <w:r>
                    <w:rPr>
                      <w:rFonts w:hint="default" w:ascii="Times New Roman" w:hAnsi="Times New Roman" w:cs="Times New Roman"/>
                      <w:color w:val="000000"/>
                      <w:highlight w:val="none"/>
                      <w:lang w:val="en-US" w:eastAsia="zh-CN"/>
                    </w:rPr>
                    <w:t>船舶生活垃圾</w:t>
                  </w:r>
                </w:p>
              </w:tc>
              <w:tc>
                <w:tcPr>
                  <w:tcW w:w="1388" w:type="dxa"/>
                  <w:noWrap w:val="0"/>
                  <w:vAlign w:val="center"/>
                </w:tcPr>
                <w:p w14:paraId="439680BB">
                  <w:pPr>
                    <w:pStyle w:val="31"/>
                    <w:bidi w:val="0"/>
                    <w:ind w:firstLine="0" w:firstLineChars="0"/>
                    <w:rPr>
                      <w:rFonts w:hint="default" w:ascii="Times New Roman" w:hAnsi="Times New Roman" w:cs="Times New Roman"/>
                      <w:b w:val="0"/>
                      <w:bCs w:val="0"/>
                      <w:color w:val="000000"/>
                      <w:highlight w:val="none"/>
                      <w:lang w:val="en-US" w:eastAsia="zh-CN"/>
                    </w:rPr>
                  </w:pPr>
                  <w:r>
                    <w:rPr>
                      <w:rFonts w:hint="default" w:ascii="Times New Roman" w:hAnsi="Times New Roman" w:cs="Times New Roman"/>
                      <w:color w:val="000000"/>
                      <w:highlight w:val="none"/>
                      <w:lang w:val="en-US" w:eastAsia="zh-CN"/>
                    </w:rPr>
                    <w:t>183kg</w:t>
                  </w:r>
                  <w:r>
                    <w:rPr>
                      <w:rFonts w:hint="default" w:ascii="Times New Roman" w:hAnsi="Times New Roman" w:cs="Times New Roman"/>
                      <w:color w:val="000000"/>
                      <w:highlight w:val="none"/>
                      <w:lang w:eastAsia="zh-CN"/>
                    </w:rPr>
                    <w:t>/d</w:t>
                  </w:r>
                </w:p>
              </w:tc>
              <w:tc>
                <w:tcPr>
                  <w:tcW w:w="3375" w:type="dxa"/>
                  <w:noWrap w:val="0"/>
                  <w:vAlign w:val="center"/>
                </w:tcPr>
                <w:p w14:paraId="353E7109">
                  <w:pPr>
                    <w:pStyle w:val="31"/>
                    <w:bidi w:val="0"/>
                    <w:ind w:firstLine="0" w:firstLineChars="0"/>
                    <w:rPr>
                      <w:rFonts w:hint="default" w:ascii="Times New Roman" w:hAnsi="Times New Roman" w:cs="Times New Roman"/>
                      <w:b w:val="0"/>
                      <w:bCs w:val="0"/>
                      <w:color w:val="000000"/>
                      <w:highlight w:val="none"/>
                      <w:lang w:val="en-US" w:eastAsia="zh-CN"/>
                    </w:rPr>
                  </w:pPr>
                  <w:r>
                    <w:rPr>
                      <w:rFonts w:hint="default" w:ascii="Times New Roman" w:hAnsi="Times New Roman" w:cs="Times New Roman"/>
                      <w:color w:val="000000"/>
                      <w:highlight w:val="none"/>
                    </w:rPr>
                    <w:t>由海事部门认可的船舶污染物接收单位接收处理，</w:t>
                  </w:r>
                  <w:r>
                    <w:rPr>
                      <w:rFonts w:hint="default" w:ascii="Times New Roman" w:hAnsi="Times New Roman" w:cs="Times New Roman"/>
                      <w:color w:val="000000"/>
                      <w:highlight w:val="none"/>
                      <w:lang w:val="en-US" w:eastAsia="zh-CN"/>
                    </w:rPr>
                    <w:t>不在港区排放</w:t>
                  </w:r>
                  <w:r>
                    <w:rPr>
                      <w:rFonts w:hint="default" w:ascii="Times New Roman" w:hAnsi="Times New Roman" w:cs="Times New Roman"/>
                      <w:color w:val="000000"/>
                      <w:highlight w:val="none"/>
                    </w:rPr>
                    <w:t>。</w:t>
                  </w:r>
                </w:p>
              </w:tc>
            </w:tr>
            <w:tr w14:paraId="559F63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85" w:type="dxa"/>
                  <w:vMerge w:val="continue"/>
                  <w:noWrap w:val="0"/>
                  <w:vAlign w:val="center"/>
                </w:tcPr>
                <w:p w14:paraId="2CF00D40">
                  <w:pPr>
                    <w:pStyle w:val="31"/>
                    <w:bidi w:val="0"/>
                    <w:ind w:firstLine="0" w:firstLineChars="0"/>
                    <w:rPr>
                      <w:rFonts w:hint="default" w:ascii="Times New Roman" w:hAnsi="Times New Roman" w:cs="Times New Roman"/>
                      <w:color w:val="000000"/>
                      <w:highlight w:val="none"/>
                    </w:rPr>
                  </w:pPr>
                </w:p>
              </w:tc>
              <w:tc>
                <w:tcPr>
                  <w:tcW w:w="3587" w:type="dxa"/>
                  <w:gridSpan w:val="2"/>
                  <w:noWrap w:val="0"/>
                  <w:vAlign w:val="center"/>
                </w:tcPr>
                <w:p w14:paraId="770350C8">
                  <w:pPr>
                    <w:pStyle w:val="31"/>
                    <w:bidi w:val="0"/>
                    <w:ind w:firstLine="0" w:firstLineChars="0"/>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污水处理站污泥</w:t>
                  </w:r>
                </w:p>
              </w:tc>
              <w:tc>
                <w:tcPr>
                  <w:tcW w:w="1388" w:type="dxa"/>
                  <w:noWrap w:val="0"/>
                  <w:vAlign w:val="center"/>
                </w:tcPr>
                <w:p w14:paraId="1EFA8834">
                  <w:pPr>
                    <w:pStyle w:val="31"/>
                    <w:bidi w:val="0"/>
                    <w:ind w:firstLine="0" w:firstLineChars="0"/>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49.51</w:t>
                  </w:r>
                  <w:r>
                    <w:rPr>
                      <w:rFonts w:hint="default" w:ascii="Times New Roman" w:hAnsi="Times New Roman" w:cs="Times New Roman"/>
                      <w:color w:val="000000"/>
                      <w:highlight w:val="none"/>
                    </w:rPr>
                    <w:t>kg/d</w:t>
                  </w:r>
                </w:p>
              </w:tc>
              <w:tc>
                <w:tcPr>
                  <w:tcW w:w="3375" w:type="dxa"/>
                  <w:noWrap w:val="0"/>
                  <w:vAlign w:val="center"/>
                </w:tcPr>
                <w:p w14:paraId="507AF335">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污泥经压滤机脱水处理，降低含水率后外运至生活垃圾处理厂处理。</w:t>
                  </w:r>
                </w:p>
              </w:tc>
            </w:tr>
          </w:tbl>
          <w:p w14:paraId="4E792D5F">
            <w:pPr>
              <w:pStyle w:val="4"/>
              <w:bidi w:val="0"/>
              <w:rPr>
                <w:rFonts w:hint="default"/>
              </w:rPr>
            </w:pPr>
            <w:r>
              <w:rPr>
                <w:rFonts w:hint="default"/>
              </w:rPr>
              <w:t>港区内污染物排放“</w:t>
            </w:r>
            <w:r>
              <w:rPr>
                <w:rFonts w:hint="eastAsia"/>
                <w:lang w:eastAsia="zh-CN"/>
              </w:rPr>
              <w:t>三本账</w:t>
            </w:r>
            <w:r>
              <w:rPr>
                <w:rFonts w:hint="default"/>
              </w:rPr>
              <w:t>”分析</w:t>
            </w:r>
          </w:p>
          <w:p w14:paraId="66F70083">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rPr>
            </w:pPr>
            <w:r>
              <w:rPr>
                <w:rFonts w:hint="default" w:ascii="Times New Roman" w:hAnsi="Times New Roman" w:cs="Times New Roman"/>
                <w:color w:val="000000"/>
                <w:highlight w:val="none"/>
              </w:rPr>
              <w:t>根据上述工程分析，本工程扩建运营后港区污染物总排放量以及“</w:t>
            </w:r>
            <w:r>
              <w:rPr>
                <w:rFonts w:hint="eastAsia" w:cs="Times New Roman"/>
                <w:color w:val="000000"/>
                <w:highlight w:val="none"/>
                <w:lang w:eastAsia="zh-CN"/>
              </w:rPr>
              <w:t>三本账</w:t>
            </w:r>
            <w:r>
              <w:rPr>
                <w:rFonts w:hint="default" w:ascii="Times New Roman" w:hAnsi="Times New Roman" w:cs="Times New Roman"/>
                <w:color w:val="000000"/>
                <w:highlight w:val="none"/>
              </w:rPr>
              <w:t>”如</w:t>
            </w:r>
            <w:r>
              <w:rPr>
                <w:rFonts w:hint="default" w:ascii="Times New Roman" w:hAnsi="Times New Roman" w:cs="Times New Roman"/>
                <w:color w:val="000000"/>
                <w:highlight w:val="none"/>
                <w:lang w:eastAsia="zh-CN"/>
              </w:rPr>
              <w:fldChar w:fldCharType="begin"/>
            </w:r>
            <w:r>
              <w:rPr>
                <w:rFonts w:hint="default" w:ascii="Times New Roman" w:hAnsi="Times New Roman" w:cs="Times New Roman"/>
                <w:color w:val="000000"/>
                <w:highlight w:val="none"/>
                <w:lang w:eastAsia="zh-CN"/>
              </w:rPr>
              <w:instrText xml:space="preserve"> REF _Ref20429 \h </w:instrText>
            </w:r>
            <w:r>
              <w:rPr>
                <w:rFonts w:hint="default" w:ascii="Times New Roman" w:hAnsi="Times New Roman" w:cs="Times New Roman"/>
                <w:color w:val="000000"/>
                <w:highlight w:val="none"/>
                <w:lang w:eastAsia="zh-CN"/>
              </w:rPr>
              <w:fldChar w:fldCharType="separate"/>
            </w:r>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4.5</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6</w:t>
            </w:r>
            <w:r>
              <w:rPr>
                <w:rFonts w:hint="default" w:ascii="Times New Roman" w:hAnsi="Times New Roman" w:cs="Times New Roman"/>
                <w:color w:val="000000"/>
                <w:highlight w:val="none"/>
                <w:lang w:eastAsia="zh-CN"/>
              </w:rPr>
              <w:fldChar w:fldCharType="end"/>
            </w:r>
            <w:r>
              <w:rPr>
                <w:rFonts w:hint="default" w:ascii="Times New Roman" w:hAnsi="Times New Roman" w:cs="Times New Roman"/>
                <w:color w:val="000000"/>
                <w:highlight w:val="none"/>
              </w:rPr>
              <w:t>所示。</w:t>
            </w:r>
          </w:p>
          <w:p w14:paraId="77F4DE7C">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rPr>
            </w:pPr>
          </w:p>
          <w:p w14:paraId="465A158A">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rPr>
            </w:pPr>
          </w:p>
          <w:p w14:paraId="21372EED">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rPr>
            </w:pPr>
          </w:p>
          <w:p w14:paraId="33086F75">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rPr>
            </w:pPr>
          </w:p>
          <w:p w14:paraId="7D4AFA0D">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rPr>
            </w:pPr>
          </w:p>
          <w:p w14:paraId="58EE4F10">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rPr>
            </w:pPr>
          </w:p>
          <w:p w14:paraId="797AE330">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rPr>
            </w:pPr>
          </w:p>
          <w:p w14:paraId="2E73C334">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rPr>
            </w:pPr>
          </w:p>
          <w:p w14:paraId="15144745">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rPr>
            </w:pPr>
          </w:p>
          <w:p w14:paraId="13F1E1E0">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rPr>
            </w:pPr>
          </w:p>
          <w:p w14:paraId="1EA9B5FA">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rPr>
            </w:pPr>
          </w:p>
          <w:p w14:paraId="7A0B7A0A">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rPr>
            </w:pPr>
          </w:p>
          <w:p w14:paraId="5915AB85">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rPr>
            </w:pPr>
          </w:p>
          <w:p w14:paraId="4E2B9237">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rPr>
            </w:pPr>
          </w:p>
          <w:p w14:paraId="3AA31714">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rPr>
            </w:pPr>
          </w:p>
          <w:p w14:paraId="4121917C">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rPr>
            </w:pPr>
          </w:p>
          <w:p w14:paraId="3215EDDD">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rPr>
            </w:pPr>
          </w:p>
          <w:p w14:paraId="37403F21">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rPr>
            </w:pPr>
          </w:p>
          <w:p w14:paraId="3AD3610A">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u w:val="none"/>
                <w:lang w:val="en-US" w:eastAsia="zh-CN"/>
              </w:rPr>
            </w:pPr>
          </w:p>
        </w:tc>
      </w:tr>
    </w:tbl>
    <w:p w14:paraId="7AE74718">
      <w:pPr>
        <w:jc w:val="center"/>
        <w:rPr>
          <w:rFonts w:hint="default" w:ascii="Times New Roman" w:hAnsi="Times New Roman" w:eastAsia="黑体" w:cs="Times New Roman"/>
          <w:snapToGrid w:val="0"/>
          <w:color w:val="000000"/>
          <w:sz w:val="36"/>
          <w:szCs w:val="36"/>
          <w:u w:val="none"/>
        </w:rPr>
        <w:sectPr>
          <w:pgSz w:w="11906" w:h="16838"/>
          <w:pgMar w:top="1701" w:right="1531" w:bottom="1701" w:left="1531" w:header="851" w:footer="1077" w:gutter="0"/>
          <w:pgNumType w:fmt="decimal"/>
          <w:cols w:space="720" w:num="1"/>
          <w:docGrid w:linePitch="312" w:charSpace="0"/>
        </w:sectPr>
      </w:pPr>
    </w:p>
    <w:tbl>
      <w:tblPr>
        <w:tblStyle w:val="2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08" w:type="dxa"/>
          <w:left w:w="108" w:type="dxa"/>
          <w:bottom w:w="108" w:type="dxa"/>
          <w:right w:w="108" w:type="dxa"/>
        </w:tblCellMar>
      </w:tblPr>
      <w:tblGrid>
        <w:gridCol w:w="832"/>
        <w:gridCol w:w="12815"/>
      </w:tblGrid>
      <w:tr w14:paraId="3684D4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8" w:type="dxa"/>
            <w:left w:w="108" w:type="dxa"/>
            <w:bottom w:w="108" w:type="dxa"/>
            <w:right w:w="108" w:type="dxa"/>
          </w:tblCellMar>
        </w:tblPrEx>
        <w:trPr>
          <w:trHeight w:val="635" w:hRule="atLeast"/>
          <w:jc w:val="center"/>
        </w:trPr>
        <w:tc>
          <w:tcPr>
            <w:tcW w:w="832" w:type="dxa"/>
            <w:noWrap w:val="0"/>
            <w:vAlign w:val="center"/>
          </w:tcPr>
          <w:p w14:paraId="33B71DE9">
            <w:pPr>
              <w:adjustRightInd w:val="0"/>
              <w:snapToGrid w:val="0"/>
              <w:spacing w:line="360" w:lineRule="auto"/>
              <w:jc w:val="center"/>
              <w:rPr>
                <w:rFonts w:hint="default" w:ascii="Times New Roman" w:hAnsi="Times New Roman" w:cs="Times New Roman"/>
                <w:color w:val="000000"/>
                <w:kern w:val="0"/>
                <w:szCs w:val="21"/>
                <w:u w:val="none"/>
              </w:rPr>
            </w:pPr>
            <w:r>
              <w:rPr>
                <w:rFonts w:hint="default" w:ascii="Times New Roman" w:hAnsi="Times New Roman" w:cs="Times New Roman"/>
                <w:bCs/>
                <w:color w:val="000000"/>
                <w:spacing w:val="10"/>
                <w:kern w:val="2"/>
                <w:sz w:val="24"/>
                <w:szCs w:val="24"/>
                <w:u w:val="none"/>
              </w:rPr>
              <w:t>运营期生态环境影响分析</w:t>
            </w:r>
          </w:p>
        </w:tc>
        <w:tc>
          <w:tcPr>
            <w:tcW w:w="12815" w:type="dxa"/>
            <w:noWrap w:val="0"/>
            <w:vAlign w:val="center"/>
          </w:tcPr>
          <w:p w14:paraId="629C6C71">
            <w:pPr>
              <w:pStyle w:val="30"/>
              <w:bidi w:val="0"/>
              <w:rPr>
                <w:rFonts w:hint="default" w:ascii="Times New Roman" w:hAnsi="Times New Roman" w:cs="Times New Roman"/>
                <w:color w:val="000000"/>
                <w:highlight w:val="none"/>
              </w:rPr>
            </w:pPr>
            <w:bookmarkStart w:id="384" w:name="_Ref20429"/>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4.5</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表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6</w:t>
            </w:r>
            <w:r>
              <w:rPr>
                <w:rFonts w:hint="default" w:ascii="Times New Roman" w:hAnsi="Times New Roman" w:cs="Times New Roman"/>
                <w:color w:val="000000"/>
                <w:highlight w:val="none"/>
              </w:rPr>
              <w:fldChar w:fldCharType="end"/>
            </w:r>
            <w:bookmarkEnd w:id="384"/>
            <w:r>
              <w:rPr>
                <w:rFonts w:hint="default" w:ascii="Times New Roman" w:hAnsi="Times New Roman" w:cs="Times New Roman"/>
                <w:color w:val="000000"/>
                <w:highlight w:val="none"/>
                <w:lang w:val="en-US" w:eastAsia="zh-CN"/>
              </w:rPr>
              <w:t xml:space="preserve"> 本项目扩建前后污染物排放量“三本账”一览表</w:t>
            </w:r>
          </w:p>
          <w:tbl>
            <w:tblPr>
              <w:tblStyle w:val="21"/>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55"/>
              <w:gridCol w:w="2105"/>
              <w:gridCol w:w="794"/>
              <w:gridCol w:w="899"/>
              <w:gridCol w:w="808"/>
              <w:gridCol w:w="808"/>
              <w:gridCol w:w="1193"/>
              <w:gridCol w:w="1130"/>
              <w:gridCol w:w="906"/>
              <w:gridCol w:w="899"/>
              <w:gridCol w:w="912"/>
              <w:gridCol w:w="970"/>
            </w:tblGrid>
            <w:tr w14:paraId="516CA8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0" w:type="pct"/>
                  <w:vMerge w:val="restart"/>
                  <w:tcBorders>
                    <w:tl2br w:val="nil"/>
                    <w:tr2bl w:val="nil"/>
                  </w:tcBorders>
                  <w:noWrap w:val="0"/>
                  <w:vAlign w:val="center"/>
                </w:tcPr>
                <w:p w14:paraId="7A7A96D8">
                  <w:pPr>
                    <w:pStyle w:val="31"/>
                    <w:bidi w:val="0"/>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rPr>
                    <w:t>类别</w:t>
                  </w:r>
                </w:p>
              </w:tc>
              <w:tc>
                <w:tcPr>
                  <w:tcW w:w="847" w:type="pct"/>
                  <w:vMerge w:val="restart"/>
                  <w:tcBorders>
                    <w:tl2br w:val="nil"/>
                    <w:tr2bl w:val="nil"/>
                  </w:tcBorders>
                  <w:noWrap w:val="0"/>
                  <w:vAlign w:val="center"/>
                </w:tcPr>
                <w:p w14:paraId="0B7B3C0D">
                  <w:pPr>
                    <w:pStyle w:val="31"/>
                    <w:bidi w:val="0"/>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rPr>
                    <w:t>污染物</w:t>
                  </w:r>
                </w:p>
              </w:tc>
              <w:tc>
                <w:tcPr>
                  <w:tcW w:w="663" w:type="pct"/>
                  <w:gridSpan w:val="2"/>
                  <w:tcBorders>
                    <w:tl2br w:val="nil"/>
                    <w:tr2bl w:val="nil"/>
                  </w:tcBorders>
                  <w:noWrap w:val="0"/>
                  <w:vAlign w:val="center"/>
                </w:tcPr>
                <w:p w14:paraId="4DBD4416">
                  <w:pPr>
                    <w:pStyle w:val="31"/>
                    <w:bidi w:val="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现有工程排放量</w:t>
                  </w:r>
                </w:p>
              </w:tc>
              <w:tc>
                <w:tcPr>
                  <w:tcW w:w="664" w:type="pct"/>
                  <w:gridSpan w:val="2"/>
                  <w:tcBorders>
                    <w:tl2br w:val="nil"/>
                    <w:tr2bl w:val="nil"/>
                  </w:tcBorders>
                  <w:noWrap w:val="0"/>
                  <w:vAlign w:val="center"/>
                </w:tcPr>
                <w:p w14:paraId="5843967C">
                  <w:pPr>
                    <w:pStyle w:val="31"/>
                    <w:bidi w:val="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扩建工程排放量</w:t>
                  </w:r>
                </w:p>
              </w:tc>
              <w:tc>
                <w:tcPr>
                  <w:tcW w:w="945" w:type="pct"/>
                  <w:gridSpan w:val="2"/>
                  <w:tcBorders>
                    <w:tl2br w:val="nil"/>
                    <w:tr2bl w:val="nil"/>
                  </w:tcBorders>
                  <w:noWrap w:val="0"/>
                  <w:vAlign w:val="center"/>
                </w:tcPr>
                <w:p w14:paraId="0E679422">
                  <w:pPr>
                    <w:pStyle w:val="31"/>
                    <w:bidi w:val="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以新带老”削减量</w:t>
                  </w:r>
                </w:p>
              </w:tc>
              <w:tc>
                <w:tcPr>
                  <w:tcW w:w="726" w:type="pct"/>
                  <w:gridSpan w:val="2"/>
                  <w:tcBorders>
                    <w:tl2br w:val="nil"/>
                    <w:tr2bl w:val="nil"/>
                  </w:tcBorders>
                  <w:noWrap w:val="0"/>
                  <w:vAlign w:val="center"/>
                </w:tcPr>
                <w:p w14:paraId="0389F99A">
                  <w:pPr>
                    <w:pStyle w:val="31"/>
                    <w:bidi w:val="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扩建后总排放量</w:t>
                  </w:r>
                </w:p>
              </w:tc>
              <w:tc>
                <w:tcPr>
                  <w:tcW w:w="681" w:type="pct"/>
                  <w:gridSpan w:val="2"/>
                  <w:tcBorders>
                    <w:tl2br w:val="nil"/>
                    <w:tr2bl w:val="nil"/>
                  </w:tcBorders>
                  <w:noWrap w:val="0"/>
                  <w:vAlign w:val="center"/>
                </w:tcPr>
                <w:p w14:paraId="5BC745B2">
                  <w:pPr>
                    <w:pStyle w:val="31"/>
                    <w:bidi w:val="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扩建前后增减量</w:t>
                  </w:r>
                </w:p>
              </w:tc>
            </w:tr>
            <w:tr w14:paraId="299395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0" w:type="pct"/>
                  <w:vMerge w:val="continue"/>
                  <w:tcBorders>
                    <w:tl2br w:val="nil"/>
                    <w:tr2bl w:val="nil"/>
                  </w:tcBorders>
                  <w:noWrap w:val="0"/>
                  <w:vAlign w:val="center"/>
                </w:tcPr>
                <w:p w14:paraId="14EB9407">
                  <w:pPr>
                    <w:pStyle w:val="31"/>
                    <w:bidi w:val="0"/>
                    <w:rPr>
                      <w:rFonts w:hint="default" w:ascii="Times New Roman" w:hAnsi="Times New Roman" w:cs="Times New Roman"/>
                      <w:b/>
                      <w:bCs/>
                      <w:color w:val="000000"/>
                      <w:highlight w:val="none"/>
                    </w:rPr>
                  </w:pPr>
                </w:p>
              </w:tc>
              <w:tc>
                <w:tcPr>
                  <w:tcW w:w="847" w:type="pct"/>
                  <w:vMerge w:val="continue"/>
                  <w:tcBorders>
                    <w:tl2br w:val="nil"/>
                    <w:tr2bl w:val="nil"/>
                  </w:tcBorders>
                  <w:noWrap w:val="0"/>
                  <w:vAlign w:val="center"/>
                </w:tcPr>
                <w:p w14:paraId="2A3E5FAD">
                  <w:pPr>
                    <w:pStyle w:val="31"/>
                    <w:bidi w:val="0"/>
                    <w:rPr>
                      <w:rFonts w:hint="default" w:ascii="Times New Roman" w:hAnsi="Times New Roman" w:cs="Times New Roman"/>
                      <w:b/>
                      <w:bCs/>
                      <w:color w:val="000000"/>
                      <w:highlight w:val="none"/>
                    </w:rPr>
                  </w:pPr>
                </w:p>
              </w:tc>
              <w:tc>
                <w:tcPr>
                  <w:tcW w:w="308" w:type="pct"/>
                  <w:tcBorders>
                    <w:tl2br w:val="nil"/>
                    <w:tr2bl w:val="nil"/>
                  </w:tcBorders>
                  <w:noWrap w:val="0"/>
                  <w:vAlign w:val="center"/>
                </w:tcPr>
                <w:p w14:paraId="4F0C7F8E">
                  <w:pPr>
                    <w:pStyle w:val="31"/>
                    <w:bidi w:val="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kg/d</w:t>
                  </w:r>
                </w:p>
              </w:tc>
              <w:tc>
                <w:tcPr>
                  <w:tcW w:w="355" w:type="pct"/>
                  <w:tcBorders>
                    <w:tl2br w:val="nil"/>
                    <w:tr2bl w:val="nil"/>
                  </w:tcBorders>
                  <w:noWrap w:val="0"/>
                  <w:vAlign w:val="center"/>
                </w:tcPr>
                <w:p w14:paraId="1680D328">
                  <w:pPr>
                    <w:pStyle w:val="31"/>
                    <w:bidi w:val="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t/a</w:t>
                  </w:r>
                </w:p>
              </w:tc>
              <w:tc>
                <w:tcPr>
                  <w:tcW w:w="332" w:type="pct"/>
                  <w:tcBorders>
                    <w:tl2br w:val="nil"/>
                    <w:tr2bl w:val="nil"/>
                  </w:tcBorders>
                  <w:noWrap w:val="0"/>
                  <w:vAlign w:val="center"/>
                </w:tcPr>
                <w:p w14:paraId="707FC8DC">
                  <w:pPr>
                    <w:pStyle w:val="31"/>
                    <w:bidi w:val="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kg/d</w:t>
                  </w:r>
                </w:p>
              </w:tc>
              <w:tc>
                <w:tcPr>
                  <w:tcW w:w="332" w:type="pct"/>
                  <w:tcBorders>
                    <w:tl2br w:val="nil"/>
                    <w:tr2bl w:val="nil"/>
                  </w:tcBorders>
                  <w:noWrap w:val="0"/>
                  <w:vAlign w:val="center"/>
                </w:tcPr>
                <w:p w14:paraId="7E7039D0">
                  <w:pPr>
                    <w:pStyle w:val="31"/>
                    <w:bidi w:val="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t/a</w:t>
                  </w:r>
                </w:p>
              </w:tc>
              <w:tc>
                <w:tcPr>
                  <w:tcW w:w="485" w:type="pct"/>
                  <w:tcBorders>
                    <w:tl2br w:val="nil"/>
                    <w:tr2bl w:val="nil"/>
                  </w:tcBorders>
                  <w:noWrap w:val="0"/>
                  <w:vAlign w:val="center"/>
                </w:tcPr>
                <w:p w14:paraId="20808BF1">
                  <w:pPr>
                    <w:pStyle w:val="31"/>
                    <w:bidi w:val="0"/>
                    <w:rPr>
                      <w:rFonts w:hint="default" w:ascii="Times New Roman" w:hAnsi="Times New Roman" w:cs="Times New Roman"/>
                      <w:b/>
                      <w:bCs/>
                      <w:color w:val="000000"/>
                      <w:highlight w:val="none"/>
                      <w:lang w:eastAsia="zh-CN"/>
                    </w:rPr>
                  </w:pPr>
                  <w:r>
                    <w:rPr>
                      <w:rFonts w:hint="default" w:ascii="Times New Roman" w:hAnsi="Times New Roman" w:cs="Times New Roman"/>
                      <w:b/>
                      <w:bCs/>
                      <w:color w:val="000000"/>
                      <w:highlight w:val="none"/>
                      <w:lang w:val="en-US" w:eastAsia="zh-CN"/>
                    </w:rPr>
                    <w:t>kg/d</w:t>
                  </w:r>
                </w:p>
              </w:tc>
              <w:tc>
                <w:tcPr>
                  <w:tcW w:w="460" w:type="pct"/>
                  <w:tcBorders>
                    <w:tl2br w:val="nil"/>
                    <w:tr2bl w:val="nil"/>
                  </w:tcBorders>
                  <w:noWrap w:val="0"/>
                  <w:vAlign w:val="center"/>
                </w:tcPr>
                <w:p w14:paraId="30CD6465">
                  <w:pPr>
                    <w:pStyle w:val="31"/>
                    <w:bidi w:val="0"/>
                    <w:rPr>
                      <w:rFonts w:hint="default" w:ascii="Times New Roman" w:hAnsi="Times New Roman" w:cs="Times New Roman"/>
                      <w:b/>
                      <w:bCs/>
                      <w:color w:val="000000"/>
                      <w:highlight w:val="none"/>
                      <w:lang w:eastAsia="zh-CN"/>
                    </w:rPr>
                  </w:pPr>
                  <w:r>
                    <w:rPr>
                      <w:rFonts w:hint="default" w:ascii="Times New Roman" w:hAnsi="Times New Roman" w:cs="Times New Roman"/>
                      <w:b/>
                      <w:bCs/>
                      <w:color w:val="000000"/>
                      <w:highlight w:val="none"/>
                      <w:lang w:val="en-US" w:eastAsia="zh-CN"/>
                    </w:rPr>
                    <w:t>t/a</w:t>
                  </w:r>
                </w:p>
              </w:tc>
              <w:tc>
                <w:tcPr>
                  <w:tcW w:w="371" w:type="pct"/>
                  <w:tcBorders>
                    <w:tl2br w:val="nil"/>
                    <w:tr2bl w:val="nil"/>
                  </w:tcBorders>
                  <w:noWrap w:val="0"/>
                  <w:vAlign w:val="center"/>
                </w:tcPr>
                <w:p w14:paraId="3DB69E38">
                  <w:pPr>
                    <w:pStyle w:val="31"/>
                    <w:bidi w:val="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kg/d</w:t>
                  </w:r>
                </w:p>
              </w:tc>
              <w:tc>
                <w:tcPr>
                  <w:tcW w:w="355" w:type="pct"/>
                  <w:tcBorders>
                    <w:tl2br w:val="nil"/>
                    <w:tr2bl w:val="nil"/>
                  </w:tcBorders>
                  <w:noWrap w:val="0"/>
                  <w:vAlign w:val="center"/>
                </w:tcPr>
                <w:p w14:paraId="2CB4A7BF">
                  <w:pPr>
                    <w:pStyle w:val="31"/>
                    <w:bidi w:val="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t/a</w:t>
                  </w:r>
                </w:p>
              </w:tc>
              <w:tc>
                <w:tcPr>
                  <w:tcW w:w="339" w:type="pct"/>
                  <w:tcBorders>
                    <w:tl2br w:val="nil"/>
                    <w:tr2bl w:val="nil"/>
                  </w:tcBorders>
                  <w:noWrap w:val="0"/>
                  <w:vAlign w:val="center"/>
                </w:tcPr>
                <w:p w14:paraId="2D561C17">
                  <w:pPr>
                    <w:pStyle w:val="31"/>
                    <w:bidi w:val="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kg/d</w:t>
                  </w:r>
                </w:p>
              </w:tc>
              <w:tc>
                <w:tcPr>
                  <w:tcW w:w="342" w:type="pct"/>
                  <w:tcBorders>
                    <w:tl2br w:val="nil"/>
                    <w:tr2bl w:val="nil"/>
                  </w:tcBorders>
                  <w:noWrap w:val="0"/>
                  <w:vAlign w:val="center"/>
                </w:tcPr>
                <w:p w14:paraId="040676F4">
                  <w:pPr>
                    <w:pStyle w:val="31"/>
                    <w:bidi w:val="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t/a</w:t>
                  </w:r>
                </w:p>
              </w:tc>
            </w:tr>
            <w:tr w14:paraId="53F862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0" w:type="pct"/>
                  <w:vMerge w:val="restart"/>
                  <w:tcBorders>
                    <w:tl2br w:val="nil"/>
                    <w:tr2bl w:val="nil"/>
                  </w:tcBorders>
                  <w:noWrap w:val="0"/>
                  <w:vAlign w:val="center"/>
                </w:tcPr>
                <w:p w14:paraId="79DB6C91">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rPr>
                    <w:t>废水</w:t>
                  </w:r>
                </w:p>
              </w:tc>
              <w:tc>
                <w:tcPr>
                  <w:tcW w:w="847" w:type="pct"/>
                  <w:tcBorders>
                    <w:tl2br w:val="nil"/>
                    <w:tr2bl w:val="nil"/>
                  </w:tcBorders>
                  <w:noWrap w:val="0"/>
                  <w:vAlign w:val="center"/>
                </w:tcPr>
                <w:p w14:paraId="097379EC">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水量</w:t>
                  </w:r>
                </w:p>
              </w:tc>
              <w:tc>
                <w:tcPr>
                  <w:tcW w:w="308" w:type="pct"/>
                  <w:tcBorders>
                    <w:tl2br w:val="nil"/>
                    <w:tr2bl w:val="nil"/>
                  </w:tcBorders>
                  <w:noWrap w:val="0"/>
                  <w:vAlign w:val="center"/>
                </w:tcPr>
                <w:p w14:paraId="04CA4A21">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5750</w:t>
                  </w:r>
                </w:p>
              </w:tc>
              <w:tc>
                <w:tcPr>
                  <w:tcW w:w="355" w:type="pct"/>
                  <w:tcBorders>
                    <w:tl2br w:val="nil"/>
                    <w:tr2bl w:val="nil"/>
                  </w:tcBorders>
                  <w:noWrap w:val="0"/>
                  <w:vAlign w:val="center"/>
                </w:tcPr>
                <w:p w14:paraId="2967BF86">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1293.75</w:t>
                  </w:r>
                </w:p>
              </w:tc>
              <w:tc>
                <w:tcPr>
                  <w:tcW w:w="332" w:type="pct"/>
                  <w:tcBorders>
                    <w:tl2br w:val="nil"/>
                    <w:tr2bl w:val="nil"/>
                  </w:tcBorders>
                  <w:noWrap w:val="0"/>
                  <w:vAlign w:val="center"/>
                </w:tcPr>
                <w:p w14:paraId="26C99297">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w:t>
                  </w:r>
                </w:p>
              </w:tc>
              <w:tc>
                <w:tcPr>
                  <w:tcW w:w="332" w:type="pct"/>
                  <w:tcBorders>
                    <w:tl2br w:val="nil"/>
                    <w:tr2bl w:val="nil"/>
                  </w:tcBorders>
                  <w:noWrap w:val="0"/>
                  <w:vAlign w:val="center"/>
                </w:tcPr>
                <w:p w14:paraId="1D63AB14">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w:t>
                  </w:r>
                </w:p>
              </w:tc>
              <w:tc>
                <w:tcPr>
                  <w:tcW w:w="485" w:type="pct"/>
                  <w:tcBorders>
                    <w:tl2br w:val="nil"/>
                    <w:tr2bl w:val="nil"/>
                  </w:tcBorders>
                  <w:noWrap w:val="0"/>
                  <w:vAlign w:val="center"/>
                </w:tcPr>
                <w:p w14:paraId="00B9A171">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-5.75</w:t>
                  </w:r>
                </w:p>
              </w:tc>
              <w:tc>
                <w:tcPr>
                  <w:tcW w:w="460" w:type="pct"/>
                  <w:tcBorders>
                    <w:tl2br w:val="nil"/>
                    <w:tr2bl w:val="nil"/>
                  </w:tcBorders>
                  <w:noWrap w:val="0"/>
                  <w:vAlign w:val="center"/>
                </w:tcPr>
                <w:p w14:paraId="78EF2208">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-1293.75</w:t>
                  </w:r>
                </w:p>
              </w:tc>
              <w:tc>
                <w:tcPr>
                  <w:tcW w:w="371" w:type="pct"/>
                  <w:tcBorders>
                    <w:tl2br w:val="nil"/>
                    <w:tr2bl w:val="nil"/>
                  </w:tcBorders>
                  <w:noWrap w:val="0"/>
                  <w:vAlign w:val="center"/>
                </w:tcPr>
                <w:p w14:paraId="3D3A926F">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w:t>
                  </w:r>
                </w:p>
              </w:tc>
              <w:tc>
                <w:tcPr>
                  <w:tcW w:w="355" w:type="pct"/>
                  <w:tcBorders>
                    <w:tl2br w:val="nil"/>
                    <w:tr2bl w:val="nil"/>
                  </w:tcBorders>
                  <w:noWrap w:val="0"/>
                  <w:vAlign w:val="center"/>
                </w:tcPr>
                <w:p w14:paraId="6090A4B2">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 xml:space="preserve">0 </w:t>
                  </w:r>
                </w:p>
              </w:tc>
              <w:tc>
                <w:tcPr>
                  <w:tcW w:w="339" w:type="pct"/>
                  <w:tcBorders>
                    <w:tl2br w:val="nil"/>
                    <w:tr2bl w:val="nil"/>
                  </w:tcBorders>
                  <w:noWrap w:val="0"/>
                  <w:vAlign w:val="center"/>
                </w:tcPr>
                <w:p w14:paraId="16463F5B">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-5.75</w:t>
                  </w:r>
                </w:p>
              </w:tc>
              <w:tc>
                <w:tcPr>
                  <w:tcW w:w="342" w:type="pct"/>
                  <w:tcBorders>
                    <w:tl2br w:val="nil"/>
                    <w:tr2bl w:val="nil"/>
                  </w:tcBorders>
                  <w:noWrap w:val="0"/>
                  <w:vAlign w:val="center"/>
                </w:tcPr>
                <w:p w14:paraId="478D2BC2">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-1293.75</w:t>
                  </w:r>
                </w:p>
              </w:tc>
            </w:tr>
            <w:tr w14:paraId="58D13B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0" w:type="pct"/>
                  <w:vMerge w:val="continue"/>
                  <w:tcBorders>
                    <w:tl2br w:val="nil"/>
                    <w:tr2bl w:val="nil"/>
                  </w:tcBorders>
                  <w:noWrap w:val="0"/>
                  <w:vAlign w:val="center"/>
                </w:tcPr>
                <w:p w14:paraId="211EC743">
                  <w:pPr>
                    <w:pStyle w:val="31"/>
                    <w:bidi w:val="0"/>
                    <w:rPr>
                      <w:rFonts w:hint="default" w:ascii="Times New Roman" w:hAnsi="Times New Roman" w:cs="Times New Roman"/>
                      <w:color w:val="000000"/>
                      <w:highlight w:val="none"/>
                    </w:rPr>
                  </w:pPr>
                </w:p>
              </w:tc>
              <w:tc>
                <w:tcPr>
                  <w:tcW w:w="847" w:type="pct"/>
                  <w:tcBorders>
                    <w:tl2br w:val="nil"/>
                    <w:tr2bl w:val="nil"/>
                  </w:tcBorders>
                  <w:noWrap w:val="0"/>
                  <w:vAlign w:val="center"/>
                </w:tcPr>
                <w:p w14:paraId="0F009308">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COD</w:t>
                  </w:r>
                </w:p>
              </w:tc>
              <w:tc>
                <w:tcPr>
                  <w:tcW w:w="308" w:type="pct"/>
                  <w:tcBorders>
                    <w:tl2br w:val="nil"/>
                    <w:tr2bl w:val="nil"/>
                  </w:tcBorders>
                  <w:noWrap w:val="0"/>
                  <w:vAlign w:val="center"/>
                </w:tcPr>
                <w:p w14:paraId="1AA7AC06">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2.88</w:t>
                  </w:r>
                </w:p>
              </w:tc>
              <w:tc>
                <w:tcPr>
                  <w:tcW w:w="355" w:type="pct"/>
                  <w:tcBorders>
                    <w:tl2br w:val="nil"/>
                    <w:tr2bl w:val="nil"/>
                  </w:tcBorders>
                  <w:noWrap w:val="0"/>
                  <w:vAlign w:val="center"/>
                </w:tcPr>
                <w:p w14:paraId="5DD24F08">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0.648</w:t>
                  </w:r>
                </w:p>
              </w:tc>
              <w:tc>
                <w:tcPr>
                  <w:tcW w:w="332" w:type="pct"/>
                  <w:tcBorders>
                    <w:tl2br w:val="nil"/>
                    <w:tr2bl w:val="nil"/>
                  </w:tcBorders>
                  <w:noWrap w:val="0"/>
                  <w:vAlign w:val="center"/>
                </w:tcPr>
                <w:p w14:paraId="39EE3B6D">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w:t>
                  </w:r>
                </w:p>
              </w:tc>
              <w:tc>
                <w:tcPr>
                  <w:tcW w:w="332" w:type="pct"/>
                  <w:tcBorders>
                    <w:tl2br w:val="nil"/>
                    <w:tr2bl w:val="nil"/>
                  </w:tcBorders>
                  <w:noWrap w:val="0"/>
                  <w:vAlign w:val="center"/>
                </w:tcPr>
                <w:p w14:paraId="6BDFEC8A">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w:t>
                  </w:r>
                </w:p>
              </w:tc>
              <w:tc>
                <w:tcPr>
                  <w:tcW w:w="485" w:type="pct"/>
                  <w:tcBorders>
                    <w:tl2br w:val="nil"/>
                    <w:tr2bl w:val="nil"/>
                  </w:tcBorders>
                  <w:noWrap w:val="0"/>
                  <w:vAlign w:val="center"/>
                </w:tcPr>
                <w:p w14:paraId="129F8F75">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-2.88</w:t>
                  </w:r>
                </w:p>
              </w:tc>
              <w:tc>
                <w:tcPr>
                  <w:tcW w:w="1294" w:type="dxa"/>
                  <w:tcBorders>
                    <w:tl2br w:val="nil"/>
                    <w:tr2bl w:val="nil"/>
                  </w:tcBorders>
                  <w:noWrap w:val="0"/>
                  <w:vAlign w:val="center"/>
                </w:tcPr>
                <w:p w14:paraId="43AB6C5E">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-0.648</w:t>
                  </w:r>
                </w:p>
              </w:tc>
              <w:tc>
                <w:tcPr>
                  <w:tcW w:w="371" w:type="pct"/>
                  <w:tcBorders>
                    <w:tl2br w:val="nil"/>
                    <w:tr2bl w:val="nil"/>
                  </w:tcBorders>
                  <w:noWrap w:val="0"/>
                  <w:vAlign w:val="center"/>
                </w:tcPr>
                <w:p w14:paraId="6B32C250">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w:t>
                  </w:r>
                </w:p>
              </w:tc>
              <w:tc>
                <w:tcPr>
                  <w:tcW w:w="355" w:type="pct"/>
                  <w:tcBorders>
                    <w:tl2br w:val="nil"/>
                    <w:tr2bl w:val="nil"/>
                  </w:tcBorders>
                  <w:noWrap w:val="0"/>
                  <w:vAlign w:val="center"/>
                </w:tcPr>
                <w:p w14:paraId="4660180D">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 xml:space="preserve">0 </w:t>
                  </w:r>
                </w:p>
              </w:tc>
              <w:tc>
                <w:tcPr>
                  <w:tcW w:w="339" w:type="pct"/>
                  <w:tcBorders>
                    <w:tl2br w:val="nil"/>
                    <w:tr2bl w:val="nil"/>
                  </w:tcBorders>
                  <w:noWrap w:val="0"/>
                  <w:vAlign w:val="center"/>
                </w:tcPr>
                <w:p w14:paraId="3615AE36">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-2.88</w:t>
                  </w:r>
                </w:p>
              </w:tc>
              <w:tc>
                <w:tcPr>
                  <w:tcW w:w="1017" w:type="dxa"/>
                  <w:tcBorders>
                    <w:tl2br w:val="nil"/>
                    <w:tr2bl w:val="nil"/>
                  </w:tcBorders>
                  <w:noWrap w:val="0"/>
                  <w:vAlign w:val="center"/>
                </w:tcPr>
                <w:p w14:paraId="2ABAD199">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-0.648</w:t>
                  </w:r>
                </w:p>
              </w:tc>
            </w:tr>
            <w:tr w14:paraId="113DDB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0" w:type="pct"/>
                  <w:vMerge w:val="continue"/>
                  <w:tcBorders>
                    <w:tl2br w:val="nil"/>
                    <w:tr2bl w:val="nil"/>
                  </w:tcBorders>
                  <w:noWrap w:val="0"/>
                  <w:vAlign w:val="center"/>
                </w:tcPr>
                <w:p w14:paraId="7206E83C">
                  <w:pPr>
                    <w:pStyle w:val="31"/>
                    <w:bidi w:val="0"/>
                    <w:rPr>
                      <w:rFonts w:hint="default" w:ascii="Times New Roman" w:hAnsi="Times New Roman" w:cs="Times New Roman"/>
                      <w:color w:val="000000"/>
                      <w:highlight w:val="none"/>
                    </w:rPr>
                  </w:pPr>
                </w:p>
              </w:tc>
              <w:tc>
                <w:tcPr>
                  <w:tcW w:w="847" w:type="pct"/>
                  <w:tcBorders>
                    <w:tl2br w:val="nil"/>
                    <w:tr2bl w:val="nil"/>
                  </w:tcBorders>
                  <w:noWrap w:val="0"/>
                  <w:vAlign w:val="center"/>
                </w:tcPr>
                <w:p w14:paraId="0FAD4C5C">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BOD</w:t>
                  </w:r>
                  <w:r>
                    <w:rPr>
                      <w:rFonts w:hint="default" w:ascii="Times New Roman" w:hAnsi="Times New Roman" w:cs="Times New Roman"/>
                      <w:color w:val="000000"/>
                      <w:highlight w:val="none"/>
                      <w:vertAlign w:val="subscript"/>
                    </w:rPr>
                    <w:t>5</w:t>
                  </w:r>
                </w:p>
              </w:tc>
              <w:tc>
                <w:tcPr>
                  <w:tcW w:w="308" w:type="pct"/>
                  <w:tcBorders>
                    <w:tl2br w:val="nil"/>
                    <w:tr2bl w:val="nil"/>
                  </w:tcBorders>
                  <w:noWrap w:val="0"/>
                  <w:vAlign w:val="center"/>
                </w:tcPr>
                <w:p w14:paraId="1C2160BF">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1.73</w:t>
                  </w:r>
                </w:p>
              </w:tc>
              <w:tc>
                <w:tcPr>
                  <w:tcW w:w="355" w:type="pct"/>
                  <w:tcBorders>
                    <w:tl2br w:val="nil"/>
                    <w:tr2bl w:val="nil"/>
                  </w:tcBorders>
                  <w:noWrap w:val="0"/>
                  <w:vAlign w:val="center"/>
                </w:tcPr>
                <w:p w14:paraId="6C877F14">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0.389</w:t>
                  </w:r>
                </w:p>
              </w:tc>
              <w:tc>
                <w:tcPr>
                  <w:tcW w:w="332" w:type="pct"/>
                  <w:tcBorders>
                    <w:tl2br w:val="nil"/>
                    <w:tr2bl w:val="nil"/>
                  </w:tcBorders>
                  <w:noWrap w:val="0"/>
                  <w:vAlign w:val="center"/>
                </w:tcPr>
                <w:p w14:paraId="5B6602EF">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w:t>
                  </w:r>
                </w:p>
              </w:tc>
              <w:tc>
                <w:tcPr>
                  <w:tcW w:w="332" w:type="pct"/>
                  <w:tcBorders>
                    <w:tl2br w:val="nil"/>
                    <w:tr2bl w:val="nil"/>
                  </w:tcBorders>
                  <w:noWrap w:val="0"/>
                  <w:vAlign w:val="center"/>
                </w:tcPr>
                <w:p w14:paraId="714A92AA">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w:t>
                  </w:r>
                </w:p>
              </w:tc>
              <w:tc>
                <w:tcPr>
                  <w:tcW w:w="485" w:type="pct"/>
                  <w:tcBorders>
                    <w:tl2br w:val="nil"/>
                    <w:tr2bl w:val="nil"/>
                  </w:tcBorders>
                  <w:noWrap w:val="0"/>
                  <w:vAlign w:val="center"/>
                </w:tcPr>
                <w:p w14:paraId="10425EE3">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-1.73</w:t>
                  </w:r>
                </w:p>
              </w:tc>
              <w:tc>
                <w:tcPr>
                  <w:tcW w:w="1294" w:type="dxa"/>
                  <w:tcBorders>
                    <w:tl2br w:val="nil"/>
                    <w:tr2bl w:val="nil"/>
                  </w:tcBorders>
                  <w:noWrap w:val="0"/>
                  <w:vAlign w:val="center"/>
                </w:tcPr>
                <w:p w14:paraId="5033757A">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-0.389</w:t>
                  </w:r>
                </w:p>
              </w:tc>
              <w:tc>
                <w:tcPr>
                  <w:tcW w:w="371" w:type="pct"/>
                  <w:tcBorders>
                    <w:tl2br w:val="nil"/>
                    <w:tr2bl w:val="nil"/>
                  </w:tcBorders>
                  <w:noWrap w:val="0"/>
                  <w:vAlign w:val="center"/>
                </w:tcPr>
                <w:p w14:paraId="739E34AA">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w:t>
                  </w:r>
                </w:p>
              </w:tc>
              <w:tc>
                <w:tcPr>
                  <w:tcW w:w="355" w:type="pct"/>
                  <w:tcBorders>
                    <w:tl2br w:val="nil"/>
                    <w:tr2bl w:val="nil"/>
                  </w:tcBorders>
                  <w:noWrap w:val="0"/>
                  <w:vAlign w:val="center"/>
                </w:tcPr>
                <w:p w14:paraId="2F4B2CE4">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 xml:space="preserve">0 </w:t>
                  </w:r>
                </w:p>
              </w:tc>
              <w:tc>
                <w:tcPr>
                  <w:tcW w:w="339" w:type="pct"/>
                  <w:tcBorders>
                    <w:tl2br w:val="nil"/>
                    <w:tr2bl w:val="nil"/>
                  </w:tcBorders>
                  <w:noWrap w:val="0"/>
                  <w:vAlign w:val="center"/>
                </w:tcPr>
                <w:p w14:paraId="7F175F4F">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-1.73</w:t>
                  </w:r>
                </w:p>
              </w:tc>
              <w:tc>
                <w:tcPr>
                  <w:tcW w:w="1017" w:type="dxa"/>
                  <w:tcBorders>
                    <w:tl2br w:val="nil"/>
                    <w:tr2bl w:val="nil"/>
                  </w:tcBorders>
                  <w:noWrap w:val="0"/>
                  <w:vAlign w:val="center"/>
                </w:tcPr>
                <w:p w14:paraId="49A595B3">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-0.389</w:t>
                  </w:r>
                </w:p>
              </w:tc>
            </w:tr>
            <w:tr w14:paraId="75564E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0" w:type="pct"/>
                  <w:vMerge w:val="continue"/>
                  <w:tcBorders>
                    <w:tl2br w:val="nil"/>
                    <w:tr2bl w:val="nil"/>
                  </w:tcBorders>
                  <w:noWrap w:val="0"/>
                  <w:vAlign w:val="center"/>
                </w:tcPr>
                <w:p w14:paraId="22782AD9">
                  <w:pPr>
                    <w:pStyle w:val="31"/>
                    <w:bidi w:val="0"/>
                    <w:rPr>
                      <w:rFonts w:hint="default" w:ascii="Times New Roman" w:hAnsi="Times New Roman" w:cs="Times New Roman"/>
                      <w:color w:val="000000"/>
                      <w:highlight w:val="none"/>
                    </w:rPr>
                  </w:pPr>
                </w:p>
              </w:tc>
              <w:tc>
                <w:tcPr>
                  <w:tcW w:w="847" w:type="pct"/>
                  <w:tcBorders>
                    <w:tl2br w:val="nil"/>
                    <w:tr2bl w:val="nil"/>
                  </w:tcBorders>
                  <w:noWrap w:val="0"/>
                  <w:vAlign w:val="center"/>
                </w:tcPr>
                <w:p w14:paraId="1936FC8A">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SS</w:t>
                  </w:r>
                </w:p>
              </w:tc>
              <w:tc>
                <w:tcPr>
                  <w:tcW w:w="308" w:type="pct"/>
                  <w:tcBorders>
                    <w:tl2br w:val="nil"/>
                    <w:tr2bl w:val="nil"/>
                  </w:tcBorders>
                  <w:noWrap w:val="0"/>
                  <w:vAlign w:val="center"/>
                </w:tcPr>
                <w:p w14:paraId="0DE87703">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2.30</w:t>
                  </w:r>
                </w:p>
              </w:tc>
              <w:tc>
                <w:tcPr>
                  <w:tcW w:w="355" w:type="pct"/>
                  <w:tcBorders>
                    <w:tl2br w:val="nil"/>
                    <w:tr2bl w:val="nil"/>
                  </w:tcBorders>
                  <w:noWrap w:val="0"/>
                  <w:vAlign w:val="center"/>
                </w:tcPr>
                <w:p w14:paraId="74E087FA">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0.518</w:t>
                  </w:r>
                </w:p>
              </w:tc>
              <w:tc>
                <w:tcPr>
                  <w:tcW w:w="332" w:type="pct"/>
                  <w:tcBorders>
                    <w:tl2br w:val="nil"/>
                    <w:tr2bl w:val="nil"/>
                  </w:tcBorders>
                  <w:noWrap w:val="0"/>
                  <w:vAlign w:val="center"/>
                </w:tcPr>
                <w:p w14:paraId="18D422DE">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w:t>
                  </w:r>
                </w:p>
              </w:tc>
              <w:tc>
                <w:tcPr>
                  <w:tcW w:w="332" w:type="pct"/>
                  <w:tcBorders>
                    <w:tl2br w:val="nil"/>
                    <w:tr2bl w:val="nil"/>
                  </w:tcBorders>
                  <w:noWrap w:val="0"/>
                  <w:vAlign w:val="center"/>
                </w:tcPr>
                <w:p w14:paraId="3304F26C">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w:t>
                  </w:r>
                </w:p>
              </w:tc>
              <w:tc>
                <w:tcPr>
                  <w:tcW w:w="485" w:type="pct"/>
                  <w:tcBorders>
                    <w:tl2br w:val="nil"/>
                    <w:tr2bl w:val="nil"/>
                  </w:tcBorders>
                  <w:noWrap w:val="0"/>
                  <w:vAlign w:val="center"/>
                </w:tcPr>
                <w:p w14:paraId="5A1217F3">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-2.30</w:t>
                  </w:r>
                </w:p>
              </w:tc>
              <w:tc>
                <w:tcPr>
                  <w:tcW w:w="1294" w:type="dxa"/>
                  <w:tcBorders>
                    <w:tl2br w:val="nil"/>
                    <w:tr2bl w:val="nil"/>
                  </w:tcBorders>
                  <w:noWrap w:val="0"/>
                  <w:vAlign w:val="center"/>
                </w:tcPr>
                <w:p w14:paraId="41E8D9A4">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-0.518</w:t>
                  </w:r>
                </w:p>
              </w:tc>
              <w:tc>
                <w:tcPr>
                  <w:tcW w:w="371" w:type="pct"/>
                  <w:tcBorders>
                    <w:tl2br w:val="nil"/>
                    <w:tr2bl w:val="nil"/>
                  </w:tcBorders>
                  <w:noWrap w:val="0"/>
                  <w:vAlign w:val="center"/>
                </w:tcPr>
                <w:p w14:paraId="3E72ED7B">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w:t>
                  </w:r>
                </w:p>
              </w:tc>
              <w:tc>
                <w:tcPr>
                  <w:tcW w:w="355" w:type="pct"/>
                  <w:tcBorders>
                    <w:tl2br w:val="nil"/>
                    <w:tr2bl w:val="nil"/>
                  </w:tcBorders>
                  <w:noWrap w:val="0"/>
                  <w:vAlign w:val="center"/>
                </w:tcPr>
                <w:p w14:paraId="5FB5C152">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 xml:space="preserve">0 </w:t>
                  </w:r>
                </w:p>
              </w:tc>
              <w:tc>
                <w:tcPr>
                  <w:tcW w:w="339" w:type="pct"/>
                  <w:tcBorders>
                    <w:tl2br w:val="nil"/>
                    <w:tr2bl w:val="nil"/>
                  </w:tcBorders>
                  <w:noWrap w:val="0"/>
                  <w:vAlign w:val="center"/>
                </w:tcPr>
                <w:p w14:paraId="705A1B1F">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-2.30</w:t>
                  </w:r>
                </w:p>
              </w:tc>
              <w:tc>
                <w:tcPr>
                  <w:tcW w:w="1017" w:type="dxa"/>
                  <w:tcBorders>
                    <w:tl2br w:val="nil"/>
                    <w:tr2bl w:val="nil"/>
                  </w:tcBorders>
                  <w:noWrap w:val="0"/>
                  <w:vAlign w:val="center"/>
                </w:tcPr>
                <w:p w14:paraId="067387B1">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-0.518</w:t>
                  </w:r>
                </w:p>
              </w:tc>
            </w:tr>
            <w:tr w14:paraId="329BB2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0" w:type="pct"/>
                  <w:vMerge w:val="continue"/>
                  <w:tcBorders>
                    <w:tl2br w:val="nil"/>
                    <w:tr2bl w:val="nil"/>
                  </w:tcBorders>
                  <w:noWrap w:val="0"/>
                  <w:vAlign w:val="center"/>
                </w:tcPr>
                <w:p w14:paraId="0AA8E584">
                  <w:pPr>
                    <w:pStyle w:val="31"/>
                    <w:bidi w:val="0"/>
                    <w:rPr>
                      <w:rFonts w:hint="default" w:ascii="Times New Roman" w:hAnsi="Times New Roman" w:cs="Times New Roman"/>
                      <w:color w:val="000000"/>
                      <w:highlight w:val="none"/>
                    </w:rPr>
                  </w:pPr>
                </w:p>
              </w:tc>
              <w:tc>
                <w:tcPr>
                  <w:tcW w:w="847" w:type="pct"/>
                  <w:tcBorders>
                    <w:tl2br w:val="nil"/>
                    <w:tr2bl w:val="nil"/>
                  </w:tcBorders>
                  <w:noWrap w:val="0"/>
                  <w:vAlign w:val="center"/>
                </w:tcPr>
                <w:p w14:paraId="79EC72E6">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NH</w:t>
                  </w:r>
                  <w:r>
                    <w:rPr>
                      <w:rFonts w:hint="default" w:ascii="Times New Roman" w:hAnsi="Times New Roman" w:cs="Times New Roman"/>
                      <w:color w:val="000000"/>
                      <w:highlight w:val="none"/>
                      <w:vertAlign w:val="subscript"/>
                    </w:rPr>
                    <w:t>3</w:t>
                  </w:r>
                  <w:r>
                    <w:rPr>
                      <w:rFonts w:hint="default" w:ascii="Times New Roman" w:hAnsi="Times New Roman" w:cs="Times New Roman"/>
                      <w:color w:val="000000"/>
                      <w:highlight w:val="none"/>
                    </w:rPr>
                    <w:t>-N</w:t>
                  </w:r>
                </w:p>
              </w:tc>
              <w:tc>
                <w:tcPr>
                  <w:tcW w:w="308" w:type="pct"/>
                  <w:tcBorders>
                    <w:tl2br w:val="nil"/>
                    <w:tr2bl w:val="nil"/>
                  </w:tcBorders>
                  <w:noWrap w:val="0"/>
                  <w:vAlign w:val="center"/>
                </w:tcPr>
                <w:p w14:paraId="5667F482">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0.23</w:t>
                  </w:r>
                </w:p>
              </w:tc>
              <w:tc>
                <w:tcPr>
                  <w:tcW w:w="355" w:type="pct"/>
                  <w:tcBorders>
                    <w:tl2br w:val="nil"/>
                    <w:tr2bl w:val="nil"/>
                  </w:tcBorders>
                  <w:noWrap w:val="0"/>
                  <w:vAlign w:val="center"/>
                </w:tcPr>
                <w:p w14:paraId="6A237708">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0.052</w:t>
                  </w:r>
                </w:p>
              </w:tc>
              <w:tc>
                <w:tcPr>
                  <w:tcW w:w="332" w:type="pct"/>
                  <w:tcBorders>
                    <w:tl2br w:val="nil"/>
                    <w:tr2bl w:val="nil"/>
                  </w:tcBorders>
                  <w:noWrap w:val="0"/>
                  <w:vAlign w:val="center"/>
                </w:tcPr>
                <w:p w14:paraId="3284D288">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w:t>
                  </w:r>
                </w:p>
              </w:tc>
              <w:tc>
                <w:tcPr>
                  <w:tcW w:w="332" w:type="pct"/>
                  <w:tcBorders>
                    <w:tl2br w:val="nil"/>
                    <w:tr2bl w:val="nil"/>
                  </w:tcBorders>
                  <w:noWrap w:val="0"/>
                  <w:vAlign w:val="center"/>
                </w:tcPr>
                <w:p w14:paraId="6A4D0DE1">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w:t>
                  </w:r>
                </w:p>
              </w:tc>
              <w:tc>
                <w:tcPr>
                  <w:tcW w:w="485" w:type="pct"/>
                  <w:tcBorders>
                    <w:tl2br w:val="nil"/>
                    <w:tr2bl w:val="nil"/>
                  </w:tcBorders>
                  <w:noWrap w:val="0"/>
                  <w:vAlign w:val="center"/>
                </w:tcPr>
                <w:p w14:paraId="2A4D1B55">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-0.23</w:t>
                  </w:r>
                </w:p>
              </w:tc>
              <w:tc>
                <w:tcPr>
                  <w:tcW w:w="1294" w:type="dxa"/>
                  <w:tcBorders>
                    <w:tl2br w:val="nil"/>
                    <w:tr2bl w:val="nil"/>
                  </w:tcBorders>
                  <w:noWrap w:val="0"/>
                  <w:vAlign w:val="center"/>
                </w:tcPr>
                <w:p w14:paraId="3DBB068B">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-0.052</w:t>
                  </w:r>
                </w:p>
              </w:tc>
              <w:tc>
                <w:tcPr>
                  <w:tcW w:w="371" w:type="pct"/>
                  <w:tcBorders>
                    <w:tl2br w:val="nil"/>
                    <w:tr2bl w:val="nil"/>
                  </w:tcBorders>
                  <w:noWrap w:val="0"/>
                  <w:vAlign w:val="center"/>
                </w:tcPr>
                <w:p w14:paraId="3CC0AA5E">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w:t>
                  </w:r>
                </w:p>
              </w:tc>
              <w:tc>
                <w:tcPr>
                  <w:tcW w:w="355" w:type="pct"/>
                  <w:tcBorders>
                    <w:tl2br w:val="nil"/>
                    <w:tr2bl w:val="nil"/>
                  </w:tcBorders>
                  <w:noWrap w:val="0"/>
                  <w:vAlign w:val="center"/>
                </w:tcPr>
                <w:p w14:paraId="2A605755">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 xml:space="preserve">0 </w:t>
                  </w:r>
                </w:p>
              </w:tc>
              <w:tc>
                <w:tcPr>
                  <w:tcW w:w="339" w:type="pct"/>
                  <w:tcBorders>
                    <w:tl2br w:val="nil"/>
                    <w:tr2bl w:val="nil"/>
                  </w:tcBorders>
                  <w:noWrap w:val="0"/>
                  <w:vAlign w:val="center"/>
                </w:tcPr>
                <w:p w14:paraId="259FD760">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-0.23</w:t>
                  </w:r>
                </w:p>
              </w:tc>
              <w:tc>
                <w:tcPr>
                  <w:tcW w:w="1017" w:type="dxa"/>
                  <w:tcBorders>
                    <w:tl2br w:val="nil"/>
                    <w:tr2bl w:val="nil"/>
                  </w:tcBorders>
                  <w:noWrap w:val="0"/>
                  <w:vAlign w:val="center"/>
                </w:tcPr>
                <w:p w14:paraId="5614535D">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-0.052</w:t>
                  </w:r>
                </w:p>
              </w:tc>
            </w:tr>
            <w:tr w14:paraId="6C47BB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0" w:type="pct"/>
                  <w:vMerge w:val="restart"/>
                  <w:tcBorders>
                    <w:tl2br w:val="nil"/>
                    <w:tr2bl w:val="nil"/>
                  </w:tcBorders>
                  <w:noWrap w:val="0"/>
                  <w:vAlign w:val="center"/>
                </w:tcPr>
                <w:p w14:paraId="43CD8116">
                  <w:pPr>
                    <w:pStyle w:val="31"/>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废气</w:t>
                  </w:r>
                </w:p>
              </w:tc>
              <w:tc>
                <w:tcPr>
                  <w:tcW w:w="847" w:type="pct"/>
                  <w:tcBorders>
                    <w:tl2br w:val="nil"/>
                    <w:tr2bl w:val="nil"/>
                  </w:tcBorders>
                  <w:noWrap w:val="0"/>
                  <w:vAlign w:val="center"/>
                </w:tcPr>
                <w:p w14:paraId="77E024D0">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NH</w:t>
                  </w:r>
                  <w:r>
                    <w:rPr>
                      <w:rFonts w:hint="default" w:ascii="Times New Roman" w:hAnsi="Times New Roman" w:cs="Times New Roman"/>
                      <w:color w:val="000000"/>
                      <w:highlight w:val="none"/>
                      <w:vertAlign w:val="subscript"/>
                    </w:rPr>
                    <w:t>3</w:t>
                  </w:r>
                </w:p>
              </w:tc>
              <w:tc>
                <w:tcPr>
                  <w:tcW w:w="308" w:type="pct"/>
                  <w:tcBorders>
                    <w:tl2br w:val="nil"/>
                    <w:tr2bl w:val="nil"/>
                  </w:tcBorders>
                  <w:noWrap w:val="0"/>
                  <w:vAlign w:val="center"/>
                </w:tcPr>
                <w:p w14:paraId="70C047CD">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b w:val="0"/>
                      <w:bCs w:val="0"/>
                      <w:color w:val="000000"/>
                      <w:highlight w:val="none"/>
                      <w:lang w:val="en-US" w:eastAsia="zh-CN"/>
                    </w:rPr>
                    <w:t>0.0247</w:t>
                  </w:r>
                </w:p>
              </w:tc>
              <w:tc>
                <w:tcPr>
                  <w:tcW w:w="355" w:type="pct"/>
                  <w:tcBorders>
                    <w:tl2br w:val="nil"/>
                    <w:tr2bl w:val="nil"/>
                  </w:tcBorders>
                  <w:noWrap w:val="0"/>
                  <w:vAlign w:val="center"/>
                </w:tcPr>
                <w:p w14:paraId="333DFE92">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b w:val="0"/>
                      <w:bCs w:val="0"/>
                      <w:color w:val="000000"/>
                      <w:highlight w:val="none"/>
                      <w:lang w:val="en-US" w:eastAsia="zh-CN"/>
                    </w:rPr>
                    <w:t>0.0056</w:t>
                  </w:r>
                </w:p>
              </w:tc>
              <w:tc>
                <w:tcPr>
                  <w:tcW w:w="931" w:type="dxa"/>
                  <w:tcBorders>
                    <w:tl2br w:val="nil"/>
                    <w:tr2bl w:val="nil"/>
                  </w:tcBorders>
                  <w:noWrap w:val="0"/>
                  <w:vAlign w:val="center"/>
                </w:tcPr>
                <w:p w14:paraId="076B1DA9">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 xml:space="preserve">0.0627 </w:t>
                  </w:r>
                </w:p>
              </w:tc>
              <w:tc>
                <w:tcPr>
                  <w:tcW w:w="941" w:type="dxa"/>
                  <w:tcBorders>
                    <w:tl2br w:val="nil"/>
                    <w:tr2bl w:val="nil"/>
                  </w:tcBorders>
                  <w:noWrap w:val="0"/>
                  <w:vAlign w:val="center"/>
                </w:tcPr>
                <w:p w14:paraId="42EDE6AB">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 xml:space="preserve">0.0141 </w:t>
                  </w:r>
                </w:p>
              </w:tc>
              <w:tc>
                <w:tcPr>
                  <w:tcW w:w="485" w:type="pct"/>
                  <w:tcBorders>
                    <w:tl2br w:val="nil"/>
                    <w:tr2bl w:val="nil"/>
                  </w:tcBorders>
                  <w:noWrap w:val="0"/>
                  <w:vAlign w:val="center"/>
                </w:tcPr>
                <w:p w14:paraId="08A2AE61">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w:t>
                  </w:r>
                </w:p>
              </w:tc>
              <w:tc>
                <w:tcPr>
                  <w:tcW w:w="460" w:type="pct"/>
                  <w:tcBorders>
                    <w:tl2br w:val="nil"/>
                    <w:tr2bl w:val="nil"/>
                  </w:tcBorders>
                  <w:noWrap w:val="0"/>
                  <w:vAlign w:val="center"/>
                </w:tcPr>
                <w:p w14:paraId="581DEF86">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w:t>
                  </w:r>
                </w:p>
              </w:tc>
              <w:tc>
                <w:tcPr>
                  <w:tcW w:w="1052" w:type="dxa"/>
                  <w:tcBorders>
                    <w:tl2br w:val="nil"/>
                    <w:tr2bl w:val="nil"/>
                  </w:tcBorders>
                  <w:noWrap w:val="0"/>
                  <w:vAlign w:val="center"/>
                </w:tcPr>
                <w:p w14:paraId="5D1A0D81">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 xml:space="preserve">0.0874 </w:t>
                  </w:r>
                </w:p>
              </w:tc>
              <w:tc>
                <w:tcPr>
                  <w:tcW w:w="1006" w:type="dxa"/>
                  <w:tcBorders>
                    <w:tl2br w:val="nil"/>
                    <w:tr2bl w:val="nil"/>
                  </w:tcBorders>
                  <w:noWrap w:val="0"/>
                  <w:vAlign w:val="center"/>
                </w:tcPr>
                <w:p w14:paraId="53A6E77D">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 xml:space="preserve">0.0197 </w:t>
                  </w:r>
                </w:p>
              </w:tc>
              <w:tc>
                <w:tcPr>
                  <w:tcW w:w="961" w:type="dxa"/>
                  <w:tcBorders>
                    <w:tl2br w:val="nil"/>
                    <w:tr2bl w:val="nil"/>
                  </w:tcBorders>
                  <w:noWrap w:val="0"/>
                  <w:vAlign w:val="center"/>
                </w:tcPr>
                <w:p w14:paraId="19762184">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 xml:space="preserve">+0.0627 </w:t>
                  </w:r>
                </w:p>
              </w:tc>
              <w:tc>
                <w:tcPr>
                  <w:tcW w:w="971" w:type="dxa"/>
                  <w:tcBorders>
                    <w:tl2br w:val="nil"/>
                    <w:tr2bl w:val="nil"/>
                  </w:tcBorders>
                  <w:noWrap w:val="0"/>
                  <w:vAlign w:val="center"/>
                </w:tcPr>
                <w:p w14:paraId="0A0EEF24">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 xml:space="preserve">+0.0141 </w:t>
                  </w:r>
                </w:p>
              </w:tc>
            </w:tr>
            <w:tr w14:paraId="53731B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0" w:type="pct"/>
                  <w:vMerge w:val="continue"/>
                  <w:tcBorders>
                    <w:tl2br w:val="nil"/>
                    <w:tr2bl w:val="nil"/>
                  </w:tcBorders>
                  <w:noWrap w:val="0"/>
                  <w:vAlign w:val="center"/>
                </w:tcPr>
                <w:p w14:paraId="6F81BDA7">
                  <w:pPr>
                    <w:pStyle w:val="31"/>
                    <w:bidi w:val="0"/>
                    <w:rPr>
                      <w:rFonts w:hint="default" w:ascii="Times New Roman" w:hAnsi="Times New Roman" w:cs="Times New Roman"/>
                      <w:color w:val="000000"/>
                      <w:highlight w:val="none"/>
                    </w:rPr>
                  </w:pPr>
                </w:p>
              </w:tc>
              <w:tc>
                <w:tcPr>
                  <w:tcW w:w="847" w:type="pct"/>
                  <w:tcBorders>
                    <w:tl2br w:val="nil"/>
                    <w:tr2bl w:val="nil"/>
                  </w:tcBorders>
                  <w:noWrap w:val="0"/>
                  <w:vAlign w:val="center"/>
                </w:tcPr>
                <w:p w14:paraId="2E150847">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H</w:t>
                  </w:r>
                  <w:r>
                    <w:rPr>
                      <w:rFonts w:hint="default" w:ascii="Times New Roman" w:hAnsi="Times New Roman" w:cs="Times New Roman"/>
                      <w:color w:val="000000"/>
                      <w:highlight w:val="none"/>
                      <w:vertAlign w:val="subscript"/>
                    </w:rPr>
                    <w:t>2</w:t>
                  </w:r>
                  <w:r>
                    <w:rPr>
                      <w:rFonts w:hint="default" w:ascii="Times New Roman" w:hAnsi="Times New Roman" w:cs="Times New Roman"/>
                      <w:color w:val="000000"/>
                      <w:highlight w:val="none"/>
                    </w:rPr>
                    <w:t>S</w:t>
                  </w:r>
                </w:p>
              </w:tc>
              <w:tc>
                <w:tcPr>
                  <w:tcW w:w="308" w:type="pct"/>
                  <w:tcBorders>
                    <w:tl2br w:val="nil"/>
                    <w:tr2bl w:val="nil"/>
                  </w:tcBorders>
                  <w:noWrap w:val="0"/>
                  <w:vAlign w:val="center"/>
                </w:tcPr>
                <w:p w14:paraId="0C44AE52">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0.0025</w:t>
                  </w:r>
                </w:p>
              </w:tc>
              <w:tc>
                <w:tcPr>
                  <w:tcW w:w="355" w:type="pct"/>
                  <w:tcBorders>
                    <w:tl2br w:val="nil"/>
                    <w:tr2bl w:val="nil"/>
                  </w:tcBorders>
                  <w:noWrap w:val="0"/>
                  <w:vAlign w:val="center"/>
                </w:tcPr>
                <w:p w14:paraId="76B7BCE7">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0.0006</w:t>
                  </w:r>
                </w:p>
              </w:tc>
              <w:tc>
                <w:tcPr>
                  <w:tcW w:w="931" w:type="dxa"/>
                  <w:tcBorders>
                    <w:tl2br w:val="nil"/>
                    <w:tr2bl w:val="nil"/>
                  </w:tcBorders>
                  <w:noWrap w:val="0"/>
                  <w:vAlign w:val="center"/>
                </w:tcPr>
                <w:p w14:paraId="5D457E70">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 xml:space="preserve">0.0040 </w:t>
                  </w:r>
                </w:p>
              </w:tc>
              <w:tc>
                <w:tcPr>
                  <w:tcW w:w="941" w:type="dxa"/>
                  <w:tcBorders>
                    <w:tl2br w:val="nil"/>
                    <w:tr2bl w:val="nil"/>
                  </w:tcBorders>
                  <w:noWrap w:val="0"/>
                  <w:vAlign w:val="center"/>
                </w:tcPr>
                <w:p w14:paraId="2E679B1B">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 xml:space="preserve">0.0009 </w:t>
                  </w:r>
                </w:p>
              </w:tc>
              <w:tc>
                <w:tcPr>
                  <w:tcW w:w="485" w:type="pct"/>
                  <w:tcBorders>
                    <w:tl2br w:val="nil"/>
                    <w:tr2bl w:val="nil"/>
                  </w:tcBorders>
                  <w:noWrap w:val="0"/>
                  <w:vAlign w:val="center"/>
                </w:tcPr>
                <w:p w14:paraId="3689ED8B">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w:t>
                  </w:r>
                </w:p>
              </w:tc>
              <w:tc>
                <w:tcPr>
                  <w:tcW w:w="460" w:type="pct"/>
                  <w:tcBorders>
                    <w:tl2br w:val="nil"/>
                    <w:tr2bl w:val="nil"/>
                  </w:tcBorders>
                  <w:noWrap w:val="0"/>
                  <w:vAlign w:val="center"/>
                </w:tcPr>
                <w:p w14:paraId="1ED72C86">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w:t>
                  </w:r>
                </w:p>
              </w:tc>
              <w:tc>
                <w:tcPr>
                  <w:tcW w:w="1052" w:type="dxa"/>
                  <w:tcBorders>
                    <w:tl2br w:val="nil"/>
                    <w:tr2bl w:val="nil"/>
                  </w:tcBorders>
                  <w:noWrap w:val="0"/>
                  <w:vAlign w:val="center"/>
                </w:tcPr>
                <w:p w14:paraId="499921EC">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 xml:space="preserve">0.0065 </w:t>
                  </w:r>
                </w:p>
              </w:tc>
              <w:tc>
                <w:tcPr>
                  <w:tcW w:w="1006" w:type="dxa"/>
                  <w:tcBorders>
                    <w:tl2br w:val="nil"/>
                    <w:tr2bl w:val="nil"/>
                  </w:tcBorders>
                  <w:noWrap w:val="0"/>
                  <w:vAlign w:val="center"/>
                </w:tcPr>
                <w:p w14:paraId="276BF467">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 xml:space="preserve">0.0015 </w:t>
                  </w:r>
                </w:p>
              </w:tc>
              <w:tc>
                <w:tcPr>
                  <w:tcW w:w="961" w:type="dxa"/>
                  <w:tcBorders>
                    <w:tl2br w:val="nil"/>
                    <w:tr2bl w:val="nil"/>
                  </w:tcBorders>
                  <w:noWrap w:val="0"/>
                  <w:vAlign w:val="center"/>
                </w:tcPr>
                <w:p w14:paraId="4738D665">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 xml:space="preserve">+0.0040 </w:t>
                  </w:r>
                </w:p>
              </w:tc>
              <w:tc>
                <w:tcPr>
                  <w:tcW w:w="971" w:type="dxa"/>
                  <w:tcBorders>
                    <w:tl2br w:val="nil"/>
                    <w:tr2bl w:val="nil"/>
                  </w:tcBorders>
                  <w:noWrap w:val="0"/>
                  <w:vAlign w:val="center"/>
                </w:tcPr>
                <w:p w14:paraId="214DD054">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 xml:space="preserve">+0.0009 </w:t>
                  </w:r>
                </w:p>
              </w:tc>
            </w:tr>
            <w:tr w14:paraId="7E04B3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0" w:type="pct"/>
                  <w:vMerge w:val="continue"/>
                  <w:tcBorders>
                    <w:tl2br w:val="nil"/>
                    <w:tr2bl w:val="nil"/>
                  </w:tcBorders>
                  <w:noWrap w:val="0"/>
                  <w:vAlign w:val="center"/>
                </w:tcPr>
                <w:p w14:paraId="3DA6F825">
                  <w:pPr>
                    <w:pStyle w:val="31"/>
                    <w:bidi w:val="0"/>
                    <w:rPr>
                      <w:rFonts w:hint="default" w:ascii="Times New Roman" w:hAnsi="Times New Roman" w:cs="Times New Roman"/>
                      <w:color w:val="000000"/>
                      <w:highlight w:val="none"/>
                    </w:rPr>
                  </w:pPr>
                </w:p>
              </w:tc>
              <w:tc>
                <w:tcPr>
                  <w:tcW w:w="847" w:type="pct"/>
                  <w:tcBorders>
                    <w:tl2br w:val="nil"/>
                    <w:tr2bl w:val="nil"/>
                  </w:tcBorders>
                  <w:noWrap w:val="0"/>
                  <w:vAlign w:val="center"/>
                </w:tcPr>
                <w:p w14:paraId="24A32511">
                  <w:pPr>
                    <w:pStyle w:val="31"/>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油烟</w:t>
                  </w:r>
                </w:p>
              </w:tc>
              <w:tc>
                <w:tcPr>
                  <w:tcW w:w="308" w:type="pct"/>
                  <w:tcBorders>
                    <w:tl2br w:val="nil"/>
                    <w:tr2bl w:val="nil"/>
                  </w:tcBorders>
                  <w:noWrap w:val="0"/>
                  <w:vAlign w:val="center"/>
                </w:tcPr>
                <w:p w14:paraId="240A6277">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w:t>
                  </w:r>
                </w:p>
              </w:tc>
              <w:tc>
                <w:tcPr>
                  <w:tcW w:w="355" w:type="pct"/>
                  <w:tcBorders>
                    <w:tl2br w:val="nil"/>
                    <w:tr2bl w:val="nil"/>
                  </w:tcBorders>
                  <w:noWrap w:val="0"/>
                  <w:vAlign w:val="center"/>
                </w:tcPr>
                <w:p w14:paraId="04A727E4">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w:t>
                  </w:r>
                </w:p>
              </w:tc>
              <w:tc>
                <w:tcPr>
                  <w:tcW w:w="332" w:type="pct"/>
                  <w:tcBorders>
                    <w:tl2br w:val="nil"/>
                    <w:tr2bl w:val="nil"/>
                  </w:tcBorders>
                  <w:noWrap w:val="0"/>
                  <w:vAlign w:val="center"/>
                </w:tcPr>
                <w:p w14:paraId="00C38A41">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u w:val="none"/>
                      <w:lang w:val="en-US" w:eastAsia="zh-CN"/>
                    </w:rPr>
                    <w:t>0.0636</w:t>
                  </w:r>
                </w:p>
              </w:tc>
              <w:tc>
                <w:tcPr>
                  <w:tcW w:w="332" w:type="pct"/>
                  <w:tcBorders>
                    <w:tl2br w:val="nil"/>
                    <w:tr2bl w:val="nil"/>
                  </w:tcBorders>
                  <w:noWrap w:val="0"/>
                  <w:vAlign w:val="center"/>
                </w:tcPr>
                <w:p w14:paraId="0DE6655E">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0.0143</w:t>
                  </w:r>
                </w:p>
              </w:tc>
              <w:tc>
                <w:tcPr>
                  <w:tcW w:w="485" w:type="pct"/>
                  <w:tcBorders>
                    <w:tl2br w:val="nil"/>
                    <w:tr2bl w:val="nil"/>
                  </w:tcBorders>
                  <w:noWrap w:val="0"/>
                  <w:vAlign w:val="center"/>
                </w:tcPr>
                <w:p w14:paraId="1D51040C">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w:t>
                  </w:r>
                </w:p>
              </w:tc>
              <w:tc>
                <w:tcPr>
                  <w:tcW w:w="460" w:type="pct"/>
                  <w:tcBorders>
                    <w:tl2br w:val="nil"/>
                    <w:tr2bl w:val="nil"/>
                  </w:tcBorders>
                  <w:noWrap w:val="0"/>
                  <w:vAlign w:val="center"/>
                </w:tcPr>
                <w:p w14:paraId="64FAC6FE">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w:t>
                  </w:r>
                </w:p>
              </w:tc>
              <w:tc>
                <w:tcPr>
                  <w:tcW w:w="1052" w:type="dxa"/>
                  <w:tcBorders>
                    <w:tl2br w:val="nil"/>
                    <w:tr2bl w:val="nil"/>
                  </w:tcBorders>
                  <w:noWrap w:val="0"/>
                  <w:vAlign w:val="center"/>
                </w:tcPr>
                <w:p w14:paraId="1B39F161">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u w:val="none"/>
                      <w:lang w:val="en-US" w:eastAsia="zh-CN"/>
                    </w:rPr>
                    <w:t>0.0636</w:t>
                  </w:r>
                </w:p>
              </w:tc>
              <w:tc>
                <w:tcPr>
                  <w:tcW w:w="1006" w:type="dxa"/>
                  <w:tcBorders>
                    <w:tl2br w:val="nil"/>
                    <w:tr2bl w:val="nil"/>
                  </w:tcBorders>
                  <w:noWrap w:val="0"/>
                  <w:vAlign w:val="center"/>
                </w:tcPr>
                <w:p w14:paraId="086533D3">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0.0143</w:t>
                  </w:r>
                </w:p>
              </w:tc>
              <w:tc>
                <w:tcPr>
                  <w:tcW w:w="961" w:type="dxa"/>
                  <w:tcBorders>
                    <w:tl2br w:val="nil"/>
                    <w:tr2bl w:val="nil"/>
                  </w:tcBorders>
                  <w:noWrap w:val="0"/>
                  <w:vAlign w:val="center"/>
                </w:tcPr>
                <w:p w14:paraId="765986D3">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u w:val="none"/>
                      <w:lang w:val="en-US" w:eastAsia="zh-CN"/>
                    </w:rPr>
                    <w:t>+0.0636</w:t>
                  </w:r>
                </w:p>
              </w:tc>
              <w:tc>
                <w:tcPr>
                  <w:tcW w:w="971" w:type="dxa"/>
                  <w:tcBorders>
                    <w:tl2br w:val="nil"/>
                    <w:tr2bl w:val="nil"/>
                  </w:tcBorders>
                  <w:noWrap w:val="0"/>
                  <w:vAlign w:val="center"/>
                </w:tcPr>
                <w:p w14:paraId="0B6F01A9">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+0.0143</w:t>
                  </w:r>
                </w:p>
              </w:tc>
            </w:tr>
            <w:tr w14:paraId="3EC9F3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0" w:type="pct"/>
                  <w:vMerge w:val="restart"/>
                  <w:tcBorders>
                    <w:tl2br w:val="nil"/>
                    <w:tr2bl w:val="nil"/>
                  </w:tcBorders>
                  <w:noWrap w:val="0"/>
                  <w:vAlign w:val="center"/>
                </w:tcPr>
                <w:p w14:paraId="57D0AE2D">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固体废物</w:t>
                  </w:r>
                </w:p>
              </w:tc>
              <w:tc>
                <w:tcPr>
                  <w:tcW w:w="847" w:type="pct"/>
                  <w:tcBorders>
                    <w:tl2br w:val="nil"/>
                    <w:tr2bl w:val="nil"/>
                  </w:tcBorders>
                  <w:noWrap w:val="0"/>
                  <w:vAlign w:val="center"/>
                </w:tcPr>
                <w:p w14:paraId="078F765D">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港区生活垃圾</w:t>
                  </w:r>
                </w:p>
              </w:tc>
              <w:tc>
                <w:tcPr>
                  <w:tcW w:w="308" w:type="pct"/>
                  <w:tcBorders>
                    <w:tl2br w:val="nil"/>
                    <w:tr2bl w:val="nil"/>
                  </w:tcBorders>
                  <w:noWrap w:val="0"/>
                  <w:vAlign w:val="center"/>
                </w:tcPr>
                <w:p w14:paraId="65CBADC1">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4.5</w:t>
                  </w:r>
                </w:p>
              </w:tc>
              <w:tc>
                <w:tcPr>
                  <w:tcW w:w="355" w:type="pct"/>
                  <w:tcBorders>
                    <w:tl2br w:val="nil"/>
                    <w:tr2bl w:val="nil"/>
                  </w:tcBorders>
                  <w:noWrap w:val="0"/>
                  <w:vAlign w:val="center"/>
                </w:tcPr>
                <w:p w14:paraId="724C2B90">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1.0125</w:t>
                  </w:r>
                </w:p>
              </w:tc>
              <w:tc>
                <w:tcPr>
                  <w:tcW w:w="332" w:type="pct"/>
                  <w:tcBorders>
                    <w:tl2br w:val="nil"/>
                    <w:tr2bl w:val="nil"/>
                  </w:tcBorders>
                  <w:noWrap w:val="0"/>
                  <w:vAlign w:val="center"/>
                </w:tcPr>
                <w:p w14:paraId="053D69B6">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b w:val="0"/>
                      <w:bCs w:val="0"/>
                      <w:color w:val="000000"/>
                      <w:highlight w:val="none"/>
                      <w:lang w:val="en-US" w:eastAsia="zh-CN"/>
                    </w:rPr>
                    <w:t>324</w:t>
                  </w:r>
                </w:p>
              </w:tc>
              <w:tc>
                <w:tcPr>
                  <w:tcW w:w="332" w:type="pct"/>
                  <w:tcBorders>
                    <w:tl2br w:val="nil"/>
                    <w:tr2bl w:val="nil"/>
                  </w:tcBorders>
                  <w:noWrap w:val="0"/>
                  <w:vAlign w:val="center"/>
                </w:tcPr>
                <w:p w14:paraId="4C09D703">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72.9</w:t>
                  </w:r>
                </w:p>
              </w:tc>
              <w:tc>
                <w:tcPr>
                  <w:tcW w:w="485" w:type="pct"/>
                  <w:tcBorders>
                    <w:tl2br w:val="nil"/>
                    <w:tr2bl w:val="nil"/>
                  </w:tcBorders>
                  <w:noWrap w:val="0"/>
                  <w:vAlign w:val="center"/>
                </w:tcPr>
                <w:p w14:paraId="7720D381">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w:t>
                  </w:r>
                </w:p>
              </w:tc>
              <w:tc>
                <w:tcPr>
                  <w:tcW w:w="460" w:type="pct"/>
                  <w:tcBorders>
                    <w:tl2br w:val="nil"/>
                    <w:tr2bl w:val="nil"/>
                  </w:tcBorders>
                  <w:noWrap w:val="0"/>
                  <w:vAlign w:val="center"/>
                </w:tcPr>
                <w:p w14:paraId="62228D71">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w:t>
                  </w:r>
                </w:p>
              </w:tc>
              <w:tc>
                <w:tcPr>
                  <w:tcW w:w="371" w:type="pct"/>
                  <w:tcBorders>
                    <w:tl2br w:val="nil"/>
                    <w:tr2bl w:val="nil"/>
                  </w:tcBorders>
                  <w:noWrap w:val="0"/>
                  <w:vAlign w:val="center"/>
                </w:tcPr>
                <w:p w14:paraId="0018A7A9">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328.5</w:t>
                  </w:r>
                </w:p>
              </w:tc>
              <w:tc>
                <w:tcPr>
                  <w:tcW w:w="355" w:type="pct"/>
                  <w:tcBorders>
                    <w:tl2br w:val="nil"/>
                    <w:tr2bl w:val="nil"/>
                  </w:tcBorders>
                  <w:noWrap w:val="0"/>
                  <w:vAlign w:val="center"/>
                </w:tcPr>
                <w:p w14:paraId="26E66B81">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73.9125</w:t>
                  </w:r>
                </w:p>
              </w:tc>
              <w:tc>
                <w:tcPr>
                  <w:tcW w:w="339" w:type="pct"/>
                  <w:tcBorders>
                    <w:tl2br w:val="nil"/>
                    <w:tr2bl w:val="nil"/>
                  </w:tcBorders>
                  <w:noWrap w:val="0"/>
                  <w:vAlign w:val="center"/>
                </w:tcPr>
                <w:p w14:paraId="3F69F48E">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w:t>
                  </w:r>
                  <w:r>
                    <w:rPr>
                      <w:rFonts w:hint="default" w:ascii="Times New Roman" w:hAnsi="Times New Roman" w:cs="Times New Roman"/>
                      <w:b w:val="0"/>
                      <w:bCs w:val="0"/>
                      <w:color w:val="000000"/>
                      <w:highlight w:val="none"/>
                      <w:lang w:val="en-US" w:eastAsia="zh-CN"/>
                    </w:rPr>
                    <w:t>324</w:t>
                  </w:r>
                </w:p>
              </w:tc>
              <w:tc>
                <w:tcPr>
                  <w:tcW w:w="342" w:type="pct"/>
                  <w:tcBorders>
                    <w:tl2br w:val="nil"/>
                    <w:tr2bl w:val="nil"/>
                  </w:tcBorders>
                  <w:noWrap w:val="0"/>
                  <w:vAlign w:val="center"/>
                </w:tcPr>
                <w:p w14:paraId="3C44E7BA">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+72.9</w:t>
                  </w:r>
                </w:p>
              </w:tc>
            </w:tr>
            <w:tr w14:paraId="560438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0" w:type="pct"/>
                  <w:vMerge w:val="continue"/>
                  <w:tcBorders>
                    <w:tl2br w:val="nil"/>
                    <w:tr2bl w:val="nil"/>
                  </w:tcBorders>
                  <w:noWrap w:val="0"/>
                  <w:vAlign w:val="center"/>
                </w:tcPr>
                <w:p w14:paraId="4E60F2E3">
                  <w:pPr>
                    <w:pStyle w:val="31"/>
                    <w:bidi w:val="0"/>
                    <w:rPr>
                      <w:rFonts w:hint="default" w:ascii="Times New Roman" w:hAnsi="Times New Roman" w:cs="Times New Roman"/>
                      <w:color w:val="000000"/>
                      <w:highlight w:val="none"/>
                    </w:rPr>
                  </w:pPr>
                </w:p>
              </w:tc>
              <w:tc>
                <w:tcPr>
                  <w:tcW w:w="847" w:type="pct"/>
                  <w:tcBorders>
                    <w:tl2br w:val="nil"/>
                    <w:tr2bl w:val="nil"/>
                  </w:tcBorders>
                  <w:noWrap w:val="0"/>
                  <w:vAlign w:val="center"/>
                </w:tcPr>
                <w:p w14:paraId="1DC5D3EA">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船舶垃圾</w:t>
                  </w:r>
                </w:p>
              </w:tc>
              <w:tc>
                <w:tcPr>
                  <w:tcW w:w="308" w:type="pct"/>
                  <w:tcBorders>
                    <w:tl2br w:val="nil"/>
                    <w:tr2bl w:val="nil"/>
                  </w:tcBorders>
                  <w:noWrap w:val="0"/>
                  <w:vAlign w:val="center"/>
                </w:tcPr>
                <w:p w14:paraId="2EF49398">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678</w:t>
                  </w:r>
                </w:p>
              </w:tc>
              <w:tc>
                <w:tcPr>
                  <w:tcW w:w="355" w:type="pct"/>
                  <w:tcBorders>
                    <w:tl2br w:val="nil"/>
                    <w:tr2bl w:val="nil"/>
                  </w:tcBorders>
                  <w:noWrap w:val="0"/>
                  <w:vAlign w:val="center"/>
                </w:tcPr>
                <w:p w14:paraId="67BD7183">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152.55</w:t>
                  </w:r>
                </w:p>
              </w:tc>
              <w:tc>
                <w:tcPr>
                  <w:tcW w:w="332" w:type="pct"/>
                  <w:tcBorders>
                    <w:tl2br w:val="nil"/>
                    <w:tr2bl w:val="nil"/>
                  </w:tcBorders>
                  <w:noWrap w:val="0"/>
                  <w:vAlign w:val="center"/>
                </w:tcPr>
                <w:p w14:paraId="7A7973D7">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183</w:t>
                  </w:r>
                </w:p>
              </w:tc>
              <w:tc>
                <w:tcPr>
                  <w:tcW w:w="332" w:type="pct"/>
                  <w:tcBorders>
                    <w:tl2br w:val="nil"/>
                    <w:tr2bl w:val="nil"/>
                  </w:tcBorders>
                  <w:noWrap w:val="0"/>
                  <w:vAlign w:val="center"/>
                </w:tcPr>
                <w:p w14:paraId="2CBCE235">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41.175</w:t>
                  </w:r>
                </w:p>
              </w:tc>
              <w:tc>
                <w:tcPr>
                  <w:tcW w:w="485" w:type="pct"/>
                  <w:tcBorders>
                    <w:tl2br w:val="nil"/>
                    <w:tr2bl w:val="nil"/>
                  </w:tcBorders>
                  <w:noWrap w:val="0"/>
                  <w:vAlign w:val="center"/>
                </w:tcPr>
                <w:p w14:paraId="349A0A11">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w:t>
                  </w:r>
                </w:p>
              </w:tc>
              <w:tc>
                <w:tcPr>
                  <w:tcW w:w="460" w:type="pct"/>
                  <w:tcBorders>
                    <w:tl2br w:val="nil"/>
                    <w:tr2bl w:val="nil"/>
                  </w:tcBorders>
                  <w:noWrap w:val="0"/>
                  <w:vAlign w:val="center"/>
                </w:tcPr>
                <w:p w14:paraId="270FCEE4">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w:t>
                  </w:r>
                </w:p>
              </w:tc>
              <w:tc>
                <w:tcPr>
                  <w:tcW w:w="371" w:type="pct"/>
                  <w:tcBorders>
                    <w:tl2br w:val="nil"/>
                    <w:tr2bl w:val="nil"/>
                  </w:tcBorders>
                  <w:noWrap w:val="0"/>
                  <w:vAlign w:val="center"/>
                </w:tcPr>
                <w:p w14:paraId="48FF51C9">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861</w:t>
                  </w:r>
                </w:p>
              </w:tc>
              <w:tc>
                <w:tcPr>
                  <w:tcW w:w="355" w:type="pct"/>
                  <w:tcBorders>
                    <w:tl2br w:val="nil"/>
                    <w:tr2bl w:val="nil"/>
                  </w:tcBorders>
                  <w:noWrap w:val="0"/>
                  <w:vAlign w:val="center"/>
                </w:tcPr>
                <w:p w14:paraId="67BCE0E0">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193.725</w:t>
                  </w:r>
                </w:p>
              </w:tc>
              <w:tc>
                <w:tcPr>
                  <w:tcW w:w="339" w:type="pct"/>
                  <w:tcBorders>
                    <w:tl2br w:val="nil"/>
                    <w:tr2bl w:val="nil"/>
                  </w:tcBorders>
                  <w:noWrap w:val="0"/>
                  <w:vAlign w:val="center"/>
                </w:tcPr>
                <w:p w14:paraId="7A054F85">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+183</w:t>
                  </w:r>
                </w:p>
              </w:tc>
              <w:tc>
                <w:tcPr>
                  <w:tcW w:w="342" w:type="pct"/>
                  <w:tcBorders>
                    <w:tl2br w:val="nil"/>
                    <w:tr2bl w:val="nil"/>
                  </w:tcBorders>
                  <w:noWrap w:val="0"/>
                  <w:vAlign w:val="center"/>
                </w:tcPr>
                <w:p w14:paraId="24F43872">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+41.175</w:t>
                  </w:r>
                </w:p>
              </w:tc>
            </w:tr>
            <w:tr w14:paraId="3E7CB8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0" w:type="pct"/>
                  <w:vMerge w:val="continue"/>
                  <w:tcBorders>
                    <w:tl2br w:val="nil"/>
                    <w:tr2bl w:val="nil"/>
                  </w:tcBorders>
                  <w:noWrap/>
                  <w:vAlign w:val="center"/>
                </w:tcPr>
                <w:p w14:paraId="5545F0B8">
                  <w:pPr>
                    <w:pStyle w:val="31"/>
                    <w:bidi w:val="0"/>
                    <w:rPr>
                      <w:rFonts w:hint="default" w:ascii="Times New Roman" w:hAnsi="Times New Roman" w:cs="Times New Roman"/>
                      <w:color w:val="000000"/>
                      <w:highlight w:val="none"/>
                    </w:rPr>
                  </w:pPr>
                </w:p>
              </w:tc>
              <w:tc>
                <w:tcPr>
                  <w:tcW w:w="847" w:type="pct"/>
                  <w:tcBorders>
                    <w:tl2br w:val="nil"/>
                    <w:tr2bl w:val="nil"/>
                  </w:tcBorders>
                  <w:noWrap w:val="0"/>
                  <w:vAlign w:val="center"/>
                </w:tcPr>
                <w:p w14:paraId="1D535217">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港区生产固废</w:t>
                  </w:r>
                </w:p>
                <w:p w14:paraId="127C1811">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（渔产品废弃物）</w:t>
                  </w:r>
                </w:p>
              </w:tc>
              <w:tc>
                <w:tcPr>
                  <w:tcW w:w="308" w:type="pct"/>
                  <w:tcBorders>
                    <w:tl2br w:val="nil"/>
                    <w:tr2bl w:val="nil"/>
                  </w:tcBorders>
                  <w:noWrap w:val="0"/>
                  <w:vAlign w:val="center"/>
                </w:tcPr>
                <w:p w14:paraId="67F36042">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132</w:t>
                  </w:r>
                </w:p>
              </w:tc>
              <w:tc>
                <w:tcPr>
                  <w:tcW w:w="355" w:type="pct"/>
                  <w:tcBorders>
                    <w:tl2br w:val="nil"/>
                    <w:tr2bl w:val="nil"/>
                  </w:tcBorders>
                  <w:noWrap w:val="0"/>
                  <w:vAlign w:val="center"/>
                </w:tcPr>
                <w:p w14:paraId="1329BA3D">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29.7</w:t>
                  </w:r>
                </w:p>
              </w:tc>
              <w:tc>
                <w:tcPr>
                  <w:tcW w:w="332" w:type="pct"/>
                  <w:tcBorders>
                    <w:tl2br w:val="nil"/>
                    <w:tr2bl w:val="nil"/>
                  </w:tcBorders>
                  <w:noWrap w:val="0"/>
                  <w:vAlign w:val="center"/>
                </w:tcPr>
                <w:p w14:paraId="085F446D">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188.4</w:t>
                  </w:r>
                </w:p>
              </w:tc>
              <w:tc>
                <w:tcPr>
                  <w:tcW w:w="332" w:type="pct"/>
                  <w:tcBorders>
                    <w:tl2br w:val="nil"/>
                    <w:tr2bl w:val="nil"/>
                  </w:tcBorders>
                  <w:noWrap w:val="0"/>
                  <w:vAlign w:val="center"/>
                </w:tcPr>
                <w:p w14:paraId="24756171">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42.4</w:t>
                  </w:r>
                </w:p>
              </w:tc>
              <w:tc>
                <w:tcPr>
                  <w:tcW w:w="485" w:type="pct"/>
                  <w:tcBorders>
                    <w:tl2br w:val="nil"/>
                    <w:tr2bl w:val="nil"/>
                  </w:tcBorders>
                  <w:noWrap w:val="0"/>
                  <w:vAlign w:val="center"/>
                </w:tcPr>
                <w:p w14:paraId="11C71484">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w:t>
                  </w:r>
                </w:p>
              </w:tc>
              <w:tc>
                <w:tcPr>
                  <w:tcW w:w="460" w:type="pct"/>
                  <w:tcBorders>
                    <w:tl2br w:val="nil"/>
                    <w:tr2bl w:val="nil"/>
                  </w:tcBorders>
                  <w:noWrap w:val="0"/>
                  <w:vAlign w:val="center"/>
                </w:tcPr>
                <w:p w14:paraId="540C93D1">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w:t>
                  </w:r>
                </w:p>
              </w:tc>
              <w:tc>
                <w:tcPr>
                  <w:tcW w:w="371" w:type="pct"/>
                  <w:tcBorders>
                    <w:tl2br w:val="nil"/>
                    <w:tr2bl w:val="nil"/>
                  </w:tcBorders>
                  <w:noWrap w:val="0"/>
                  <w:vAlign w:val="center"/>
                </w:tcPr>
                <w:p w14:paraId="11BD3261">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320.4</w:t>
                  </w:r>
                </w:p>
              </w:tc>
              <w:tc>
                <w:tcPr>
                  <w:tcW w:w="355" w:type="pct"/>
                  <w:tcBorders>
                    <w:tl2br w:val="nil"/>
                    <w:tr2bl w:val="nil"/>
                  </w:tcBorders>
                  <w:noWrap w:val="0"/>
                  <w:vAlign w:val="center"/>
                </w:tcPr>
                <w:p w14:paraId="38DB12B7">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72.1</w:t>
                  </w:r>
                </w:p>
              </w:tc>
              <w:tc>
                <w:tcPr>
                  <w:tcW w:w="339" w:type="pct"/>
                  <w:tcBorders>
                    <w:tl2br w:val="nil"/>
                    <w:tr2bl w:val="nil"/>
                  </w:tcBorders>
                  <w:noWrap w:val="0"/>
                  <w:vAlign w:val="center"/>
                </w:tcPr>
                <w:p w14:paraId="7A51B7B3">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+188.4</w:t>
                  </w:r>
                </w:p>
              </w:tc>
              <w:tc>
                <w:tcPr>
                  <w:tcW w:w="342" w:type="pct"/>
                  <w:tcBorders>
                    <w:tl2br w:val="nil"/>
                    <w:tr2bl w:val="nil"/>
                  </w:tcBorders>
                  <w:noWrap w:val="0"/>
                  <w:vAlign w:val="center"/>
                </w:tcPr>
                <w:p w14:paraId="6C67E401">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+42.4</w:t>
                  </w:r>
                </w:p>
              </w:tc>
            </w:tr>
            <w:tr w14:paraId="079F78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0" w:type="pct"/>
                  <w:vMerge w:val="continue"/>
                  <w:tcBorders>
                    <w:tl2br w:val="nil"/>
                    <w:tr2bl w:val="nil"/>
                  </w:tcBorders>
                  <w:noWrap/>
                  <w:vAlign w:val="center"/>
                </w:tcPr>
                <w:p w14:paraId="7F47F01E">
                  <w:pPr>
                    <w:pStyle w:val="31"/>
                    <w:bidi w:val="0"/>
                    <w:rPr>
                      <w:rFonts w:hint="default" w:ascii="Times New Roman" w:hAnsi="Times New Roman" w:cs="Times New Roman"/>
                      <w:color w:val="000000"/>
                      <w:highlight w:val="none"/>
                    </w:rPr>
                  </w:pPr>
                </w:p>
              </w:tc>
              <w:tc>
                <w:tcPr>
                  <w:tcW w:w="847" w:type="pct"/>
                  <w:tcBorders>
                    <w:tl2br w:val="nil"/>
                    <w:tr2bl w:val="nil"/>
                  </w:tcBorders>
                  <w:noWrap w:val="0"/>
                  <w:vAlign w:val="center"/>
                </w:tcPr>
                <w:p w14:paraId="043B590D">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污水处理设施</w:t>
                  </w:r>
                  <w:r>
                    <w:rPr>
                      <w:rFonts w:hint="default" w:ascii="Times New Roman" w:hAnsi="Times New Roman" w:cs="Times New Roman"/>
                      <w:color w:val="000000"/>
                      <w:highlight w:val="none"/>
                    </w:rPr>
                    <w:t>污泥</w:t>
                  </w:r>
                </w:p>
              </w:tc>
              <w:tc>
                <w:tcPr>
                  <w:tcW w:w="308" w:type="pct"/>
                  <w:tcBorders>
                    <w:tl2br w:val="nil"/>
                    <w:tr2bl w:val="nil"/>
                  </w:tcBorders>
                  <w:noWrap w:val="0"/>
                  <w:vAlign w:val="center"/>
                </w:tcPr>
                <w:p w14:paraId="094518B1">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w:t>
                  </w:r>
                </w:p>
              </w:tc>
              <w:tc>
                <w:tcPr>
                  <w:tcW w:w="355" w:type="pct"/>
                  <w:tcBorders>
                    <w:tl2br w:val="nil"/>
                    <w:tr2bl w:val="nil"/>
                  </w:tcBorders>
                  <w:noWrap w:val="0"/>
                  <w:vAlign w:val="center"/>
                </w:tcPr>
                <w:p w14:paraId="0A4A1E9C">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w:t>
                  </w:r>
                </w:p>
              </w:tc>
              <w:tc>
                <w:tcPr>
                  <w:tcW w:w="332" w:type="pct"/>
                  <w:tcBorders>
                    <w:tl2br w:val="nil"/>
                    <w:tr2bl w:val="nil"/>
                  </w:tcBorders>
                  <w:noWrap w:val="0"/>
                  <w:vAlign w:val="center"/>
                </w:tcPr>
                <w:p w14:paraId="1DB40088">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57.06</w:t>
                  </w:r>
                </w:p>
              </w:tc>
              <w:tc>
                <w:tcPr>
                  <w:tcW w:w="332" w:type="pct"/>
                  <w:tcBorders>
                    <w:tl2br w:val="nil"/>
                    <w:tr2bl w:val="nil"/>
                  </w:tcBorders>
                  <w:noWrap w:val="0"/>
                  <w:vAlign w:val="center"/>
                </w:tcPr>
                <w:p w14:paraId="57154039">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12.84</w:t>
                  </w:r>
                </w:p>
              </w:tc>
              <w:tc>
                <w:tcPr>
                  <w:tcW w:w="485" w:type="pct"/>
                  <w:tcBorders>
                    <w:tl2br w:val="nil"/>
                    <w:tr2bl w:val="nil"/>
                  </w:tcBorders>
                  <w:noWrap w:val="0"/>
                  <w:vAlign w:val="center"/>
                </w:tcPr>
                <w:p w14:paraId="757520C8">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w:t>
                  </w:r>
                </w:p>
              </w:tc>
              <w:tc>
                <w:tcPr>
                  <w:tcW w:w="460" w:type="pct"/>
                  <w:tcBorders>
                    <w:tl2br w:val="nil"/>
                    <w:tr2bl w:val="nil"/>
                  </w:tcBorders>
                  <w:noWrap w:val="0"/>
                  <w:vAlign w:val="center"/>
                </w:tcPr>
                <w:p w14:paraId="7310C0E6">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w:t>
                  </w:r>
                </w:p>
              </w:tc>
              <w:tc>
                <w:tcPr>
                  <w:tcW w:w="1042" w:type="dxa"/>
                  <w:tcBorders>
                    <w:tl2br w:val="nil"/>
                    <w:tr2bl w:val="nil"/>
                  </w:tcBorders>
                  <w:noWrap w:val="0"/>
                  <w:vAlign w:val="center"/>
                </w:tcPr>
                <w:p w14:paraId="52EA483C">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57.06</w:t>
                  </w:r>
                </w:p>
              </w:tc>
              <w:tc>
                <w:tcPr>
                  <w:tcW w:w="996" w:type="dxa"/>
                  <w:tcBorders>
                    <w:tl2br w:val="nil"/>
                    <w:tr2bl w:val="nil"/>
                  </w:tcBorders>
                  <w:noWrap w:val="0"/>
                  <w:vAlign w:val="center"/>
                </w:tcPr>
                <w:p w14:paraId="30258DCB">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12.84</w:t>
                  </w:r>
                </w:p>
              </w:tc>
              <w:tc>
                <w:tcPr>
                  <w:tcW w:w="1017" w:type="dxa"/>
                  <w:tcBorders>
                    <w:tl2br w:val="nil"/>
                    <w:tr2bl w:val="nil"/>
                  </w:tcBorders>
                  <w:noWrap w:val="0"/>
                  <w:vAlign w:val="center"/>
                </w:tcPr>
                <w:p w14:paraId="393C999F">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+57.06</w:t>
                  </w:r>
                </w:p>
              </w:tc>
              <w:tc>
                <w:tcPr>
                  <w:tcW w:w="1017" w:type="dxa"/>
                  <w:tcBorders>
                    <w:tl2br w:val="nil"/>
                    <w:tr2bl w:val="nil"/>
                  </w:tcBorders>
                  <w:noWrap w:val="0"/>
                  <w:vAlign w:val="center"/>
                </w:tcPr>
                <w:p w14:paraId="6B71A22A">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+12.84</w:t>
                  </w:r>
                </w:p>
              </w:tc>
            </w:tr>
          </w:tbl>
          <w:p w14:paraId="3CF4FDE0">
            <w:pPr>
              <w:pStyle w:val="31"/>
              <w:bidi w:val="0"/>
              <w:rPr>
                <w:rFonts w:hint="default" w:ascii="Times New Roman" w:hAnsi="Times New Roman" w:cs="Times New Roman"/>
                <w:color w:val="000000"/>
                <w:highlight w:val="none"/>
                <w:lang w:val="en-US" w:eastAsia="zh-CN"/>
              </w:rPr>
            </w:pPr>
          </w:p>
          <w:p w14:paraId="14C8F80C">
            <w:pPr>
              <w:pStyle w:val="30"/>
              <w:bidi w:val="0"/>
              <w:rPr>
                <w:rFonts w:hint="default"/>
                <w:color w:val="000000"/>
                <w:highlight w:val="none"/>
                <w:lang w:val="en-US" w:eastAsia="zh-CN"/>
              </w:rPr>
            </w:pPr>
          </w:p>
        </w:tc>
      </w:tr>
    </w:tbl>
    <w:p w14:paraId="462FEB02">
      <w:pPr>
        <w:jc w:val="center"/>
        <w:rPr>
          <w:rFonts w:hint="default" w:ascii="Times New Roman" w:hAnsi="Times New Roman" w:eastAsia="黑体" w:cs="Times New Roman"/>
          <w:snapToGrid w:val="0"/>
          <w:color w:val="000000"/>
          <w:sz w:val="36"/>
          <w:szCs w:val="36"/>
          <w:u w:val="none"/>
        </w:rPr>
        <w:sectPr>
          <w:pgSz w:w="16838" w:h="11906" w:orient="landscape"/>
          <w:pgMar w:top="1531" w:right="1701" w:bottom="1531" w:left="1701" w:header="851" w:footer="1077" w:gutter="0"/>
          <w:pgNumType w:fmt="decimal"/>
          <w:cols w:space="720" w:num="1"/>
          <w:docGrid w:linePitch="312" w:charSpace="0"/>
        </w:sectPr>
      </w:pPr>
    </w:p>
    <w:tbl>
      <w:tblPr>
        <w:tblStyle w:val="21"/>
        <w:tblW w:w="924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8" w:type="dxa"/>
          <w:left w:w="108" w:type="dxa"/>
          <w:bottom w:w="108" w:type="dxa"/>
          <w:right w:w="108" w:type="dxa"/>
        </w:tblCellMar>
      </w:tblPr>
      <w:tblGrid>
        <w:gridCol w:w="783"/>
        <w:gridCol w:w="8459"/>
      </w:tblGrid>
      <w:tr w14:paraId="30E1D3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8" w:type="dxa"/>
            <w:left w:w="108" w:type="dxa"/>
            <w:bottom w:w="108" w:type="dxa"/>
            <w:right w:w="108" w:type="dxa"/>
          </w:tblCellMar>
        </w:tblPrEx>
        <w:trPr>
          <w:trHeight w:val="3931" w:hRule="atLeast"/>
          <w:jc w:val="center"/>
        </w:trPr>
        <w:tc>
          <w:tcPr>
            <w:tcW w:w="783" w:type="dxa"/>
            <w:noWrap w:val="0"/>
            <w:vAlign w:val="center"/>
          </w:tcPr>
          <w:p w14:paraId="091605E8">
            <w:pPr>
              <w:adjustRightInd w:val="0"/>
              <w:snapToGrid w:val="0"/>
              <w:spacing w:before="0" w:beforeAutospacing="0" w:after="0" w:afterAutospacing="0" w:line="360" w:lineRule="auto"/>
              <w:jc w:val="center"/>
              <w:rPr>
                <w:rFonts w:hint="default" w:ascii="Times New Roman" w:hAnsi="Times New Roman" w:cs="Times New Roman"/>
                <w:bCs/>
                <w:color w:val="000000"/>
                <w:kern w:val="2"/>
                <w:sz w:val="24"/>
                <w:szCs w:val="24"/>
                <w:u w:val="none"/>
              </w:rPr>
            </w:pPr>
            <w:r>
              <w:rPr>
                <w:rFonts w:hint="default" w:ascii="Times New Roman" w:hAnsi="Times New Roman" w:cs="Times New Roman"/>
                <w:bCs/>
                <w:color w:val="000000"/>
                <w:spacing w:val="10"/>
                <w:kern w:val="2"/>
                <w:sz w:val="24"/>
                <w:szCs w:val="24"/>
                <w:u w:val="none"/>
              </w:rPr>
              <w:t>运营期生态环境影响分析</w:t>
            </w:r>
          </w:p>
        </w:tc>
        <w:tc>
          <w:tcPr>
            <w:tcW w:w="8459" w:type="dxa"/>
            <w:noWrap w:val="0"/>
            <w:vAlign w:val="top"/>
          </w:tcPr>
          <w:p w14:paraId="39A3DF95">
            <w:pPr>
              <w:pStyle w:val="3"/>
              <w:bidi w:val="0"/>
              <w:rPr>
                <w:rFonts w:hint="default"/>
              </w:rPr>
            </w:pPr>
            <w:bookmarkStart w:id="385" w:name="_Toc27526"/>
            <w:r>
              <w:rPr>
                <w:rFonts w:hint="eastAsia"/>
                <w:lang w:val="en-US" w:eastAsia="zh-CN"/>
              </w:rPr>
              <w:t>运营期</w:t>
            </w:r>
            <w:r>
              <w:rPr>
                <w:rFonts w:hint="default"/>
              </w:rPr>
              <w:t>生态环境影响分析</w:t>
            </w:r>
            <w:bookmarkEnd w:id="385"/>
          </w:p>
          <w:p w14:paraId="1160FD19">
            <w:pPr>
              <w:pStyle w:val="4"/>
              <w:bidi w:val="0"/>
              <w:rPr>
                <w:rFonts w:hint="default" w:ascii="Times New Roman" w:hAnsi="Times New Roman" w:cs="Times New Roman"/>
                <w:color w:val="000000"/>
                <w:highlight w:val="none"/>
              </w:rPr>
            </w:pPr>
            <w:bookmarkStart w:id="386" w:name="_Toc14223"/>
            <w:r>
              <w:rPr>
                <w:rFonts w:hint="default" w:ascii="Times New Roman" w:hAnsi="Times New Roman" w:cs="Times New Roman"/>
                <w:color w:val="000000"/>
                <w:highlight w:val="none"/>
                <w:lang w:val="en-US" w:eastAsia="zh-CN"/>
              </w:rPr>
              <w:t>运营期污水排放对海水水质的影响分析</w:t>
            </w:r>
            <w:bookmarkEnd w:id="386"/>
          </w:p>
          <w:p w14:paraId="0C4D60E6">
            <w:pPr>
              <w:ind w:firstLine="480" w:firstLineChars="200"/>
              <w:rPr>
                <w:rFonts w:hint="default" w:ascii="Times New Roman" w:hAnsi="Times New Roman" w:cs="Times New Roman"/>
                <w:color w:val="000000"/>
                <w:highlight w:val="none"/>
              </w:rPr>
            </w:pPr>
            <w:r>
              <w:rPr>
                <w:rFonts w:hint="default" w:ascii="Times New Roman" w:hAnsi="Times New Roman" w:cs="Times New Roman"/>
                <w:color w:val="000000"/>
                <w:highlight w:val="none"/>
              </w:rPr>
              <w:t>根据工程分析，</w:t>
            </w:r>
            <w:r>
              <w:rPr>
                <w:rFonts w:hint="default" w:ascii="Times New Roman" w:hAnsi="Times New Roman" w:cs="Times New Roman"/>
                <w:color w:val="000000"/>
                <w:highlight w:val="none"/>
                <w:lang w:val="en-US" w:eastAsia="zh-CN"/>
              </w:rPr>
              <w:t>本项目运营期水污染源主要为到港船舶含油污水、船舶生活污水、港区冲洗废水、陆域人员生活污水、初期雨水。</w:t>
            </w:r>
          </w:p>
          <w:p w14:paraId="50A00B9F">
            <w:pPr>
              <w:ind w:firstLine="482" w:firstLineChars="20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1</w:t>
            </w: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港区生活污水</w:t>
            </w:r>
          </w:p>
          <w:p w14:paraId="52E4C9C8">
            <w:pPr>
              <w:ind w:firstLine="480" w:firstLineChars="200"/>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根据工程分析，扩建后</w:t>
            </w:r>
            <w:r>
              <w:rPr>
                <w:rFonts w:hint="default" w:ascii="Times New Roman" w:hAnsi="Times New Roman" w:cs="Times New Roman"/>
                <w:color w:val="000000"/>
                <w:highlight w:val="none"/>
              </w:rPr>
              <w:t>本港区最高生活污水</w:t>
            </w:r>
            <w:r>
              <w:rPr>
                <w:rFonts w:hint="default" w:ascii="Times New Roman" w:hAnsi="Times New Roman" w:cs="Times New Roman"/>
                <w:color w:val="000000"/>
                <w:highlight w:val="none"/>
                <w:lang w:val="en-US" w:eastAsia="zh-CN"/>
              </w:rPr>
              <w:t>产生量</w:t>
            </w:r>
            <w:r>
              <w:rPr>
                <w:rFonts w:hint="default" w:ascii="Times New Roman" w:hAnsi="Times New Roman" w:cs="Times New Roman"/>
                <w:color w:val="000000"/>
                <w:highlight w:val="none"/>
              </w:rPr>
              <w:t>为19.44m</w:t>
            </w:r>
            <w:r>
              <w:rPr>
                <w:rFonts w:hint="default" w:ascii="Times New Roman" w:hAnsi="Times New Roman" w:cs="Times New Roman"/>
                <w:color w:val="000000"/>
                <w:highlight w:val="none"/>
                <w:vertAlign w:val="superscript"/>
              </w:rPr>
              <w:t>3</w:t>
            </w:r>
            <w:r>
              <w:rPr>
                <w:rFonts w:hint="default" w:ascii="Times New Roman" w:hAnsi="Times New Roman" w:cs="Times New Roman"/>
                <w:color w:val="000000"/>
                <w:highlight w:val="none"/>
              </w:rPr>
              <w:t>/d，生活污水经化粪池处理后</w:t>
            </w:r>
            <w:r>
              <w:rPr>
                <w:rFonts w:hint="default" w:ascii="Times New Roman" w:hAnsi="Times New Roman" w:cs="Times New Roman"/>
                <w:color w:val="000000"/>
                <w:highlight w:val="none"/>
                <w:lang w:val="en-US" w:eastAsia="zh-CN"/>
              </w:rPr>
              <w:t>进入</w:t>
            </w:r>
            <w:r>
              <w:rPr>
                <w:rFonts w:hint="default" w:ascii="Times New Roman" w:hAnsi="Times New Roman" w:cs="Times New Roman"/>
                <w:color w:val="000000"/>
                <w:highlight w:val="none"/>
              </w:rPr>
              <w:t>港区</w:t>
            </w:r>
            <w:r>
              <w:rPr>
                <w:rFonts w:hint="default" w:ascii="Times New Roman" w:hAnsi="Times New Roman" w:cs="Times New Roman"/>
                <w:color w:val="000000"/>
                <w:highlight w:val="none"/>
                <w:lang w:val="en-US" w:eastAsia="zh-CN"/>
              </w:rPr>
              <w:t>自建</w:t>
            </w:r>
            <w:r>
              <w:rPr>
                <w:rFonts w:hint="default" w:ascii="Times New Roman" w:hAnsi="Times New Roman" w:cs="Times New Roman"/>
                <w:color w:val="000000"/>
                <w:highlight w:val="none"/>
              </w:rPr>
              <w:t>污水处理站处理，处理达到</w:t>
            </w:r>
            <w:r>
              <w:rPr>
                <w:rFonts w:hint="default" w:ascii="Times New Roman" w:hAnsi="Times New Roman" w:cs="Times New Roman"/>
                <w:b w:val="0"/>
                <w:bCs w:val="0"/>
                <w:color w:val="000000"/>
                <w:sz w:val="24"/>
                <w:szCs w:val="32"/>
                <w:highlight w:val="none"/>
                <w:lang w:val="en-US" w:eastAsia="zh-CN"/>
              </w:rPr>
              <w:t>《城市污水再生利用城市杂用水水质》（GB/T 18920-2020）表1中的城市绿化、道路清扫用水标准后，回用于港区绿化灌溉、洒水及冲洗用水</w:t>
            </w:r>
            <w:r>
              <w:rPr>
                <w:rFonts w:hint="default" w:ascii="Times New Roman" w:hAnsi="Times New Roman" w:cs="Times New Roman"/>
                <w:color w:val="000000"/>
                <w:highlight w:val="none"/>
              </w:rPr>
              <w:t>。</w:t>
            </w:r>
          </w:p>
          <w:p w14:paraId="732D1A75">
            <w:pPr>
              <w:ind w:firstLine="482" w:firstLineChars="20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2</w:t>
            </w: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港区冲洗废水</w:t>
            </w:r>
          </w:p>
          <w:p w14:paraId="72E06715">
            <w:pPr>
              <w:ind w:firstLine="480" w:firstLineChars="200"/>
              <w:rPr>
                <w:rFonts w:hint="default" w:ascii="Times New Roman" w:hAnsi="Times New Roman" w:cs="Times New Roman"/>
                <w:color w:val="000000"/>
                <w:highlight w:val="none"/>
              </w:rPr>
            </w:pPr>
            <w:r>
              <w:rPr>
                <w:rFonts w:hint="default" w:ascii="Times New Roman" w:hAnsi="Times New Roman" w:cs="Times New Roman"/>
                <w:color w:val="000000"/>
                <w:highlight w:val="none"/>
              </w:rPr>
              <w:t>本项目拟通过“以新带老”环保设施解决现</w:t>
            </w:r>
            <w:r>
              <w:rPr>
                <w:rFonts w:hint="default" w:ascii="Times New Roman" w:hAnsi="Times New Roman" w:cs="Times New Roman"/>
                <w:color w:val="000000"/>
                <w:highlight w:val="none"/>
                <w:lang w:val="en-US" w:eastAsia="zh-CN"/>
              </w:rPr>
              <w:t>沃口二级渔港冲洗废水收集处理的问题</w:t>
            </w:r>
            <w:r>
              <w:rPr>
                <w:rFonts w:hint="default" w:ascii="Times New Roman" w:hAnsi="Times New Roman" w:cs="Times New Roman"/>
                <w:color w:val="000000"/>
                <w:highlight w:val="none"/>
              </w:rPr>
              <w:t>。</w:t>
            </w:r>
            <w:r>
              <w:rPr>
                <w:rFonts w:hint="default" w:ascii="Times New Roman" w:hAnsi="Times New Roman" w:cs="Times New Roman"/>
                <w:color w:val="000000"/>
                <w:highlight w:val="none"/>
                <w:lang w:val="en-US" w:eastAsia="zh-CN"/>
              </w:rPr>
              <w:t>扩建后</w:t>
            </w:r>
            <w:r>
              <w:rPr>
                <w:rFonts w:hint="default" w:ascii="Times New Roman" w:hAnsi="Times New Roman" w:cs="Times New Roman"/>
                <w:color w:val="000000"/>
                <w:highlight w:val="none"/>
              </w:rPr>
              <w:t>港区最高</w:t>
            </w:r>
            <w:r>
              <w:rPr>
                <w:rFonts w:hint="default" w:ascii="Times New Roman" w:hAnsi="Times New Roman" w:cs="Times New Roman"/>
                <w:color w:val="000000"/>
                <w:highlight w:val="none"/>
                <w:lang w:val="en-US" w:eastAsia="zh-CN"/>
              </w:rPr>
              <w:t>冲洗</w:t>
            </w:r>
            <w:r>
              <w:rPr>
                <w:rFonts w:hint="default" w:ascii="Times New Roman" w:hAnsi="Times New Roman" w:cs="Times New Roman"/>
                <w:color w:val="000000"/>
                <w:highlight w:val="none"/>
              </w:rPr>
              <w:t>废水</w:t>
            </w:r>
            <w:r>
              <w:rPr>
                <w:rFonts w:hint="default" w:ascii="Times New Roman" w:hAnsi="Times New Roman" w:cs="Times New Roman"/>
                <w:color w:val="000000"/>
                <w:highlight w:val="none"/>
                <w:lang w:val="en-US" w:eastAsia="zh-CN"/>
              </w:rPr>
              <w:t>产生量</w:t>
            </w:r>
            <w:r>
              <w:rPr>
                <w:rFonts w:hint="default" w:ascii="Times New Roman" w:hAnsi="Times New Roman" w:cs="Times New Roman"/>
                <w:color w:val="000000"/>
                <w:highlight w:val="none"/>
              </w:rPr>
              <w:t>为</w:t>
            </w:r>
            <w:r>
              <w:rPr>
                <w:rFonts w:hint="default" w:ascii="Times New Roman" w:hAnsi="Times New Roman" w:cs="Times New Roman"/>
                <w:color w:val="000000"/>
                <w:highlight w:val="none"/>
                <w:lang w:val="en-US" w:eastAsia="zh-CN"/>
              </w:rPr>
              <w:t>32.22</w:t>
            </w:r>
            <w:r>
              <w:rPr>
                <w:rFonts w:hint="default" w:ascii="Times New Roman" w:hAnsi="Times New Roman" w:cs="Times New Roman"/>
                <w:color w:val="000000"/>
                <w:highlight w:val="none"/>
              </w:rPr>
              <w:t>m</w:t>
            </w:r>
            <w:r>
              <w:rPr>
                <w:rFonts w:hint="default" w:ascii="Times New Roman" w:hAnsi="Times New Roman" w:cs="Times New Roman"/>
                <w:color w:val="000000"/>
                <w:highlight w:val="none"/>
                <w:vertAlign w:val="superscript"/>
              </w:rPr>
              <w:t>3</w:t>
            </w:r>
            <w:r>
              <w:rPr>
                <w:rFonts w:hint="default" w:ascii="Times New Roman" w:hAnsi="Times New Roman" w:cs="Times New Roman"/>
                <w:color w:val="000000"/>
                <w:highlight w:val="none"/>
              </w:rPr>
              <w:t>/d，码头</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卸渔区</w:t>
            </w:r>
            <w:r>
              <w:rPr>
                <w:rFonts w:hint="default" w:ascii="Times New Roman" w:hAnsi="Times New Roman" w:cs="Times New Roman"/>
                <w:color w:val="000000"/>
                <w:highlight w:val="none"/>
              </w:rPr>
              <w:t>域设置废水收集沟，</w:t>
            </w:r>
            <w:r>
              <w:rPr>
                <w:rFonts w:hint="default" w:ascii="Times New Roman" w:hAnsi="Times New Roman" w:cs="Times New Roman"/>
                <w:color w:val="000000"/>
                <w:highlight w:val="none"/>
                <w:lang w:val="en-US" w:eastAsia="zh-CN"/>
              </w:rPr>
              <w:t>冲洗</w:t>
            </w:r>
            <w:r>
              <w:rPr>
                <w:rFonts w:hint="default" w:ascii="Times New Roman" w:hAnsi="Times New Roman" w:cs="Times New Roman"/>
                <w:color w:val="000000"/>
                <w:highlight w:val="none"/>
              </w:rPr>
              <w:t>废水经收集后接入港区自建污水处理站处理</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达到</w:t>
            </w:r>
            <w:r>
              <w:rPr>
                <w:rFonts w:hint="default" w:ascii="Times New Roman" w:hAnsi="Times New Roman" w:cs="Times New Roman"/>
                <w:b w:val="0"/>
                <w:bCs w:val="0"/>
                <w:color w:val="000000"/>
                <w:sz w:val="24"/>
                <w:szCs w:val="32"/>
                <w:highlight w:val="none"/>
                <w:lang w:val="en-US" w:eastAsia="zh-CN"/>
              </w:rPr>
              <w:t>《城市污水再生利用城市杂用水水质》（GB/T 18920-2020）表1中的城市绿化、道路清扫用水标准后，回用于港区绿化灌溉、洒水及冲洗用水</w:t>
            </w:r>
            <w:r>
              <w:rPr>
                <w:rFonts w:hint="default" w:ascii="Times New Roman" w:hAnsi="Times New Roman" w:cs="Times New Roman"/>
                <w:color w:val="000000"/>
                <w:highlight w:val="none"/>
              </w:rPr>
              <w:t>。</w:t>
            </w:r>
          </w:p>
          <w:p w14:paraId="3ADE8570">
            <w:pPr>
              <w:ind w:firstLine="482" w:firstLineChars="20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3</w:t>
            </w: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船舶污水</w:t>
            </w:r>
          </w:p>
          <w:p w14:paraId="070009DA">
            <w:pPr>
              <w:ind w:firstLine="480" w:firstLineChars="200"/>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根据运营期船舶类型、数量，参照《水运工程环境保护设计规范》（JTS149-2018），采用内插法计算，项目运营后靠泊船舶含油污水最大产生量为16.15</w:t>
            </w:r>
            <w:r>
              <w:rPr>
                <w:rFonts w:hint="default" w:ascii="Times New Roman" w:hAnsi="Times New Roman" w:cs="Times New Roman"/>
                <w:color w:val="000000"/>
                <w:highlight w:val="none"/>
              </w:rPr>
              <w:t>m</w:t>
            </w:r>
            <w:r>
              <w:rPr>
                <w:rFonts w:hint="default" w:ascii="Times New Roman" w:hAnsi="Times New Roman" w:cs="Times New Roman"/>
                <w:color w:val="000000"/>
                <w:highlight w:val="none"/>
                <w:vertAlign w:val="superscript"/>
              </w:rPr>
              <w:t>3</w:t>
            </w:r>
            <w:r>
              <w:rPr>
                <w:rFonts w:hint="default" w:ascii="Times New Roman" w:hAnsi="Times New Roman" w:cs="Times New Roman"/>
                <w:color w:val="000000"/>
                <w:highlight w:val="none"/>
                <w:lang w:val="en-US" w:eastAsia="zh-CN"/>
              </w:rPr>
              <w:t>/d。</w:t>
            </w:r>
            <w:r>
              <w:rPr>
                <w:rFonts w:hint="default" w:ascii="Times New Roman" w:hAnsi="Times New Roman" w:cs="Times New Roman"/>
                <w:color w:val="000000"/>
                <w:highlight w:val="none"/>
              </w:rPr>
              <w:t>根据《船舶水污染物排放控制标准》（GB3552-2018）规定，本工程</w:t>
            </w:r>
            <w:r>
              <w:rPr>
                <w:rFonts w:hint="default" w:ascii="Times New Roman" w:hAnsi="Times New Roman" w:cs="Times New Roman"/>
                <w:color w:val="000000"/>
                <w:highlight w:val="none"/>
                <w:lang w:val="en-US" w:eastAsia="zh-CN"/>
              </w:rPr>
              <w:t>运营期</w:t>
            </w:r>
            <w:r>
              <w:rPr>
                <w:rFonts w:hint="default" w:ascii="Times New Roman" w:hAnsi="Times New Roman" w:cs="Times New Roman"/>
                <w:color w:val="000000"/>
                <w:highlight w:val="none"/>
              </w:rPr>
              <w:t>到港的船舶舱底油污水由船舶自备油水分离装置处理至含油量小于15mg/L，并按规定条件在指定海域排放，禁止在港区内排放。未配置油水分离装置的</w:t>
            </w:r>
            <w:r>
              <w:rPr>
                <w:rFonts w:hint="default" w:ascii="Times New Roman" w:hAnsi="Times New Roman" w:cs="Times New Roman"/>
                <w:color w:val="000000"/>
                <w:highlight w:val="none"/>
                <w:lang w:val="en-US" w:eastAsia="zh-CN"/>
              </w:rPr>
              <w:t>船舶，</w:t>
            </w:r>
            <w:r>
              <w:rPr>
                <w:rFonts w:hint="default" w:ascii="Times New Roman" w:hAnsi="Times New Roman" w:cs="Times New Roman"/>
                <w:color w:val="000000"/>
                <w:highlight w:val="none"/>
              </w:rPr>
              <w:t>含油污水应交由海事部门认可的船舶污染物接收单位接收处理。</w:t>
            </w:r>
          </w:p>
          <w:p w14:paraId="5D0A5D3E">
            <w:pPr>
              <w:rPr>
                <w:rFonts w:hint="default" w:ascii="Times New Roman" w:hAnsi="Times New Roman" w:cs="Times New Roman"/>
                <w:color w:val="000000"/>
                <w:highlight w:val="none"/>
              </w:rPr>
            </w:pPr>
            <w:r>
              <w:rPr>
                <w:rFonts w:hint="default" w:ascii="Times New Roman" w:hAnsi="Times New Roman" w:cs="Times New Roman"/>
                <w:color w:val="000000"/>
                <w:highlight w:val="none"/>
              </w:rPr>
              <w:t>运营后靠泊</w:t>
            </w:r>
            <w:r>
              <w:rPr>
                <w:rFonts w:hint="default" w:ascii="Times New Roman" w:hAnsi="Times New Roman" w:cs="Times New Roman"/>
                <w:color w:val="000000"/>
                <w:highlight w:val="none"/>
                <w:lang w:val="en-US" w:eastAsia="zh-CN"/>
              </w:rPr>
              <w:t>船舶</w:t>
            </w:r>
            <w:r>
              <w:rPr>
                <w:rFonts w:hint="default" w:ascii="Times New Roman" w:hAnsi="Times New Roman" w:cs="Times New Roman"/>
                <w:color w:val="000000"/>
                <w:highlight w:val="none"/>
              </w:rPr>
              <w:t>生活污水</w:t>
            </w:r>
            <w:r>
              <w:rPr>
                <w:rFonts w:hint="default" w:ascii="Times New Roman" w:hAnsi="Times New Roman" w:cs="Times New Roman"/>
                <w:color w:val="000000"/>
                <w:highlight w:val="none"/>
                <w:lang w:val="en-US" w:eastAsia="zh-CN"/>
              </w:rPr>
              <w:t>最大</w:t>
            </w:r>
            <w:r>
              <w:rPr>
                <w:rFonts w:hint="default" w:ascii="Times New Roman" w:hAnsi="Times New Roman" w:cs="Times New Roman"/>
                <w:color w:val="000000"/>
                <w:highlight w:val="none"/>
              </w:rPr>
              <w:t>产生量</w:t>
            </w:r>
            <w:r>
              <w:rPr>
                <w:rFonts w:hint="default" w:ascii="Times New Roman" w:hAnsi="Times New Roman" w:cs="Times New Roman"/>
                <w:color w:val="000000"/>
                <w:highlight w:val="none"/>
                <w:lang w:val="en-US" w:eastAsia="zh-CN"/>
              </w:rPr>
              <w:t>为58.8</w:t>
            </w:r>
            <w:r>
              <w:rPr>
                <w:rFonts w:hint="default" w:ascii="Times New Roman" w:hAnsi="Times New Roman" w:cs="Times New Roman"/>
                <w:color w:val="000000"/>
                <w:highlight w:val="none"/>
              </w:rPr>
              <w:t>m</w:t>
            </w:r>
            <w:r>
              <w:rPr>
                <w:rFonts w:hint="default" w:ascii="Times New Roman" w:hAnsi="Times New Roman" w:cs="Times New Roman"/>
                <w:color w:val="000000"/>
                <w:highlight w:val="none"/>
                <w:vertAlign w:val="superscript"/>
              </w:rPr>
              <w:t>3</w:t>
            </w:r>
            <w:r>
              <w:rPr>
                <w:rFonts w:hint="default" w:ascii="Times New Roman" w:hAnsi="Times New Roman" w:cs="Times New Roman"/>
                <w:color w:val="000000"/>
                <w:highlight w:val="none"/>
                <w:lang w:val="en-US" w:eastAsia="zh-CN"/>
              </w:rPr>
              <w:t>/d</w:t>
            </w:r>
            <w:r>
              <w:rPr>
                <w:rFonts w:hint="default" w:ascii="Times New Roman" w:hAnsi="Times New Roman" w:cs="Times New Roman"/>
                <w:color w:val="000000"/>
                <w:highlight w:val="none"/>
              </w:rPr>
              <w:t>，由</w:t>
            </w:r>
            <w:r>
              <w:rPr>
                <w:rFonts w:hint="default" w:ascii="Times New Roman" w:hAnsi="Times New Roman" w:cs="Times New Roman"/>
                <w:color w:val="000000"/>
                <w:highlight w:val="none"/>
                <w:lang w:val="en-US" w:eastAsia="zh-CN"/>
              </w:rPr>
              <w:t>船舶</w:t>
            </w:r>
            <w:r>
              <w:rPr>
                <w:rFonts w:hint="default" w:ascii="Times New Roman" w:hAnsi="Times New Roman" w:cs="Times New Roman"/>
                <w:color w:val="000000"/>
                <w:highlight w:val="none"/>
              </w:rPr>
              <w:t>自带污水处理设施处理后按规定条件在指定海域排放，禁止在港区内排放。对于无自带污水处理设施的</w:t>
            </w:r>
            <w:r>
              <w:rPr>
                <w:rFonts w:hint="default" w:ascii="Times New Roman" w:hAnsi="Times New Roman" w:cs="Times New Roman"/>
                <w:color w:val="000000"/>
                <w:highlight w:val="none"/>
                <w:lang w:val="en-US" w:eastAsia="zh-CN"/>
              </w:rPr>
              <w:t>船舶</w:t>
            </w:r>
            <w:r>
              <w:rPr>
                <w:rFonts w:hint="default" w:ascii="Times New Roman" w:hAnsi="Times New Roman" w:cs="Times New Roman"/>
                <w:color w:val="000000"/>
                <w:highlight w:val="none"/>
              </w:rPr>
              <w:t>，应交由海事部门认可的船舶污染物接收单位接收处理。</w:t>
            </w:r>
          </w:p>
          <w:p w14:paraId="54960E1C">
            <w:pPr>
              <w:ind w:firstLine="482" w:firstLineChars="200"/>
              <w:rPr>
                <w:rFonts w:hint="default" w:ascii="Times New Roman" w:hAnsi="Times New Roman" w:eastAsia="宋体" w:cs="Times New Roman"/>
                <w:b/>
                <w:bCs/>
                <w:color w:val="000000"/>
                <w:highlight w:val="none"/>
                <w:lang w:val="en-US" w:eastAsia="zh-CN"/>
              </w:rPr>
            </w:pP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4</w:t>
            </w: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初期雨水</w:t>
            </w:r>
          </w:p>
          <w:p w14:paraId="1E0BF8A4">
            <w:pPr>
              <w:ind w:firstLine="480" w:firstLineChars="200"/>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扩建后全港卸渔区初期雨水一次最大量为240.921m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/次（现有二级渔港25.47m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/次，新建码头面、室外卸渔场地215.451</w:t>
            </w:r>
            <w:r>
              <w:rPr>
                <w:rFonts w:hint="default" w:ascii="Times New Roman" w:hAnsi="Times New Roman" w:cs="Times New Roman"/>
                <w:color w:val="000000"/>
                <w:highlight w:val="none"/>
              </w:rPr>
              <w:t>m</w:t>
            </w:r>
            <w:r>
              <w:rPr>
                <w:rFonts w:hint="default" w:ascii="Times New Roman" w:hAnsi="Times New Roman" w:cs="Times New Roman"/>
                <w:color w:val="000000"/>
                <w:highlight w:val="none"/>
                <w:vertAlign w:val="superscript"/>
              </w:rPr>
              <w:t>3</w:t>
            </w:r>
            <w:r>
              <w:rPr>
                <w:rFonts w:hint="default" w:ascii="Times New Roman" w:hAnsi="Times New Roman" w:cs="Times New Roman"/>
                <w:color w:val="000000"/>
                <w:highlight w:val="none"/>
                <w:vertAlign w:val="baseline"/>
                <w:lang w:val="en-US" w:eastAsia="zh-CN"/>
              </w:rPr>
              <w:t>/次</w:t>
            </w:r>
            <w:r>
              <w:rPr>
                <w:rFonts w:hint="default" w:ascii="Times New Roman" w:hAnsi="Times New Roman" w:cs="Times New Roman"/>
                <w:color w:val="000000"/>
                <w:highlight w:val="none"/>
                <w:lang w:val="en-US" w:eastAsia="zh-CN"/>
              </w:rPr>
              <w:t>）。拟在污水处理站前设置1个容积300</w:t>
            </w:r>
            <w:r>
              <w:rPr>
                <w:rFonts w:hint="default" w:ascii="Times New Roman" w:hAnsi="Times New Roman" w:cs="Times New Roman"/>
                <w:color w:val="000000"/>
                <w:highlight w:val="none"/>
              </w:rPr>
              <w:t>m</w:t>
            </w:r>
            <w:r>
              <w:rPr>
                <w:rFonts w:hint="default" w:ascii="Times New Roman" w:hAnsi="Times New Roman" w:cs="Times New Roman"/>
                <w:color w:val="000000"/>
                <w:highlight w:val="none"/>
                <w:vertAlign w:val="superscript"/>
              </w:rPr>
              <w:t>3</w:t>
            </w:r>
            <w:r>
              <w:rPr>
                <w:rFonts w:hint="default" w:ascii="Times New Roman" w:hAnsi="Times New Roman" w:cs="Times New Roman"/>
                <w:color w:val="000000"/>
                <w:highlight w:val="none"/>
                <w:lang w:val="en-US" w:eastAsia="zh-CN"/>
              </w:rPr>
              <w:t>的收集池，</w:t>
            </w:r>
            <w:r>
              <w:rPr>
                <w:rFonts w:hint="default" w:ascii="Times New Roman" w:hAnsi="Times New Roman" w:cs="Times New Roman"/>
                <w:color w:val="000000"/>
                <w:highlight w:val="none"/>
              </w:rPr>
              <w:t>收集池前设置转换闸门，雨天收集前15分钟初期雨水后，转换闸门，</w:t>
            </w:r>
            <w:r>
              <w:rPr>
                <w:rFonts w:hint="default" w:ascii="Times New Roman" w:hAnsi="Times New Roman" w:cs="Times New Roman"/>
                <w:color w:val="000000"/>
                <w:highlight w:val="none"/>
                <w:lang w:val="en-US" w:eastAsia="zh-CN"/>
              </w:rPr>
              <w:t>初期雨水进入污水处理站处理后回用，</w:t>
            </w:r>
            <w:r>
              <w:rPr>
                <w:rFonts w:hint="default" w:ascii="Times New Roman" w:hAnsi="Times New Roman" w:cs="Times New Roman"/>
                <w:color w:val="000000"/>
                <w:highlight w:val="none"/>
              </w:rPr>
              <w:t>15分钟后干净的雨水可通过收集管排放入海</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不下雨时冲洗废水进入收集池，进入污水处理站处理后回用。</w:t>
            </w:r>
          </w:p>
          <w:p w14:paraId="35ED6F2C">
            <w:pPr>
              <w:ind w:firstLine="480" w:firstLineChars="200"/>
              <w:rPr>
                <w:rFonts w:hint="default" w:ascii="Times New Roman" w:hAnsi="Times New Roman" w:cs="Times New Roman"/>
                <w:color w:val="000000"/>
                <w:highlight w:val="none"/>
              </w:rPr>
            </w:pPr>
            <w:r>
              <w:rPr>
                <w:rFonts w:hint="default" w:ascii="Times New Roman" w:hAnsi="Times New Roman" w:cs="Times New Roman"/>
                <w:color w:val="000000"/>
                <w:highlight w:val="none"/>
              </w:rPr>
              <w:t>因此，只要建设单位加强对到港船舶的监督管理，严禁任意排放污染物，则本项目运营期对水质环境的影响较小。</w:t>
            </w:r>
          </w:p>
          <w:p w14:paraId="2DA79408">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b w:val="0"/>
                <w:bCs w:val="0"/>
                <w:color w:val="000000"/>
                <w:highlight w:val="none"/>
                <w:lang w:val="en-US" w:eastAsia="zh-CN"/>
              </w:rPr>
            </w:pPr>
            <w:r>
              <w:rPr>
                <w:rFonts w:hint="default" w:ascii="Times New Roman" w:hAnsi="Times New Roman" w:cs="Times New Roman"/>
                <w:b w:val="0"/>
                <w:bCs w:val="0"/>
                <w:color w:val="000000"/>
                <w:highlight w:val="none"/>
                <w:lang w:val="en-US" w:eastAsia="zh-CN"/>
              </w:rPr>
              <w:t>本项目雨污管网图见</w:t>
            </w:r>
            <w:r>
              <w:rPr>
                <w:rFonts w:hint="eastAsia" w:cs="Times New Roman"/>
                <w:b w:val="0"/>
                <w:bCs w:val="0"/>
                <w:color w:val="000000"/>
                <w:highlight w:val="none"/>
                <w:lang w:val="en-US" w:eastAsia="zh-CN"/>
              </w:rPr>
              <w:t>附图16</w:t>
            </w:r>
            <w:r>
              <w:rPr>
                <w:rFonts w:hint="default" w:ascii="Times New Roman" w:hAnsi="Times New Roman" w:cs="Times New Roman"/>
                <w:b w:val="0"/>
                <w:bCs w:val="0"/>
                <w:color w:val="000000"/>
                <w:highlight w:val="none"/>
                <w:lang w:val="en-US" w:eastAsia="zh-CN"/>
              </w:rPr>
              <w:t>。</w:t>
            </w:r>
          </w:p>
          <w:p w14:paraId="1456D5D9">
            <w:pPr>
              <w:bidi w:val="0"/>
              <w:ind w:firstLine="482" w:firstLineChars="20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（5）废水处理措施及可行性分析</w:t>
            </w:r>
          </w:p>
          <w:p w14:paraId="431B3551">
            <w:pPr>
              <w:bidi w:val="0"/>
              <w:ind w:firstLine="480" w:firstLineChars="20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1）冲洗废水、初期雨水、生活污水处理措施</w:t>
            </w:r>
          </w:p>
          <w:p w14:paraId="5EE88F79">
            <w:pPr>
              <w:bidi w:val="0"/>
              <w:ind w:firstLine="480" w:firstLineChars="20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根据工程分析，运营期本项目纳入港区自建污水处理站处理的污水量为51.66</w:t>
            </w:r>
            <w:r>
              <w:rPr>
                <w:rFonts w:hint="default" w:ascii="Times New Roman" w:hAnsi="Times New Roman" w:cs="Times New Roman"/>
                <w:color w:val="000000"/>
                <w:highlight w:val="none"/>
              </w:rPr>
              <w:t>m</w:t>
            </w:r>
            <w:r>
              <w:rPr>
                <w:rFonts w:hint="default" w:ascii="Times New Roman" w:hAnsi="Times New Roman" w:cs="Times New Roman"/>
                <w:color w:val="000000"/>
                <w:highlight w:val="none"/>
                <w:vertAlign w:val="superscript"/>
              </w:rPr>
              <w:t>3</w:t>
            </w:r>
            <w:r>
              <w:rPr>
                <w:rFonts w:hint="default" w:ascii="Times New Roman" w:hAnsi="Times New Roman" w:cs="Times New Roman"/>
                <w:color w:val="000000"/>
                <w:highlight w:val="none"/>
                <w:vertAlign w:val="baseline"/>
                <w:lang w:val="en-US" w:eastAsia="zh-CN"/>
              </w:rPr>
              <w:t>/d，主要包括</w:t>
            </w:r>
            <w:r>
              <w:rPr>
                <w:rFonts w:hint="default" w:ascii="Times New Roman" w:hAnsi="Times New Roman" w:cs="Times New Roman"/>
                <w:color w:val="000000"/>
                <w:highlight w:val="none"/>
                <w:lang w:val="en-US" w:eastAsia="zh-CN"/>
              </w:rPr>
              <w:t>码头冲洗废水、卸渔区冲洗废水、港区生活污水，其中冲洗废水主要污染物为</w:t>
            </w:r>
            <w:r>
              <w:rPr>
                <w:rFonts w:hint="default" w:ascii="Times New Roman" w:hAnsi="Times New Roman" w:cs="Times New Roman"/>
                <w:color w:val="000000"/>
                <w:highlight w:val="none"/>
              </w:rPr>
              <w:t>COD、BOD</w:t>
            </w:r>
            <w:r>
              <w:rPr>
                <w:rFonts w:hint="default" w:ascii="Times New Roman" w:hAnsi="Times New Roman" w:cs="Times New Roman"/>
                <w:color w:val="000000"/>
                <w:highlight w:val="none"/>
                <w:vertAlign w:val="subscript"/>
              </w:rPr>
              <w:t>5</w:t>
            </w:r>
            <w:r>
              <w:rPr>
                <w:rFonts w:hint="default" w:ascii="Times New Roman" w:hAnsi="Times New Roman" w:cs="Times New Roman"/>
                <w:color w:val="000000"/>
                <w:highlight w:val="none"/>
              </w:rPr>
              <w:t>、SS</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NH</w:t>
            </w:r>
            <w:r>
              <w:rPr>
                <w:rFonts w:hint="default" w:ascii="Times New Roman" w:hAnsi="Times New Roman" w:cs="Times New Roman"/>
                <w:color w:val="000000"/>
                <w:highlight w:val="none"/>
                <w:vertAlign w:val="subscript"/>
                <w:lang w:val="en-US" w:eastAsia="zh-CN"/>
              </w:rPr>
              <w:t>3</w:t>
            </w:r>
            <w:r>
              <w:rPr>
                <w:rFonts w:hint="default" w:ascii="Times New Roman" w:hAnsi="Times New Roman" w:cs="Times New Roman"/>
                <w:color w:val="000000"/>
                <w:highlight w:val="none"/>
                <w:lang w:val="en-US" w:eastAsia="zh-CN"/>
              </w:rPr>
              <w:t>-N，生活污水主要污染物为</w:t>
            </w:r>
            <w:r>
              <w:rPr>
                <w:rFonts w:hint="default" w:ascii="Times New Roman" w:hAnsi="Times New Roman" w:cs="Times New Roman"/>
                <w:color w:val="000000"/>
                <w:highlight w:val="none"/>
              </w:rPr>
              <w:t>COD、BOD</w:t>
            </w:r>
            <w:r>
              <w:rPr>
                <w:rFonts w:hint="default" w:ascii="Times New Roman" w:hAnsi="Times New Roman" w:cs="Times New Roman"/>
                <w:color w:val="000000"/>
                <w:highlight w:val="none"/>
                <w:vertAlign w:val="subscript"/>
              </w:rPr>
              <w:t>5</w:t>
            </w:r>
            <w:r>
              <w:rPr>
                <w:rFonts w:hint="default" w:ascii="Times New Roman" w:hAnsi="Times New Roman" w:cs="Times New Roman"/>
                <w:color w:val="000000"/>
                <w:highlight w:val="none"/>
              </w:rPr>
              <w:t>、SS</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NH</w:t>
            </w:r>
            <w:r>
              <w:rPr>
                <w:rFonts w:hint="default" w:ascii="Times New Roman" w:hAnsi="Times New Roman" w:cs="Times New Roman"/>
                <w:color w:val="000000"/>
                <w:highlight w:val="none"/>
                <w:vertAlign w:val="subscript"/>
                <w:lang w:val="en-US" w:eastAsia="zh-CN"/>
              </w:rPr>
              <w:t>3</w:t>
            </w:r>
            <w:r>
              <w:rPr>
                <w:rFonts w:hint="default" w:ascii="Times New Roman" w:hAnsi="Times New Roman" w:cs="Times New Roman"/>
                <w:color w:val="000000"/>
                <w:highlight w:val="none"/>
                <w:lang w:val="en-US" w:eastAsia="zh-CN"/>
              </w:rPr>
              <w:t>-N、动植物油。</w:t>
            </w:r>
          </w:p>
          <w:p w14:paraId="59A244AE">
            <w:pPr>
              <w:bidi w:val="0"/>
              <w:ind w:firstLine="480" w:firstLineChars="20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①处理工艺选择</w:t>
            </w:r>
          </w:p>
          <w:p w14:paraId="78155D5B">
            <w:pPr>
              <w:bidi w:val="0"/>
              <w:ind w:firstLine="480" w:firstLineChars="20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码头、卸渔区冲洗废水主要为有机废水，污染物主要为</w:t>
            </w:r>
            <w:r>
              <w:rPr>
                <w:rFonts w:hint="default" w:ascii="Times New Roman" w:hAnsi="Times New Roman" w:cs="Times New Roman"/>
                <w:color w:val="000000"/>
                <w:highlight w:val="none"/>
              </w:rPr>
              <w:t>COD、BOD</w:t>
            </w:r>
            <w:r>
              <w:rPr>
                <w:rFonts w:hint="default" w:ascii="Times New Roman" w:hAnsi="Times New Roman" w:cs="Times New Roman"/>
                <w:color w:val="000000"/>
                <w:highlight w:val="none"/>
                <w:vertAlign w:val="subscript"/>
              </w:rPr>
              <w:t>5</w:t>
            </w:r>
            <w:r>
              <w:rPr>
                <w:rFonts w:hint="default" w:ascii="Times New Roman" w:hAnsi="Times New Roman" w:cs="Times New Roman"/>
                <w:color w:val="000000"/>
                <w:highlight w:val="none"/>
              </w:rPr>
              <w:t>、SS</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NH</w:t>
            </w:r>
            <w:r>
              <w:rPr>
                <w:rFonts w:hint="default" w:ascii="Times New Roman" w:hAnsi="Times New Roman" w:cs="Times New Roman"/>
                <w:color w:val="000000"/>
                <w:highlight w:val="none"/>
                <w:vertAlign w:val="subscript"/>
                <w:lang w:val="en-US" w:eastAsia="zh-CN"/>
              </w:rPr>
              <w:t>3</w:t>
            </w:r>
            <w:r>
              <w:rPr>
                <w:rFonts w:hint="default" w:ascii="Times New Roman" w:hAnsi="Times New Roman" w:cs="Times New Roman"/>
                <w:color w:val="000000"/>
                <w:highlight w:val="none"/>
                <w:lang w:val="en-US" w:eastAsia="zh-CN"/>
              </w:rPr>
              <w:t>-N等，考虑到渔港的长期规划，建议采用“格栅+调节池+A/O生化池+二沉池+消毒储水池”处理工艺。食堂废水先经过隔油池预处理后，与生活污水一同进入化粪池处理，再纳入污水处理站进一步处理。全港区污水处理系统工艺流程见</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REF _Ref16022 \h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rPr>
              <w:t>图</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4.6</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1</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val="en-US" w:eastAsia="zh-CN"/>
              </w:rPr>
              <w:t>。</w:t>
            </w:r>
          </w:p>
          <w:p w14:paraId="16393F22">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drawing>
                <wp:inline distT="0" distB="0" distL="114300" distR="114300">
                  <wp:extent cx="5219700" cy="1475740"/>
                  <wp:effectExtent l="0" t="0" r="0" b="10160"/>
                  <wp:docPr id="338" name="图片 774" descr="水平衡图、污水处理工艺流程图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图片 774" descr="水平衡图、污水处理工艺流程图_01"/>
                          <pic:cNvPicPr>
                            <a:picLocks noChangeAspect="1"/>
                          </pic:cNvPicPr>
                        </pic:nvPicPr>
                        <pic:blipFill>
                          <a:blip r:embed="rId138"/>
                          <a:stretch>
                            <a:fillRect/>
                          </a:stretch>
                        </pic:blipFill>
                        <pic:spPr>
                          <a:xfrm>
                            <a:off x="0" y="0"/>
                            <a:ext cx="5219700" cy="1475740"/>
                          </a:xfrm>
                          <a:prstGeom prst="rect">
                            <a:avLst/>
                          </a:prstGeom>
                          <a:noFill/>
                          <a:ln>
                            <a:noFill/>
                          </a:ln>
                        </pic:spPr>
                      </pic:pic>
                    </a:graphicData>
                  </a:graphic>
                </wp:inline>
              </w:drawing>
            </w:r>
          </w:p>
          <w:p w14:paraId="428180D2">
            <w:pPr>
              <w:pStyle w:val="30"/>
              <w:bidi w:val="0"/>
              <w:rPr>
                <w:rFonts w:hint="default" w:ascii="Times New Roman" w:hAnsi="Times New Roman" w:cs="Times New Roman"/>
                <w:color w:val="000000"/>
                <w:highlight w:val="none"/>
                <w:lang w:val="en-US" w:eastAsia="zh-CN"/>
              </w:rPr>
            </w:pPr>
            <w:bookmarkStart w:id="387" w:name="_Ref16022"/>
            <w:r>
              <w:rPr>
                <w:rFonts w:hint="default" w:ascii="Times New Roman" w:hAnsi="Times New Roman" w:cs="Times New Roman"/>
                <w:color w:val="000000"/>
                <w:highlight w:val="none"/>
              </w:rPr>
              <w:t>图</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4.6</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图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1</w:t>
            </w:r>
            <w:r>
              <w:rPr>
                <w:rFonts w:hint="default" w:ascii="Times New Roman" w:hAnsi="Times New Roman" w:cs="Times New Roman"/>
                <w:color w:val="000000"/>
                <w:highlight w:val="none"/>
              </w:rPr>
              <w:fldChar w:fldCharType="end"/>
            </w:r>
            <w:bookmarkEnd w:id="387"/>
            <w:r>
              <w:rPr>
                <w:rFonts w:hint="default" w:ascii="Times New Roman" w:hAnsi="Times New Roman" w:cs="Times New Roman"/>
                <w:color w:val="000000"/>
                <w:highlight w:val="none"/>
                <w:lang w:val="en-US" w:eastAsia="zh-CN"/>
              </w:rPr>
              <w:t xml:space="preserve"> 全港区污水处理系统工艺流程图</w:t>
            </w:r>
          </w:p>
          <w:p w14:paraId="527BFBDD">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②可行性分析</w:t>
            </w:r>
          </w:p>
          <w:p w14:paraId="15A1A81B">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A、水量可行性分析</w:t>
            </w:r>
          </w:p>
          <w:p w14:paraId="50E96083">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根据工程分析，本项目建成后运营期污水处理站总处理水量为51.66</w:t>
            </w:r>
            <w:r>
              <w:rPr>
                <w:rFonts w:hint="default" w:ascii="Times New Roman" w:hAnsi="Times New Roman" w:cs="Times New Roman"/>
                <w:color w:val="000000"/>
                <w:highlight w:val="none"/>
              </w:rPr>
              <w:t>m</w:t>
            </w:r>
            <w:r>
              <w:rPr>
                <w:rFonts w:hint="default" w:ascii="Times New Roman" w:hAnsi="Times New Roman" w:cs="Times New Roman"/>
                <w:color w:val="000000"/>
                <w:highlight w:val="none"/>
                <w:vertAlign w:val="superscript"/>
              </w:rPr>
              <w:t>3</w:t>
            </w:r>
            <w:r>
              <w:rPr>
                <w:rFonts w:hint="default" w:ascii="Times New Roman" w:hAnsi="Times New Roman" w:cs="Times New Roman"/>
                <w:color w:val="000000"/>
                <w:highlight w:val="none"/>
                <w:vertAlign w:val="baseline"/>
                <w:lang w:val="en-US" w:eastAsia="zh-CN"/>
              </w:rPr>
              <w:t>/d，考虑到水量波动以及长期规划，建议污水处理站处理规模取100</w:t>
            </w:r>
            <w:r>
              <w:rPr>
                <w:rFonts w:hint="default" w:ascii="Times New Roman" w:hAnsi="Times New Roman" w:cs="Times New Roman"/>
                <w:color w:val="000000"/>
                <w:highlight w:val="none"/>
              </w:rPr>
              <w:t>m</w:t>
            </w:r>
            <w:r>
              <w:rPr>
                <w:rFonts w:hint="default" w:ascii="Times New Roman" w:hAnsi="Times New Roman" w:cs="Times New Roman"/>
                <w:color w:val="000000"/>
                <w:highlight w:val="none"/>
                <w:vertAlign w:val="superscript"/>
              </w:rPr>
              <w:t>3</w:t>
            </w:r>
            <w:r>
              <w:rPr>
                <w:rFonts w:hint="default" w:ascii="Times New Roman" w:hAnsi="Times New Roman" w:cs="Times New Roman"/>
                <w:color w:val="000000"/>
                <w:highlight w:val="none"/>
                <w:vertAlign w:val="baseline"/>
                <w:lang w:val="en-US" w:eastAsia="zh-CN"/>
              </w:rPr>
              <w:t>/d，可以满足本工程生活污水、生产废水处理需要。</w:t>
            </w:r>
          </w:p>
          <w:p w14:paraId="6B7F8366">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根据福建省地方标准《行业用水定额》（DB35/T 772-2023），绿化灌溉用水量按1.0L/m</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lang w:val="en-US" w:eastAsia="zh-CN"/>
              </w:rPr>
              <w:t>·d计，本项目港区规划绿地面积为36733.76m</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lang w:val="en-US" w:eastAsia="zh-CN"/>
              </w:rPr>
              <w:t>，因此灌溉需要用水量为36.73m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/d；道路喷洒用水量按1.5L/m</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lang w:val="en-US" w:eastAsia="zh-CN"/>
              </w:rPr>
              <w:t>·d计，港区规划道路约25000m</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lang w:val="en-US" w:eastAsia="zh-CN"/>
              </w:rPr>
              <w:t>，因此道路洒水需要用水量为37.5m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/d；码头及卸渔区冲洗</w:t>
            </w:r>
            <w:r>
              <w:rPr>
                <w:rFonts w:hint="default" w:ascii="Times New Roman" w:hAnsi="Times New Roman" w:cs="Times New Roman"/>
                <w:color w:val="000000"/>
                <w:highlight w:val="none"/>
              </w:rPr>
              <w:t>用水</w:t>
            </w:r>
            <w:r>
              <w:rPr>
                <w:rFonts w:hint="default" w:ascii="Times New Roman" w:hAnsi="Times New Roman" w:cs="Times New Roman"/>
                <w:color w:val="000000"/>
                <w:highlight w:val="none"/>
                <w:lang w:val="en-US" w:eastAsia="zh-CN"/>
              </w:rPr>
              <w:t>量为37.91</w:t>
            </w:r>
            <w:r>
              <w:rPr>
                <w:rFonts w:hint="default" w:ascii="Times New Roman" w:hAnsi="Times New Roman" w:cs="Times New Roman"/>
                <w:color w:val="000000"/>
                <w:highlight w:val="none"/>
              </w:rPr>
              <w:t>m</w:t>
            </w:r>
            <w:r>
              <w:rPr>
                <w:rFonts w:hint="default" w:ascii="Times New Roman" w:hAnsi="Times New Roman" w:cs="Times New Roman"/>
                <w:color w:val="000000"/>
                <w:highlight w:val="none"/>
                <w:vertAlign w:val="superscript"/>
              </w:rPr>
              <w:t>3</w:t>
            </w:r>
            <w:r>
              <w:rPr>
                <w:rFonts w:hint="default" w:ascii="Times New Roman" w:hAnsi="Times New Roman" w:cs="Times New Roman"/>
                <w:color w:val="000000"/>
                <w:highlight w:val="none"/>
              </w:rPr>
              <w:t>/d</w:t>
            </w:r>
            <w:r>
              <w:rPr>
                <w:rFonts w:hint="default" w:ascii="Times New Roman" w:hAnsi="Times New Roman" w:cs="Times New Roman"/>
                <w:color w:val="000000"/>
                <w:highlight w:val="none"/>
                <w:lang w:eastAsia="zh-CN"/>
              </w:rPr>
              <w:t>。</w:t>
            </w:r>
          </w:p>
          <w:p w14:paraId="30AE3205">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本项目港区绿化、道路洒水、码头及卸渔区冲洗总用水量为112.14</w:t>
            </w:r>
            <w:r>
              <w:rPr>
                <w:rFonts w:hint="default" w:ascii="Times New Roman" w:hAnsi="Times New Roman" w:cs="Times New Roman"/>
                <w:color w:val="000000"/>
                <w:highlight w:val="none"/>
              </w:rPr>
              <w:t>m</w:t>
            </w:r>
            <w:r>
              <w:rPr>
                <w:rFonts w:hint="default" w:ascii="Times New Roman" w:hAnsi="Times New Roman" w:cs="Times New Roman"/>
                <w:color w:val="000000"/>
                <w:highlight w:val="none"/>
                <w:vertAlign w:val="superscript"/>
              </w:rPr>
              <w:t>3</w:t>
            </w:r>
            <w:r>
              <w:rPr>
                <w:rFonts w:hint="default" w:ascii="Times New Roman" w:hAnsi="Times New Roman" w:cs="Times New Roman"/>
                <w:color w:val="000000"/>
                <w:highlight w:val="none"/>
              </w:rPr>
              <w:t>/d</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其中港区绿化用水全部损耗，道路洒水全部蒸发损耗,</w:t>
            </w:r>
            <w:r>
              <w:rPr>
                <w:rFonts w:hint="default" w:ascii="Times New Roman" w:hAnsi="Times New Roman" w:cs="Times New Roman"/>
                <w:color w:val="000000"/>
                <w:highlight w:val="none"/>
                <w:vertAlign w:val="baseline"/>
                <w:lang w:val="en-US" w:eastAsia="zh-CN"/>
              </w:rPr>
              <w:t>，因此，废水经处理后回用是能够接纳的</w:t>
            </w:r>
            <w:r>
              <w:rPr>
                <w:rFonts w:hint="default" w:ascii="Times New Roman" w:hAnsi="Times New Roman" w:cs="Times New Roman"/>
                <w:color w:val="000000"/>
                <w:highlight w:val="none"/>
                <w:lang w:val="en-US" w:eastAsia="zh-CN"/>
              </w:rPr>
              <w:t>。根据工程分析，</w:t>
            </w:r>
            <w:r>
              <w:rPr>
                <w:rFonts w:hint="default" w:ascii="Times New Roman" w:hAnsi="Times New Roman" w:cs="Times New Roman"/>
                <w:color w:val="000000"/>
                <w:highlight w:val="none"/>
              </w:rPr>
              <w:t>计算得出</w:t>
            </w:r>
            <w:r>
              <w:rPr>
                <w:rFonts w:hint="default" w:ascii="Times New Roman" w:hAnsi="Times New Roman" w:cs="Times New Roman"/>
                <w:color w:val="000000"/>
                <w:highlight w:val="none"/>
                <w:lang w:val="en-US" w:eastAsia="zh-CN"/>
              </w:rPr>
              <w:t>单次最大</w:t>
            </w:r>
            <w:r>
              <w:rPr>
                <w:rFonts w:hint="default" w:ascii="Times New Roman" w:hAnsi="Times New Roman" w:cs="Times New Roman"/>
                <w:color w:val="000000"/>
                <w:highlight w:val="none"/>
              </w:rPr>
              <w:t>初期雨水量为</w:t>
            </w:r>
            <w:r>
              <w:rPr>
                <w:rFonts w:hint="default" w:ascii="Times New Roman" w:hAnsi="Times New Roman" w:cs="Times New Roman"/>
                <w:color w:val="000000"/>
                <w:highlight w:val="none"/>
                <w:lang w:val="en-US" w:eastAsia="zh-CN"/>
              </w:rPr>
              <w:t>240.921m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/次</w:t>
            </w:r>
            <w:r>
              <w:rPr>
                <w:rFonts w:hint="default" w:ascii="Times New Roman" w:hAnsi="Times New Roman" w:cs="Times New Roman"/>
                <w:color w:val="000000"/>
                <w:highlight w:val="none"/>
                <w:vertAlign w:val="baseline"/>
                <w:lang w:val="en-US" w:eastAsia="zh-CN"/>
              </w:rPr>
              <w:t>，因此</w:t>
            </w:r>
            <w:r>
              <w:rPr>
                <w:rFonts w:hint="default" w:ascii="Times New Roman" w:hAnsi="Times New Roman" w:cs="Times New Roman"/>
                <w:color w:val="000000"/>
                <w:highlight w:val="none"/>
                <w:lang w:val="en-US" w:eastAsia="zh-CN"/>
              </w:rPr>
              <w:t>拟设置1个容积300</w:t>
            </w:r>
            <w:r>
              <w:rPr>
                <w:rFonts w:hint="default" w:ascii="Times New Roman" w:hAnsi="Times New Roman" w:cs="Times New Roman"/>
                <w:color w:val="000000"/>
                <w:highlight w:val="none"/>
              </w:rPr>
              <w:t>m</w:t>
            </w:r>
            <w:r>
              <w:rPr>
                <w:rFonts w:hint="default" w:ascii="Times New Roman" w:hAnsi="Times New Roman" w:cs="Times New Roman"/>
                <w:color w:val="000000"/>
                <w:highlight w:val="none"/>
                <w:vertAlign w:val="superscript"/>
              </w:rPr>
              <w:t>3</w:t>
            </w:r>
            <w:r>
              <w:rPr>
                <w:rFonts w:hint="default" w:ascii="Times New Roman" w:hAnsi="Times New Roman" w:cs="Times New Roman"/>
                <w:color w:val="000000"/>
                <w:highlight w:val="none"/>
                <w:lang w:val="en-US" w:eastAsia="zh-CN"/>
              </w:rPr>
              <w:t>的收集池，</w:t>
            </w:r>
            <w:r>
              <w:rPr>
                <w:rFonts w:hint="default" w:ascii="Times New Roman" w:hAnsi="Times New Roman" w:cs="Times New Roman"/>
                <w:color w:val="000000"/>
                <w:highlight w:val="none"/>
              </w:rPr>
              <w:t>收集池前设置转换闸门，雨天收集前15分钟初期雨水后，转换闸门，</w:t>
            </w:r>
            <w:r>
              <w:rPr>
                <w:rFonts w:hint="default" w:ascii="Times New Roman" w:hAnsi="Times New Roman" w:cs="Times New Roman"/>
                <w:color w:val="000000"/>
                <w:highlight w:val="none"/>
                <w:lang w:val="en-US" w:eastAsia="zh-CN"/>
              </w:rPr>
              <w:t>初期雨水进入污水处理站处理后回用，</w:t>
            </w:r>
            <w:r>
              <w:rPr>
                <w:rFonts w:hint="default" w:ascii="Times New Roman" w:hAnsi="Times New Roman" w:cs="Times New Roman"/>
                <w:color w:val="000000"/>
                <w:highlight w:val="none"/>
              </w:rPr>
              <w:t>15分钟后干净的雨水可通过收集管排放入海</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不下雨时冲洗废水进入收集池，进入污水处理站处理后回用。</w:t>
            </w:r>
          </w:p>
          <w:p w14:paraId="6C973250">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因此，从水量方面考虑，本项目采取的废水处理措施可行。</w:t>
            </w:r>
          </w:p>
          <w:p w14:paraId="37AC2584">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B、水质可行性分析</w:t>
            </w:r>
          </w:p>
          <w:p w14:paraId="2E41150B">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本项目生活污水和生产废水主要污染物为：</w:t>
            </w:r>
            <w:r>
              <w:rPr>
                <w:rFonts w:hint="default" w:ascii="Times New Roman" w:hAnsi="Times New Roman" w:cs="Times New Roman"/>
                <w:color w:val="000000"/>
                <w:highlight w:val="none"/>
              </w:rPr>
              <w:t>COD、BOD</w:t>
            </w:r>
            <w:r>
              <w:rPr>
                <w:rFonts w:hint="default" w:ascii="Times New Roman" w:hAnsi="Times New Roman" w:cs="Times New Roman"/>
                <w:color w:val="000000"/>
                <w:highlight w:val="none"/>
                <w:vertAlign w:val="subscript"/>
              </w:rPr>
              <w:t>5</w:t>
            </w:r>
            <w:r>
              <w:rPr>
                <w:rFonts w:hint="default" w:ascii="Times New Roman" w:hAnsi="Times New Roman" w:cs="Times New Roman"/>
                <w:color w:val="000000"/>
                <w:highlight w:val="none"/>
              </w:rPr>
              <w:t>、SS</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NH</w:t>
            </w:r>
            <w:r>
              <w:rPr>
                <w:rFonts w:hint="default" w:ascii="Times New Roman" w:hAnsi="Times New Roman" w:cs="Times New Roman"/>
                <w:color w:val="000000"/>
                <w:highlight w:val="none"/>
                <w:vertAlign w:val="subscript"/>
                <w:lang w:val="en-US" w:eastAsia="zh-CN"/>
              </w:rPr>
              <w:t>3</w:t>
            </w:r>
            <w:r>
              <w:rPr>
                <w:rFonts w:hint="default" w:ascii="Times New Roman" w:hAnsi="Times New Roman" w:cs="Times New Roman"/>
                <w:color w:val="000000"/>
                <w:highlight w:val="none"/>
                <w:lang w:val="en-US" w:eastAsia="zh-CN"/>
              </w:rPr>
              <w:t>-N、动植物油。根据工艺流程图（</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REF _Ref16022 \h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rPr>
              <w:t>图</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4.6</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1</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val="en-US" w:eastAsia="zh-CN"/>
              </w:rPr>
              <w:t>），各节点污染物去除效果如下：</w:t>
            </w:r>
          </w:p>
          <w:p w14:paraId="71492E8F">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调节池：污水进入调节池进行水量、水质的调节均化，保证后续生化处理系统水量、水质的均衡、稳定。</w:t>
            </w:r>
          </w:p>
          <w:p w14:paraId="649F1279">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A/O生化池；将污水进一步混合，充分利用池内高效生物弹性填料作为细菌载体，靠兼氧微生物将污水中难溶解有机物转化为可溶解有机物，将大分子有机物水解成小分子有机物，以利于后道生物处理池进一步氧化分解，同时在硝化菌的作用下，可进行部分硝化和反硝化，去除氨氮。之后通过附着于填料上的大量不同种属的微生物群落共同参与下的生化降解和吸附作用，去除污水中的各种有机物质，使污水中的有机物含量大幅度降低。后段在有机负荷较低的情况下，通过硝化菌的作用，在氧量充足的条件下降解污水中的氨氮，同时也使污水的COD值降低到更低的水平，使污水得以净化。</w:t>
            </w:r>
          </w:p>
          <w:p w14:paraId="09589510">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二沉池：进行固液分离去除生化池中剥落下来的生物膜和悬浮污泥，使污水真正净化。</w:t>
            </w:r>
          </w:p>
          <w:p w14:paraId="106126C7">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从目前国内采用同类处理工艺的污水处理设施的运行情况来看，本项目港区生产、生活污水采用的生化处理工艺为成熟可靠的工艺，设计参数选择合理，运行操作控制正常，可保证处理出水达到回用水要求进行回用。因此，从水质方面考虑，本项目采取的废水处理措施可行。</w:t>
            </w:r>
          </w:p>
          <w:p w14:paraId="5C895245">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2）船舶含油污水、船舶生活污水处理措施</w:t>
            </w:r>
          </w:p>
          <w:p w14:paraId="641141F4">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①船舶含油污水处理措施</w:t>
            </w:r>
          </w:p>
          <w:p w14:paraId="0111536D">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根据《船舶水污染物排放控制标准》（GB 3552-2018）规定，自2018年7月1日起，沿海船舶机器处所油污水、含货油残余物的油污水需收集并排入接收设施，由海事部门认可的船舶污染物接收单位接收处理；或在船舶航行中排放</w:t>
            </w:r>
            <w:r>
              <w:rPr>
                <w:rFonts w:hint="eastAsia" w:cs="Times New Roman"/>
                <w:color w:val="000000"/>
                <w:highlight w:val="none"/>
                <w:lang w:val="en-US" w:eastAsia="zh-CN"/>
              </w:rPr>
              <w:t>且</w:t>
            </w:r>
            <w:r>
              <w:rPr>
                <w:rFonts w:hint="default" w:ascii="Times New Roman" w:hAnsi="Times New Roman" w:cs="Times New Roman"/>
                <w:color w:val="000000"/>
                <w:highlight w:val="none"/>
                <w:lang w:val="en-US" w:eastAsia="zh-CN"/>
              </w:rPr>
              <w:t>石油类排放浓度值应≤15mg/L。</w:t>
            </w:r>
          </w:p>
          <w:p w14:paraId="6B3DBDB3">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②船舶生活污水处理措施</w:t>
            </w:r>
          </w:p>
          <w:p w14:paraId="07079CC6">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根据《船舶水污染物排放控制标准》（GB 3552-2018），船舶生活污水需收集排入接收设施，由海事部门认可的船舶污染物接收单位接收处理；或利用船载生活污水处理装置处理，达到《船舶水污染物排放控制标准》（GB 3552-2018）中5.2节相应的污染物排放限值后，在航行中排放。</w:t>
            </w:r>
          </w:p>
          <w:p w14:paraId="3F7B134C">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b w:val="0"/>
                <w:bCs w:val="0"/>
                <w:color w:val="000000"/>
                <w:highlight w:val="none"/>
                <w:lang w:eastAsia="zh-CN"/>
              </w:rPr>
            </w:pPr>
            <w:r>
              <w:rPr>
                <w:rFonts w:hint="default" w:ascii="Times New Roman" w:hAnsi="Times New Roman" w:cs="Times New Roman"/>
                <w:color w:val="000000"/>
                <w:highlight w:val="none"/>
                <w:lang w:val="en-US" w:eastAsia="zh-CN"/>
              </w:rPr>
              <w:t>建设单位应加强管理，要求到港船舶的性能应达到国家规定的各类标准，船舶含油污水、生活污水排放应按《船舶水污染物排放控制标准》（GB 3552-2018）规定实施。</w:t>
            </w:r>
            <w:r>
              <w:rPr>
                <w:rFonts w:hint="default" w:ascii="Times New Roman" w:hAnsi="Times New Roman" w:cs="Times New Roman"/>
                <w:color w:val="000000"/>
                <w:highlight w:val="none"/>
              </w:rPr>
              <w:t>对于无自带污水处理设施的</w:t>
            </w:r>
            <w:r>
              <w:rPr>
                <w:rFonts w:hint="default" w:ascii="Times New Roman" w:hAnsi="Times New Roman" w:cs="Times New Roman"/>
                <w:color w:val="000000"/>
                <w:highlight w:val="none"/>
                <w:lang w:val="en-US" w:eastAsia="zh-CN"/>
              </w:rPr>
              <w:t>船舶</w:t>
            </w:r>
            <w:r>
              <w:rPr>
                <w:rFonts w:hint="default" w:ascii="Times New Roman" w:hAnsi="Times New Roman" w:cs="Times New Roman"/>
                <w:color w:val="000000"/>
                <w:highlight w:val="none"/>
              </w:rPr>
              <w:t>，应交由海事部门认可的船舶污染物接收单位接收处理</w:t>
            </w:r>
            <w:r>
              <w:rPr>
                <w:rFonts w:hint="default" w:ascii="Times New Roman" w:hAnsi="Times New Roman" w:cs="Times New Roman"/>
                <w:color w:val="000000"/>
                <w:highlight w:val="none"/>
                <w:lang w:eastAsia="zh-CN"/>
              </w:rPr>
              <w:t>，</w:t>
            </w:r>
            <w:r>
              <w:rPr>
                <w:rFonts w:hint="default" w:ascii="Times New Roman" w:hAnsi="Times New Roman" w:cs="Times New Roman"/>
                <w:b w:val="0"/>
                <w:bCs w:val="0"/>
                <w:color w:val="000000"/>
                <w:highlight w:val="none"/>
                <w:lang w:eastAsia="zh-CN"/>
              </w:rPr>
              <w:t>船舶服务公司污染物收集船停靠港区，通过吸污泵将进港渔船的船舶含油污水、船舶生活污水接收到集污船，由船舶服务公司接收处理。</w:t>
            </w:r>
            <w:r>
              <w:rPr>
                <w:rFonts w:hint="default" w:ascii="Times New Roman" w:hAnsi="Times New Roman" w:cs="Times New Roman"/>
                <w:b w:val="0"/>
                <w:bCs w:val="0"/>
                <w:color w:val="000000"/>
                <w:highlight w:val="none"/>
                <w:lang w:val="en-US" w:eastAsia="zh-CN"/>
              </w:rPr>
              <w:t>福州</w:t>
            </w:r>
            <w:r>
              <w:rPr>
                <w:rFonts w:hint="default" w:ascii="Times New Roman" w:hAnsi="Times New Roman" w:cs="Times New Roman"/>
                <w:b w:val="0"/>
                <w:bCs w:val="0"/>
                <w:color w:val="000000"/>
                <w:highlight w:val="none"/>
                <w:lang w:eastAsia="zh-CN"/>
              </w:rPr>
              <w:t>地区可接收船舶污染物的船舶服务公司有福州市百洋恒丰船舶服务有限公司、福州加利亚船舶服务有限公司，均可接收船舶含油污水、船舶生活污水、船舶垃圾。</w:t>
            </w:r>
          </w:p>
          <w:p w14:paraId="2B8D654D">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rPr>
            </w:pPr>
            <w:r>
              <w:rPr>
                <w:rFonts w:hint="default" w:ascii="Times New Roman" w:hAnsi="Times New Roman" w:cs="Times New Roman"/>
                <w:color w:val="000000"/>
                <w:highlight w:val="none"/>
                <w:lang w:val="en-US" w:eastAsia="zh-CN"/>
              </w:rPr>
              <w:t>因此，到港船舶含油污水、船舶生活污水处理措施可行。</w:t>
            </w:r>
          </w:p>
          <w:p w14:paraId="6D1551E4">
            <w:pPr>
              <w:pStyle w:val="4"/>
              <w:bidi w:val="0"/>
              <w:rPr>
                <w:rFonts w:hint="default" w:ascii="Times New Roman" w:hAnsi="Times New Roman" w:cs="Times New Roman"/>
                <w:color w:val="000000"/>
                <w:highlight w:val="none"/>
              </w:rPr>
            </w:pPr>
            <w:bookmarkStart w:id="388" w:name="_Toc2028"/>
            <w:r>
              <w:rPr>
                <w:rFonts w:hint="default" w:ascii="Times New Roman" w:hAnsi="Times New Roman" w:cs="Times New Roman"/>
                <w:color w:val="000000"/>
                <w:highlight w:val="none"/>
              </w:rPr>
              <w:t>运营期污染物排放对沉积物环境的影响</w:t>
            </w:r>
            <w:bookmarkEnd w:id="388"/>
          </w:p>
          <w:p w14:paraId="15187B36">
            <w:pPr>
              <w:ind w:firstLine="480" w:firstLineChars="200"/>
              <w:rPr>
                <w:rFonts w:hint="default" w:ascii="Times New Roman" w:hAnsi="Times New Roman" w:cs="Times New Roman"/>
                <w:color w:val="000000"/>
                <w:highlight w:val="none"/>
              </w:rPr>
            </w:pPr>
            <w:r>
              <w:rPr>
                <w:rFonts w:hint="default" w:ascii="Times New Roman" w:hAnsi="Times New Roman" w:cs="Times New Roman"/>
                <w:color w:val="000000"/>
                <w:highlight w:val="none"/>
              </w:rPr>
              <w:t>运营期渔港对沉积物的影响主要来自渔货鲜销时产生的固废、生产生活废污水排放。渔货鲜销时产生的固废如果没有统一收集处置，进入港池，腐烂变质后</w:t>
            </w:r>
            <w:r>
              <w:rPr>
                <w:rFonts w:hint="default" w:ascii="Times New Roman" w:hAnsi="Times New Roman" w:cs="Times New Roman"/>
                <w:color w:val="000000"/>
                <w:highlight w:val="none"/>
                <w:lang w:eastAsia="zh-CN"/>
              </w:rPr>
              <w:t>对</w:t>
            </w:r>
            <w:r>
              <w:rPr>
                <w:rFonts w:hint="default" w:ascii="Times New Roman" w:hAnsi="Times New Roman" w:cs="Times New Roman"/>
                <w:color w:val="000000"/>
                <w:highlight w:val="none"/>
              </w:rPr>
              <w:t>沉积物质量影响较大；废污水如果没有加以处理而进入港池，废污水中的有机污染物也会对沉积物产生较大影响。</w:t>
            </w:r>
          </w:p>
          <w:p w14:paraId="21DE9C02">
            <w:pPr>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rPr>
              <w:t>根据工程分析，运营期</w:t>
            </w:r>
            <w:r>
              <w:rPr>
                <w:rFonts w:hint="default" w:ascii="Times New Roman" w:hAnsi="Times New Roman" w:cs="Times New Roman"/>
                <w:color w:val="000000"/>
                <w:highlight w:val="none"/>
                <w:lang w:val="en-US" w:eastAsia="zh-CN"/>
              </w:rPr>
              <w:t>港区</w:t>
            </w:r>
            <w:r>
              <w:rPr>
                <w:rFonts w:hint="default" w:ascii="Times New Roman" w:hAnsi="Times New Roman" w:cs="Times New Roman"/>
                <w:color w:val="000000"/>
                <w:highlight w:val="none"/>
              </w:rPr>
              <w:t>生活污水经化粪池处理后与生产废水一起</w:t>
            </w:r>
            <w:r>
              <w:rPr>
                <w:rFonts w:hint="default" w:ascii="Times New Roman" w:hAnsi="Times New Roman" w:cs="Times New Roman"/>
                <w:color w:val="000000"/>
                <w:highlight w:val="none"/>
                <w:lang w:val="en-US" w:eastAsia="zh-CN"/>
              </w:rPr>
              <w:t>进入港区自建</w:t>
            </w:r>
            <w:r>
              <w:rPr>
                <w:rFonts w:hint="default" w:ascii="Times New Roman" w:hAnsi="Times New Roman" w:cs="Times New Roman"/>
                <w:color w:val="000000"/>
                <w:highlight w:val="none"/>
              </w:rPr>
              <w:t>污水处理站</w:t>
            </w:r>
            <w:r>
              <w:rPr>
                <w:rFonts w:hint="default" w:ascii="Times New Roman" w:hAnsi="Times New Roman" w:cs="Times New Roman"/>
                <w:color w:val="000000"/>
                <w:highlight w:val="none"/>
                <w:lang w:val="en-US" w:eastAsia="zh-CN"/>
              </w:rPr>
              <w:t>处理</w:t>
            </w:r>
            <w:r>
              <w:rPr>
                <w:rFonts w:hint="default" w:ascii="Times New Roman" w:hAnsi="Times New Roman" w:cs="Times New Roman"/>
                <w:color w:val="000000"/>
                <w:highlight w:val="none"/>
              </w:rPr>
              <w:t>达到</w:t>
            </w:r>
            <w:r>
              <w:rPr>
                <w:rFonts w:hint="default" w:ascii="Times New Roman" w:hAnsi="Times New Roman" w:cs="Times New Roman"/>
                <w:b w:val="0"/>
                <w:bCs w:val="0"/>
                <w:color w:val="000000"/>
                <w:sz w:val="24"/>
                <w:szCs w:val="32"/>
                <w:highlight w:val="none"/>
                <w:lang w:val="en-US" w:eastAsia="zh-CN"/>
              </w:rPr>
              <w:t>《城市污水再生利用城市杂用水水质》（GB/T 18920-2020）表1中的城市绿化、道路清扫用水标准后，回用于港区绿化灌溉、洒水及冲洗用水。</w:t>
            </w:r>
            <w:r>
              <w:rPr>
                <w:rFonts w:hint="default" w:ascii="Times New Roman" w:hAnsi="Times New Roman" w:cs="Times New Roman"/>
                <w:color w:val="000000"/>
                <w:highlight w:val="none"/>
              </w:rPr>
              <w:t>渔货鲜销时产生的固废严禁丢弃海域，港区陆域配备垃圾桶或垃圾箱，船舶生活垃圾收集上岸后</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生活垃圾随码头工作人员一同送至附近村庄生活垃圾清运点处理，船舶保养固体废物应在船上分类收集后由有资质的船舶清污公司负责接收和处置</w:t>
            </w:r>
            <w:r>
              <w:rPr>
                <w:rFonts w:hint="default" w:ascii="Times New Roman" w:hAnsi="Times New Roman" w:cs="Times New Roman"/>
                <w:color w:val="000000"/>
                <w:highlight w:val="none"/>
                <w:lang w:eastAsia="zh-CN"/>
              </w:rPr>
              <w:t>。</w:t>
            </w:r>
          </w:p>
          <w:p w14:paraId="49FD571C">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rPr>
            </w:pPr>
            <w:r>
              <w:rPr>
                <w:rFonts w:hint="default" w:ascii="Times New Roman" w:hAnsi="Times New Roman" w:cs="Times New Roman"/>
                <w:color w:val="000000"/>
                <w:highlight w:val="none"/>
                <w:lang w:val="en-US" w:eastAsia="zh-CN"/>
              </w:rPr>
              <w:t>因此，</w:t>
            </w:r>
            <w:r>
              <w:rPr>
                <w:rFonts w:hint="default" w:ascii="Times New Roman" w:hAnsi="Times New Roman" w:cs="Times New Roman"/>
                <w:color w:val="000000"/>
                <w:highlight w:val="none"/>
              </w:rPr>
              <w:t>正常情况下运营期固废</w:t>
            </w:r>
            <w:r>
              <w:rPr>
                <w:rFonts w:hint="default" w:ascii="Times New Roman" w:hAnsi="Times New Roman" w:cs="Times New Roman"/>
                <w:color w:val="000000"/>
                <w:highlight w:val="none"/>
                <w:lang w:val="en-US" w:eastAsia="zh-CN"/>
              </w:rPr>
              <w:t>妥善处理，</w:t>
            </w:r>
            <w:r>
              <w:rPr>
                <w:rFonts w:hint="default" w:ascii="Times New Roman" w:hAnsi="Times New Roman" w:cs="Times New Roman"/>
                <w:color w:val="000000"/>
                <w:highlight w:val="none"/>
              </w:rPr>
              <w:t>对</w:t>
            </w:r>
            <w:r>
              <w:rPr>
                <w:rFonts w:hint="default" w:ascii="Times New Roman" w:hAnsi="Times New Roman" w:cs="Times New Roman"/>
                <w:color w:val="000000"/>
                <w:highlight w:val="none"/>
                <w:lang w:val="en-US" w:eastAsia="zh-CN"/>
              </w:rPr>
              <w:t>周边海域</w:t>
            </w:r>
            <w:r>
              <w:rPr>
                <w:rFonts w:hint="default" w:ascii="Times New Roman" w:hAnsi="Times New Roman" w:cs="Times New Roman"/>
                <w:color w:val="000000"/>
                <w:highlight w:val="none"/>
              </w:rPr>
              <w:t>的沉积物环境影响较小。</w:t>
            </w:r>
          </w:p>
          <w:p w14:paraId="00FCB56E">
            <w:pPr>
              <w:pStyle w:val="4"/>
              <w:bidi w:val="0"/>
              <w:rPr>
                <w:rFonts w:hint="default" w:ascii="Times New Roman" w:hAnsi="Times New Roman" w:cs="Times New Roman"/>
                <w:color w:val="000000"/>
                <w:highlight w:val="none"/>
              </w:rPr>
            </w:pPr>
            <w:bookmarkStart w:id="389" w:name="_Toc9391"/>
            <w:bookmarkStart w:id="390" w:name="_Toc3695"/>
            <w:r>
              <w:rPr>
                <w:rFonts w:hint="default" w:ascii="Times New Roman" w:hAnsi="Times New Roman" w:cs="Times New Roman"/>
                <w:color w:val="000000"/>
                <w:highlight w:val="none"/>
              </w:rPr>
              <w:t>运营期海洋生态环境影响</w:t>
            </w:r>
            <w:bookmarkEnd w:id="389"/>
            <w:r>
              <w:rPr>
                <w:rFonts w:hint="default" w:ascii="Times New Roman" w:hAnsi="Times New Roman" w:cs="Times New Roman"/>
                <w:color w:val="000000"/>
                <w:highlight w:val="none"/>
                <w:lang w:val="en-US" w:eastAsia="zh-CN"/>
              </w:rPr>
              <w:t>分析</w:t>
            </w:r>
            <w:bookmarkEnd w:id="390"/>
          </w:p>
          <w:p w14:paraId="294D649C">
            <w:pPr>
              <w:ind w:firstLine="480" w:firstLineChars="20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本项目运营期间港区生产、生活污水进入自建污水处理站处理后回用，船舶含油污水、生活污水经收集后交由海事部门认可的有处理能力的船舶服务公司接受处理。正常情况下，工程运营期废污水均收集妥善处理，不排放至附近海域，不会对海洋生态环境造成不利影响。但若管理不当，各类污水未经妥善收集处理直接排入周边海域，将对海洋生态环境造成不良影响，因此建设单位应加强运营期生态环境保护管理。</w:t>
            </w:r>
          </w:p>
          <w:p w14:paraId="7D2607AF">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rPr>
            </w:pPr>
            <w:r>
              <w:rPr>
                <w:rFonts w:hint="default" w:ascii="Times New Roman" w:hAnsi="Times New Roman" w:cs="Times New Roman"/>
                <w:color w:val="000000"/>
                <w:highlight w:val="none"/>
                <w:lang w:val="en-US" w:eastAsia="zh-CN"/>
              </w:rPr>
              <w:t>运营期间</w:t>
            </w:r>
            <w:r>
              <w:rPr>
                <w:rFonts w:hint="default" w:ascii="Times New Roman" w:hAnsi="Times New Roman" w:cs="Times New Roman"/>
                <w:color w:val="000000"/>
                <w:highlight w:val="none"/>
              </w:rPr>
              <w:t>对海洋生态环境影响主要源自到港船舶密度的增加。一方面，海域环境质量可能受到一定的影响，导致水体中COD、石油类、重金属及持久性有机污染物等相关污染物含量增加，这些污染物质可通过海洋食物链的传递，或是通过物质的吸附、迁移等地球化学过程，进入海洋生物中，进而对海洋生物产生短期或长期的毒害作用，进而影响到整个海域生态系统的健康和生物多样性。另一方面，船舶密度的增加，各种违规排放以及由于相关溢油或污染事故发生的</w:t>
            </w:r>
            <w:r>
              <w:rPr>
                <w:rFonts w:hint="default" w:ascii="Times New Roman" w:hAnsi="Times New Roman" w:cs="Times New Roman"/>
                <w:color w:val="000000"/>
                <w:highlight w:val="none"/>
                <w:lang w:eastAsia="zh-CN"/>
              </w:rPr>
              <w:t>概率</w:t>
            </w:r>
            <w:r>
              <w:rPr>
                <w:rFonts w:hint="default" w:ascii="Times New Roman" w:hAnsi="Times New Roman" w:cs="Times New Roman"/>
                <w:color w:val="000000"/>
                <w:highlight w:val="none"/>
              </w:rPr>
              <w:t>有所增加，对所在海域生态环境影响的环境风险增加。风险分析将在</w:t>
            </w:r>
            <w:r>
              <w:rPr>
                <w:rFonts w:hint="eastAsia" w:cs="Times New Roman"/>
                <w:color w:val="000000"/>
                <w:highlight w:val="none"/>
                <w:lang w:val="en-US" w:eastAsia="zh-CN"/>
              </w:rPr>
              <w:t>章节4.7</w:t>
            </w:r>
            <w:r>
              <w:rPr>
                <w:rFonts w:hint="default" w:ascii="Times New Roman" w:hAnsi="Times New Roman" w:cs="Times New Roman"/>
                <w:color w:val="000000"/>
                <w:highlight w:val="none"/>
              </w:rPr>
              <w:t>中详细阐述。</w:t>
            </w:r>
          </w:p>
          <w:p w14:paraId="4243F8F1">
            <w:pPr>
              <w:pStyle w:val="4"/>
              <w:bidi w:val="0"/>
              <w:rPr>
                <w:rFonts w:hint="default" w:ascii="Times New Roman" w:hAnsi="Times New Roman" w:cs="Times New Roman"/>
                <w:color w:val="000000"/>
                <w:highlight w:val="none"/>
                <w:lang w:eastAsia="zh-CN"/>
              </w:rPr>
            </w:pPr>
            <w:bookmarkStart w:id="391" w:name="_Toc2859"/>
            <w:bookmarkStart w:id="392" w:name="_Toc14167"/>
            <w:r>
              <w:rPr>
                <w:rFonts w:hint="default" w:ascii="Times New Roman" w:hAnsi="Times New Roman" w:cs="Times New Roman"/>
                <w:color w:val="000000"/>
                <w:highlight w:val="none"/>
                <w:lang w:eastAsia="zh-CN"/>
              </w:rPr>
              <w:t>运营期大气环境影响分析</w:t>
            </w:r>
            <w:bookmarkEnd w:id="391"/>
            <w:bookmarkEnd w:id="392"/>
          </w:p>
          <w:p w14:paraId="313DBDC0">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本工程的货种为渔货，工程主要建设内容为</w:t>
            </w:r>
            <w:r>
              <w:rPr>
                <w:rFonts w:hint="default" w:ascii="Times New Roman" w:hAnsi="Times New Roman" w:cs="Times New Roman"/>
                <w:color w:val="000000"/>
                <w:highlight w:val="none"/>
                <w:lang w:val="en-US" w:eastAsia="zh-CN"/>
              </w:rPr>
              <w:t>渔港码头</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室外卸渔场地</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卸渔</w:t>
            </w:r>
            <w:r>
              <w:rPr>
                <w:rFonts w:hint="default" w:ascii="Times New Roman" w:hAnsi="Times New Roman" w:cs="Times New Roman"/>
                <w:color w:val="000000"/>
                <w:highlight w:val="none"/>
                <w:lang w:eastAsia="zh-CN"/>
              </w:rPr>
              <w:t>棚、</w:t>
            </w:r>
            <w:r>
              <w:rPr>
                <w:rFonts w:hint="default" w:ascii="Times New Roman" w:hAnsi="Times New Roman" w:cs="Times New Roman"/>
                <w:color w:val="000000"/>
                <w:highlight w:val="none"/>
                <w:lang w:val="en-US" w:eastAsia="zh-CN"/>
              </w:rPr>
              <w:t>避灾安置房、网具堆场、室外晒网场</w:t>
            </w:r>
            <w:r>
              <w:rPr>
                <w:rFonts w:hint="default" w:ascii="Times New Roman" w:hAnsi="Times New Roman" w:cs="Times New Roman"/>
                <w:color w:val="000000"/>
                <w:highlight w:val="none"/>
                <w:lang w:eastAsia="zh-CN"/>
              </w:rPr>
              <w:t>等，</w:t>
            </w:r>
            <w:r>
              <w:rPr>
                <w:rFonts w:hint="default" w:ascii="Times New Roman" w:hAnsi="Times New Roman" w:cs="Times New Roman"/>
                <w:color w:val="000000"/>
                <w:highlight w:val="none"/>
                <w:lang w:val="en-US" w:eastAsia="zh-CN"/>
              </w:rPr>
              <w:t>不设置</w:t>
            </w:r>
            <w:r>
              <w:rPr>
                <w:rFonts w:hint="default" w:ascii="Times New Roman" w:hAnsi="Times New Roman" w:cs="Times New Roman"/>
                <w:color w:val="000000"/>
                <w:highlight w:val="none"/>
                <w:lang w:eastAsia="zh-CN"/>
              </w:rPr>
              <w:t>水产品加工区，渔船进港后主要进行码头</w:t>
            </w:r>
            <w:r>
              <w:rPr>
                <w:rFonts w:hint="default" w:ascii="Times New Roman" w:hAnsi="Times New Roman" w:cs="Times New Roman"/>
                <w:color w:val="000000"/>
                <w:highlight w:val="none"/>
                <w:lang w:val="en-US" w:eastAsia="zh-CN"/>
              </w:rPr>
              <w:t>卸渔</w:t>
            </w:r>
            <w:r>
              <w:rPr>
                <w:rFonts w:hint="default" w:ascii="Times New Roman" w:hAnsi="Times New Roman" w:cs="Times New Roman"/>
                <w:color w:val="000000"/>
                <w:highlight w:val="none"/>
                <w:lang w:eastAsia="zh-CN"/>
              </w:rPr>
              <w:t>、物资补给及鲜销外运，渔货不在港区进行深加工。渔货装卸过程不产生粉尘，项目</w:t>
            </w:r>
            <w:r>
              <w:rPr>
                <w:rFonts w:hint="default" w:ascii="Times New Roman" w:hAnsi="Times New Roman" w:cs="Times New Roman"/>
                <w:color w:val="000000"/>
                <w:highlight w:val="none"/>
                <w:lang w:val="en-US" w:eastAsia="zh-CN"/>
              </w:rPr>
              <w:t>运营期废气污染源主要为车船燃油废气、卸渔区产生的鱼腥异味、污水处理站产生的臭气以及食堂油烟</w:t>
            </w:r>
            <w:r>
              <w:rPr>
                <w:rFonts w:hint="default" w:ascii="Times New Roman" w:hAnsi="Times New Roman" w:cs="Times New Roman"/>
                <w:color w:val="000000"/>
                <w:highlight w:val="none"/>
                <w:lang w:eastAsia="zh-CN"/>
              </w:rPr>
              <w:t>。由于到港船舶和车辆是非连续性的，而码头的环境空气现状较好，年平均风速较大，比较有利于污染物的扩散。</w:t>
            </w:r>
          </w:p>
          <w:p w14:paraId="1C75CC33">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lang w:eastAsia="zh-CN"/>
              </w:rPr>
            </w:pPr>
            <w:r>
              <w:rPr>
                <w:rFonts w:hint="default" w:ascii="Times New Roman" w:hAnsi="Times New Roman" w:cs="Times New Roman"/>
                <w:b/>
                <w:bCs/>
                <w:color w:val="000000"/>
                <w:highlight w:val="none"/>
                <w:lang w:eastAsia="zh-CN"/>
              </w:rPr>
              <w:t>（1）</w:t>
            </w:r>
            <w:r>
              <w:rPr>
                <w:rFonts w:hint="default" w:ascii="Times New Roman" w:hAnsi="Times New Roman" w:cs="Times New Roman"/>
                <w:b/>
                <w:bCs/>
                <w:color w:val="000000"/>
                <w:highlight w:val="none"/>
                <w:lang w:val="en-US" w:eastAsia="zh-CN"/>
              </w:rPr>
              <w:t>船舶</w:t>
            </w:r>
            <w:r>
              <w:rPr>
                <w:rFonts w:hint="default" w:ascii="Times New Roman" w:hAnsi="Times New Roman" w:cs="Times New Roman"/>
                <w:b/>
                <w:bCs/>
                <w:color w:val="000000"/>
                <w:highlight w:val="none"/>
                <w:lang w:eastAsia="zh-CN"/>
              </w:rPr>
              <w:t>、车辆</w:t>
            </w:r>
            <w:r>
              <w:rPr>
                <w:rFonts w:hint="default" w:ascii="Times New Roman" w:hAnsi="Times New Roman" w:cs="Times New Roman"/>
                <w:b/>
                <w:bCs/>
                <w:color w:val="000000"/>
                <w:highlight w:val="none"/>
                <w:lang w:val="en-US" w:eastAsia="zh-CN"/>
              </w:rPr>
              <w:t>燃油</w:t>
            </w:r>
            <w:r>
              <w:rPr>
                <w:rFonts w:hint="default" w:ascii="Times New Roman" w:hAnsi="Times New Roman" w:cs="Times New Roman"/>
                <w:b/>
                <w:bCs/>
                <w:color w:val="000000"/>
                <w:highlight w:val="none"/>
                <w:lang w:eastAsia="zh-CN"/>
              </w:rPr>
              <w:t>废气</w:t>
            </w:r>
          </w:p>
          <w:p w14:paraId="3FE8AC9C">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本工程运营后码头以中小型渔船进出港为主，渔船进港停泊后发动机停止工作，因此船舶港内停靠、避风等时段内不产生船舶废气。在开船过程中，渔船燃油废气主要污染物为</w:t>
            </w:r>
            <w:r>
              <w:rPr>
                <w:rFonts w:hint="default" w:ascii="Times New Roman" w:hAnsi="Times New Roman" w:cs="Times New Roman"/>
                <w:color w:val="000000"/>
                <w:highlight w:val="none"/>
                <w:lang w:val="en-US" w:eastAsia="zh-CN"/>
              </w:rPr>
              <w:t>SO</w:t>
            </w:r>
            <w:r>
              <w:rPr>
                <w:rFonts w:hint="default" w:ascii="Times New Roman" w:hAnsi="Times New Roman" w:cs="Times New Roman"/>
                <w:color w:val="000000"/>
                <w:highlight w:val="none"/>
                <w:vertAlign w:val="subscript"/>
                <w:lang w:val="en-US" w:eastAsia="zh-CN"/>
              </w:rPr>
              <w:t>2</w:t>
            </w:r>
            <w:r>
              <w:rPr>
                <w:rFonts w:hint="default" w:ascii="Times New Roman" w:hAnsi="Times New Roman" w:cs="Times New Roman"/>
                <w:color w:val="000000"/>
                <w:highlight w:val="none"/>
                <w:lang w:val="en-US" w:eastAsia="zh-CN"/>
              </w:rPr>
              <w:t>、NO</w:t>
            </w:r>
            <w:r>
              <w:rPr>
                <w:rFonts w:hint="default" w:ascii="Times New Roman" w:hAnsi="Times New Roman" w:cs="Times New Roman"/>
                <w:color w:val="000000"/>
                <w:highlight w:val="none"/>
                <w:vertAlign w:val="subscript"/>
                <w:lang w:val="en-US" w:eastAsia="zh-CN"/>
              </w:rPr>
              <w:t>X</w:t>
            </w:r>
            <w:r>
              <w:rPr>
                <w:rFonts w:hint="default" w:ascii="Times New Roman" w:hAnsi="Times New Roman" w:cs="Times New Roman"/>
                <w:color w:val="000000"/>
                <w:highlight w:val="none"/>
                <w:lang w:val="en-US" w:eastAsia="zh-CN"/>
              </w:rPr>
              <w:t>、CO、颗粒物</w:t>
            </w:r>
            <w:r>
              <w:rPr>
                <w:rFonts w:hint="default" w:ascii="Times New Roman" w:hAnsi="Times New Roman" w:cs="Times New Roman"/>
                <w:color w:val="000000"/>
                <w:highlight w:val="none"/>
                <w:lang w:eastAsia="zh-CN"/>
              </w:rPr>
              <w:t>等，渔船进港和出港开动时排放废气，排放废气时间短暂，产生的污染物量较小；车辆进港装车后即驶出港区，在港区停留时间较短，大气污染物排放量较小</w:t>
            </w:r>
            <w:r>
              <w:rPr>
                <w:rFonts w:hint="eastAsia" w:cs="Times New Roman"/>
                <w:color w:val="000000"/>
                <w:highlight w:val="none"/>
                <w:lang w:eastAsia="zh-CN"/>
              </w:rPr>
              <w:t>且</w:t>
            </w:r>
            <w:r>
              <w:rPr>
                <w:rFonts w:hint="default" w:ascii="Times New Roman" w:hAnsi="Times New Roman" w:cs="Times New Roman"/>
                <w:color w:val="000000"/>
                <w:highlight w:val="none"/>
                <w:lang w:eastAsia="zh-CN"/>
              </w:rPr>
              <w:t>项目区大气流动性较好，排放的废气易被海面的风迅速扩散、稀释，对环境影响较小。</w:t>
            </w:r>
          </w:p>
          <w:p w14:paraId="6EC40E59">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lang w:eastAsia="zh-CN"/>
              </w:rPr>
            </w:pP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2</w:t>
            </w:r>
            <w:r>
              <w:rPr>
                <w:rFonts w:hint="default" w:ascii="Times New Roman" w:hAnsi="Times New Roman" w:cs="Times New Roman"/>
                <w:b/>
                <w:bCs/>
                <w:color w:val="000000"/>
                <w:highlight w:val="none"/>
                <w:lang w:eastAsia="zh-CN"/>
              </w:rPr>
              <w:t>）食堂油烟</w:t>
            </w:r>
          </w:p>
          <w:p w14:paraId="02F74488">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本项目渔港综合管理大楼设置有食堂，运营期港区工作人员按28人计，避灾安置人员</w:t>
            </w:r>
            <w:r>
              <w:rPr>
                <w:rFonts w:hint="default" w:ascii="Times New Roman" w:hAnsi="Times New Roman" w:cs="Times New Roman"/>
                <w:color w:val="000000"/>
                <w:highlight w:val="none"/>
              </w:rPr>
              <w:t>按</w:t>
            </w:r>
            <w:r>
              <w:rPr>
                <w:rFonts w:hint="default" w:ascii="Times New Roman" w:hAnsi="Times New Roman" w:cs="Times New Roman"/>
                <w:color w:val="000000"/>
                <w:highlight w:val="none"/>
                <w:lang w:val="en-US" w:eastAsia="zh-CN"/>
              </w:rPr>
              <w:t>188</w:t>
            </w:r>
            <w:r>
              <w:rPr>
                <w:rFonts w:hint="default" w:ascii="Times New Roman" w:hAnsi="Times New Roman" w:cs="Times New Roman"/>
                <w:color w:val="000000"/>
                <w:highlight w:val="none"/>
              </w:rPr>
              <w:t>人计</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根据前文污染源强分析可知，</w:t>
            </w:r>
            <w:r>
              <w:rPr>
                <w:rFonts w:hint="default" w:ascii="Times New Roman" w:hAnsi="Times New Roman" w:cs="Times New Roman"/>
                <w:color w:val="000000"/>
                <w:highlight w:val="none"/>
                <w:u w:val="none"/>
                <w:lang w:val="en-US" w:eastAsia="zh-CN"/>
              </w:rPr>
              <w:t>食堂油烟产生速率为0.0396kg/h。拟在食堂安装油烟净化装置，食堂油烟的排放速率为0.0159kg/h。食堂油烟经处理后排放浓度为1.59mg/m</w:t>
            </w:r>
            <w:r>
              <w:rPr>
                <w:rFonts w:hint="default" w:ascii="Times New Roman" w:hAnsi="Times New Roman" w:cs="Times New Roman"/>
                <w:color w:val="000000"/>
                <w:highlight w:val="none"/>
                <w:u w:val="none"/>
                <w:vertAlign w:val="superscript"/>
                <w:lang w:val="en-US" w:eastAsia="zh-CN"/>
              </w:rPr>
              <w:t>3</w:t>
            </w:r>
            <w:r>
              <w:rPr>
                <w:rFonts w:hint="default" w:ascii="Times New Roman" w:hAnsi="Times New Roman" w:cs="Times New Roman"/>
                <w:color w:val="000000"/>
                <w:highlight w:val="none"/>
                <w:u w:val="none"/>
                <w:lang w:val="en-US" w:eastAsia="zh-CN"/>
              </w:rPr>
              <w:t>，能够达到《饮食业油烟排放标准》（GB18483-2001）中的2.0mg/m</w:t>
            </w:r>
            <w:r>
              <w:rPr>
                <w:rFonts w:hint="default" w:ascii="Times New Roman" w:hAnsi="Times New Roman" w:cs="Times New Roman"/>
                <w:color w:val="000000"/>
                <w:highlight w:val="none"/>
                <w:u w:val="none"/>
                <w:vertAlign w:val="superscript"/>
                <w:lang w:val="en-US" w:eastAsia="zh-CN"/>
              </w:rPr>
              <w:t>3</w:t>
            </w:r>
            <w:r>
              <w:rPr>
                <w:rFonts w:hint="default" w:ascii="Times New Roman" w:hAnsi="Times New Roman" w:cs="Times New Roman"/>
                <w:color w:val="000000"/>
                <w:highlight w:val="none"/>
                <w:u w:val="none"/>
                <w:lang w:val="en-US" w:eastAsia="zh-CN"/>
              </w:rPr>
              <w:t>。</w:t>
            </w:r>
          </w:p>
          <w:p w14:paraId="4279D26E">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lang w:eastAsia="zh-CN"/>
              </w:rPr>
            </w:pP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3</w:t>
            </w:r>
            <w:r>
              <w:rPr>
                <w:rFonts w:hint="default" w:ascii="Times New Roman" w:hAnsi="Times New Roman" w:cs="Times New Roman"/>
                <w:b/>
                <w:bCs/>
                <w:color w:val="000000"/>
                <w:highlight w:val="none"/>
                <w:lang w:eastAsia="zh-CN"/>
              </w:rPr>
              <w:t>）码头、卸渔区臭气</w:t>
            </w:r>
          </w:p>
          <w:p w14:paraId="7915167C">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b w:val="0"/>
                <w:bCs w:val="0"/>
                <w:color w:val="000000"/>
                <w:highlight w:val="none"/>
                <w:lang w:val="en-US" w:eastAsia="zh-CN"/>
              </w:rPr>
            </w:pPr>
            <w:r>
              <w:rPr>
                <w:rFonts w:hint="default" w:ascii="Times New Roman" w:hAnsi="Times New Roman" w:cs="Times New Roman"/>
                <w:color w:val="000000"/>
                <w:highlight w:val="none"/>
                <w:lang w:eastAsia="zh-CN"/>
              </w:rPr>
              <w:t>渔产品废弃物极易腐烂，散发出氨、硫化氢等恶臭气体，影响周围生态环境和人体健康。</w:t>
            </w:r>
            <w:r>
              <w:rPr>
                <w:rFonts w:hint="default" w:ascii="Times New Roman" w:hAnsi="Times New Roman" w:cs="Times New Roman"/>
                <w:b w:val="0"/>
                <w:bCs w:val="0"/>
                <w:color w:val="000000"/>
                <w:highlight w:val="none"/>
                <w:lang w:val="en-US" w:eastAsia="zh-CN"/>
              </w:rPr>
              <w:t>渔货到港时已装箱，码头卸渔将有少量的尾水滴漏至地面，若不及时冲洗，长期作业将产生鱼腥臭味。码头、卸渔区放置垃圾桶收集船舶生活垃圾和渔货废弃物，如果没有及时清运，也将产生鱼腥臭味。</w:t>
            </w:r>
          </w:p>
          <w:p w14:paraId="42C5C1DD">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b w:val="0"/>
                <w:bCs w:val="0"/>
                <w:color w:val="000000"/>
                <w:highlight w:val="none"/>
                <w:lang w:val="en-US" w:eastAsia="zh-CN"/>
              </w:rPr>
            </w:pPr>
            <w:r>
              <w:rPr>
                <w:rFonts w:hint="default" w:ascii="Times New Roman" w:hAnsi="Times New Roman" w:cs="Times New Roman"/>
                <w:b w:val="0"/>
                <w:bCs w:val="0"/>
                <w:color w:val="000000"/>
                <w:highlight w:val="none"/>
                <w:lang w:val="en-US" w:eastAsia="zh-CN"/>
              </w:rPr>
              <w:t>根据工程分析，现有二级渔港码头卸渔区</w:t>
            </w:r>
            <w:r>
              <w:rPr>
                <w:rFonts w:hint="default" w:ascii="Times New Roman" w:hAnsi="Times New Roman" w:cs="Times New Roman"/>
                <w:color w:val="000000"/>
                <w:highlight w:val="none"/>
                <w:lang w:val="en-US" w:eastAsia="zh-CN"/>
              </w:rPr>
              <w:t>固体废弃物NH</w:t>
            </w:r>
            <w:r>
              <w:rPr>
                <w:rFonts w:hint="default" w:ascii="Times New Roman" w:hAnsi="Times New Roman" w:cs="Times New Roman"/>
                <w:color w:val="000000"/>
                <w:highlight w:val="none"/>
                <w:vertAlign w:val="subscript"/>
                <w:lang w:val="en-US" w:eastAsia="zh-CN"/>
              </w:rPr>
              <w:t>3</w:t>
            </w:r>
            <w:r>
              <w:rPr>
                <w:rFonts w:hint="default" w:ascii="Times New Roman" w:hAnsi="Times New Roman" w:cs="Times New Roman"/>
                <w:color w:val="000000"/>
                <w:highlight w:val="none"/>
                <w:lang w:val="en-US" w:eastAsia="zh-CN"/>
              </w:rPr>
              <w:t>产生量为0.0494kg/d（0.0111t/a），</w:t>
            </w:r>
            <w:r>
              <w:rPr>
                <w:rFonts w:hint="default" w:ascii="Times New Roman" w:hAnsi="Times New Roman" w:cs="Times New Roman"/>
                <w:b w:val="0"/>
                <w:bCs w:val="0"/>
                <w:color w:val="000000"/>
                <w:highlight w:val="none"/>
              </w:rPr>
              <w:t>H</w:t>
            </w:r>
            <w:r>
              <w:rPr>
                <w:rFonts w:hint="default" w:ascii="Times New Roman" w:hAnsi="Times New Roman" w:cs="Times New Roman"/>
                <w:b w:val="0"/>
                <w:bCs w:val="0"/>
                <w:color w:val="000000"/>
                <w:highlight w:val="none"/>
                <w:vertAlign w:val="subscript"/>
              </w:rPr>
              <w:t>2</w:t>
            </w:r>
            <w:r>
              <w:rPr>
                <w:rFonts w:hint="default" w:ascii="Times New Roman" w:hAnsi="Times New Roman" w:cs="Times New Roman"/>
                <w:b w:val="0"/>
                <w:bCs w:val="0"/>
                <w:color w:val="000000"/>
                <w:highlight w:val="none"/>
              </w:rPr>
              <w:t>S</w:t>
            </w:r>
            <w:r>
              <w:rPr>
                <w:rFonts w:hint="default" w:ascii="Times New Roman" w:hAnsi="Times New Roman" w:cs="Times New Roman"/>
                <w:b w:val="0"/>
                <w:bCs w:val="0"/>
                <w:color w:val="000000"/>
                <w:highlight w:val="none"/>
                <w:lang w:val="en-US" w:eastAsia="zh-CN"/>
              </w:rPr>
              <w:t>产生量</w:t>
            </w:r>
            <w:r>
              <w:rPr>
                <w:rFonts w:hint="default" w:ascii="Times New Roman" w:hAnsi="Times New Roman" w:cs="Times New Roman"/>
                <w:b w:val="0"/>
                <w:bCs w:val="0"/>
                <w:color w:val="000000"/>
                <w:highlight w:val="none"/>
              </w:rPr>
              <w:t>为</w:t>
            </w:r>
            <w:r>
              <w:rPr>
                <w:rFonts w:hint="default" w:ascii="Times New Roman" w:hAnsi="Times New Roman" w:cs="Times New Roman"/>
                <w:color w:val="000000"/>
                <w:highlight w:val="none"/>
                <w:lang w:val="en-US" w:eastAsia="zh-CN"/>
              </w:rPr>
              <w:t>0.0050kg/d（0.0011t/a）；</w:t>
            </w:r>
            <w:r>
              <w:rPr>
                <w:rFonts w:hint="default" w:ascii="Times New Roman" w:hAnsi="Times New Roman" w:cs="Times New Roman"/>
                <w:b w:val="0"/>
                <w:bCs w:val="0"/>
                <w:color w:val="000000"/>
                <w:highlight w:val="none"/>
                <w:lang w:val="en-US" w:eastAsia="zh-CN"/>
              </w:rPr>
              <w:t>本次扩建</w:t>
            </w:r>
            <w:r>
              <w:rPr>
                <w:rFonts w:hint="default" w:ascii="Times New Roman" w:hAnsi="Times New Roman" w:cs="Times New Roman"/>
                <w:color w:val="000000"/>
                <w:highlight w:val="none"/>
                <w:lang w:val="en-US" w:eastAsia="zh-CN"/>
              </w:rPr>
              <w:t>码头卸渔区固体废弃物NH</w:t>
            </w:r>
            <w:r>
              <w:rPr>
                <w:rFonts w:hint="default" w:ascii="Times New Roman" w:hAnsi="Times New Roman" w:cs="Times New Roman"/>
                <w:color w:val="000000"/>
                <w:highlight w:val="none"/>
                <w:vertAlign w:val="subscript"/>
                <w:lang w:val="en-US" w:eastAsia="zh-CN"/>
              </w:rPr>
              <w:t>3</w:t>
            </w:r>
            <w:r>
              <w:rPr>
                <w:rFonts w:hint="default" w:ascii="Times New Roman" w:hAnsi="Times New Roman" w:cs="Times New Roman"/>
                <w:color w:val="000000"/>
                <w:highlight w:val="none"/>
                <w:lang w:val="en-US" w:eastAsia="zh-CN"/>
              </w:rPr>
              <w:t>产生量为0.0421kg/d（0.0095t/a），</w:t>
            </w:r>
            <w:r>
              <w:rPr>
                <w:rFonts w:hint="default" w:ascii="Times New Roman" w:hAnsi="Times New Roman" w:cs="Times New Roman"/>
                <w:b w:val="0"/>
                <w:bCs w:val="0"/>
                <w:color w:val="000000"/>
                <w:highlight w:val="none"/>
              </w:rPr>
              <w:t>H</w:t>
            </w:r>
            <w:r>
              <w:rPr>
                <w:rFonts w:hint="default" w:ascii="Times New Roman" w:hAnsi="Times New Roman" w:cs="Times New Roman"/>
                <w:b w:val="0"/>
                <w:bCs w:val="0"/>
                <w:color w:val="000000"/>
                <w:highlight w:val="none"/>
                <w:vertAlign w:val="subscript"/>
              </w:rPr>
              <w:t>2</w:t>
            </w:r>
            <w:r>
              <w:rPr>
                <w:rFonts w:hint="default" w:ascii="Times New Roman" w:hAnsi="Times New Roman" w:cs="Times New Roman"/>
                <w:b w:val="0"/>
                <w:bCs w:val="0"/>
                <w:color w:val="000000"/>
                <w:highlight w:val="none"/>
              </w:rPr>
              <w:t>S</w:t>
            </w:r>
            <w:r>
              <w:rPr>
                <w:rFonts w:hint="default" w:ascii="Times New Roman" w:hAnsi="Times New Roman" w:cs="Times New Roman"/>
                <w:b w:val="0"/>
                <w:bCs w:val="0"/>
                <w:color w:val="000000"/>
                <w:highlight w:val="none"/>
                <w:lang w:val="en-US" w:eastAsia="zh-CN"/>
              </w:rPr>
              <w:t>产生量</w:t>
            </w:r>
            <w:r>
              <w:rPr>
                <w:rFonts w:hint="default" w:ascii="Times New Roman" w:hAnsi="Times New Roman" w:cs="Times New Roman"/>
                <w:b w:val="0"/>
                <w:bCs w:val="0"/>
                <w:color w:val="000000"/>
                <w:highlight w:val="none"/>
              </w:rPr>
              <w:t>为</w:t>
            </w:r>
            <w:r>
              <w:rPr>
                <w:rFonts w:hint="default" w:ascii="Times New Roman" w:hAnsi="Times New Roman" w:cs="Times New Roman"/>
                <w:color w:val="000000"/>
                <w:highlight w:val="none"/>
                <w:lang w:val="en-US" w:eastAsia="zh-CN"/>
              </w:rPr>
              <w:t>0.0043kg/d（0.0010t/a）。为了减小渔港固体废弃物对周边环境的影响，要求码头定点设置的垃圾桶加盖密闭，每天由环卫部门清运。垃圾桶加盖可减少恶臭气体的排放，本评价按可减小50%的排放量计算，则</w:t>
            </w:r>
            <w:r>
              <w:rPr>
                <w:rFonts w:hint="default" w:ascii="Times New Roman" w:hAnsi="Times New Roman" w:cs="Times New Roman"/>
                <w:b w:val="0"/>
                <w:bCs w:val="0"/>
                <w:color w:val="000000"/>
                <w:highlight w:val="none"/>
                <w:lang w:val="en-US" w:eastAsia="zh-CN"/>
              </w:rPr>
              <w:t>现有二级渔港码头卸渔区固体废弃物</w:t>
            </w:r>
            <w:r>
              <w:rPr>
                <w:rFonts w:hint="default" w:ascii="Times New Roman" w:hAnsi="Times New Roman" w:cs="Times New Roman"/>
                <w:b w:val="0"/>
                <w:bCs w:val="0"/>
                <w:color w:val="000000"/>
                <w:highlight w:val="none"/>
                <w:lang w:eastAsia="zh-CN"/>
              </w:rPr>
              <w:t>NH</w:t>
            </w:r>
            <w:r>
              <w:rPr>
                <w:rFonts w:hint="default" w:ascii="Times New Roman" w:hAnsi="Times New Roman" w:cs="Times New Roman"/>
                <w:b w:val="0"/>
                <w:bCs w:val="0"/>
                <w:color w:val="000000"/>
                <w:highlight w:val="none"/>
                <w:vertAlign w:val="subscript"/>
                <w:lang w:eastAsia="zh-CN"/>
              </w:rPr>
              <w:t>3</w:t>
            </w:r>
            <w:r>
              <w:rPr>
                <w:rFonts w:hint="default" w:ascii="Times New Roman" w:hAnsi="Times New Roman" w:cs="Times New Roman"/>
                <w:b w:val="0"/>
                <w:bCs w:val="0"/>
                <w:color w:val="000000"/>
                <w:highlight w:val="none"/>
                <w:lang w:eastAsia="zh-CN"/>
              </w:rPr>
              <w:t>排放量为</w:t>
            </w:r>
            <w:r>
              <w:rPr>
                <w:rFonts w:hint="default" w:ascii="Times New Roman" w:hAnsi="Times New Roman" w:cs="Times New Roman"/>
                <w:b w:val="0"/>
                <w:bCs w:val="0"/>
                <w:color w:val="000000"/>
                <w:highlight w:val="none"/>
                <w:lang w:val="en-US" w:eastAsia="zh-CN"/>
              </w:rPr>
              <w:t>0.0247</w:t>
            </w:r>
            <w:r>
              <w:rPr>
                <w:rFonts w:hint="default" w:ascii="Times New Roman" w:hAnsi="Times New Roman" w:cs="Times New Roman"/>
                <w:b w:val="0"/>
                <w:bCs w:val="0"/>
                <w:color w:val="000000"/>
                <w:highlight w:val="none"/>
                <w:lang w:eastAsia="zh-CN"/>
              </w:rPr>
              <w:t>kg/d（</w:t>
            </w:r>
            <w:r>
              <w:rPr>
                <w:rFonts w:hint="default" w:ascii="Times New Roman" w:hAnsi="Times New Roman" w:cs="Times New Roman"/>
                <w:b w:val="0"/>
                <w:bCs w:val="0"/>
                <w:color w:val="000000"/>
                <w:highlight w:val="none"/>
                <w:lang w:val="en-US" w:eastAsia="zh-CN"/>
              </w:rPr>
              <w:t>0.0056</w:t>
            </w:r>
            <w:r>
              <w:rPr>
                <w:rFonts w:hint="default" w:ascii="Times New Roman" w:hAnsi="Times New Roman" w:cs="Times New Roman"/>
                <w:b w:val="0"/>
                <w:bCs w:val="0"/>
                <w:color w:val="000000"/>
                <w:highlight w:val="none"/>
                <w:lang w:eastAsia="zh-CN"/>
              </w:rPr>
              <w:t>t/a），</w:t>
            </w:r>
            <w:r>
              <w:rPr>
                <w:rFonts w:hint="default" w:ascii="Times New Roman" w:hAnsi="Times New Roman" w:cs="Times New Roman"/>
                <w:b w:val="0"/>
                <w:bCs w:val="0"/>
                <w:color w:val="000000"/>
                <w:highlight w:val="none"/>
              </w:rPr>
              <w:t>H</w:t>
            </w:r>
            <w:r>
              <w:rPr>
                <w:rFonts w:hint="default" w:ascii="Times New Roman" w:hAnsi="Times New Roman" w:cs="Times New Roman"/>
                <w:b w:val="0"/>
                <w:bCs w:val="0"/>
                <w:color w:val="000000"/>
                <w:highlight w:val="none"/>
                <w:vertAlign w:val="subscript"/>
              </w:rPr>
              <w:t>2</w:t>
            </w:r>
            <w:r>
              <w:rPr>
                <w:rFonts w:hint="default" w:ascii="Times New Roman" w:hAnsi="Times New Roman" w:cs="Times New Roman"/>
                <w:b w:val="0"/>
                <w:bCs w:val="0"/>
                <w:color w:val="000000"/>
                <w:highlight w:val="none"/>
              </w:rPr>
              <w:t>S</w:t>
            </w:r>
            <w:r>
              <w:rPr>
                <w:rFonts w:hint="default" w:ascii="Times New Roman" w:hAnsi="Times New Roman" w:cs="Times New Roman"/>
                <w:b w:val="0"/>
                <w:bCs w:val="0"/>
                <w:color w:val="000000"/>
                <w:highlight w:val="none"/>
                <w:lang w:val="en-US" w:eastAsia="zh-CN"/>
              </w:rPr>
              <w:t>排放量</w:t>
            </w:r>
            <w:r>
              <w:rPr>
                <w:rFonts w:hint="default" w:ascii="Times New Roman" w:hAnsi="Times New Roman" w:cs="Times New Roman"/>
                <w:b w:val="0"/>
                <w:bCs w:val="0"/>
                <w:color w:val="000000"/>
                <w:highlight w:val="none"/>
              </w:rPr>
              <w:t>为</w:t>
            </w:r>
            <w:r>
              <w:rPr>
                <w:rFonts w:hint="default" w:ascii="Times New Roman" w:hAnsi="Times New Roman" w:cs="Times New Roman"/>
                <w:color w:val="000000"/>
                <w:highlight w:val="none"/>
                <w:lang w:val="en-US" w:eastAsia="zh-CN"/>
              </w:rPr>
              <w:t>0.0025kg/d（0.0006t/a）。本次扩建码头卸渔区固体废弃物</w:t>
            </w:r>
            <w:r>
              <w:rPr>
                <w:rFonts w:hint="default" w:ascii="Times New Roman" w:hAnsi="Times New Roman" w:cs="Times New Roman"/>
                <w:b w:val="0"/>
                <w:bCs w:val="0"/>
                <w:color w:val="000000"/>
                <w:highlight w:val="none"/>
                <w:lang w:eastAsia="zh-CN"/>
              </w:rPr>
              <w:t>NH</w:t>
            </w:r>
            <w:r>
              <w:rPr>
                <w:rFonts w:hint="default" w:ascii="Times New Roman" w:hAnsi="Times New Roman" w:cs="Times New Roman"/>
                <w:b w:val="0"/>
                <w:bCs w:val="0"/>
                <w:color w:val="000000"/>
                <w:highlight w:val="none"/>
                <w:vertAlign w:val="subscript"/>
                <w:lang w:eastAsia="zh-CN"/>
              </w:rPr>
              <w:t>3</w:t>
            </w:r>
            <w:r>
              <w:rPr>
                <w:rFonts w:hint="default" w:ascii="Times New Roman" w:hAnsi="Times New Roman" w:cs="Times New Roman"/>
                <w:b w:val="0"/>
                <w:bCs w:val="0"/>
                <w:color w:val="000000"/>
                <w:highlight w:val="none"/>
                <w:lang w:eastAsia="zh-CN"/>
              </w:rPr>
              <w:t>排放量为</w:t>
            </w:r>
            <w:r>
              <w:rPr>
                <w:rFonts w:hint="default" w:ascii="Times New Roman" w:hAnsi="Times New Roman" w:cs="Times New Roman"/>
                <w:b w:val="0"/>
                <w:bCs w:val="0"/>
                <w:color w:val="000000"/>
                <w:highlight w:val="none"/>
                <w:lang w:val="en-US" w:eastAsia="zh-CN"/>
              </w:rPr>
              <w:t>0.0211</w:t>
            </w:r>
            <w:r>
              <w:rPr>
                <w:rFonts w:hint="default" w:ascii="Times New Roman" w:hAnsi="Times New Roman" w:cs="Times New Roman"/>
                <w:b w:val="0"/>
                <w:bCs w:val="0"/>
                <w:color w:val="000000"/>
                <w:highlight w:val="none"/>
                <w:lang w:eastAsia="zh-CN"/>
              </w:rPr>
              <w:t>kg/d（</w:t>
            </w:r>
            <w:r>
              <w:rPr>
                <w:rFonts w:hint="default" w:ascii="Times New Roman" w:hAnsi="Times New Roman" w:cs="Times New Roman"/>
                <w:b w:val="0"/>
                <w:bCs w:val="0"/>
                <w:color w:val="000000"/>
                <w:highlight w:val="none"/>
                <w:lang w:val="en-US" w:eastAsia="zh-CN"/>
              </w:rPr>
              <w:t>0.0047</w:t>
            </w:r>
            <w:r>
              <w:rPr>
                <w:rFonts w:hint="default" w:ascii="Times New Roman" w:hAnsi="Times New Roman" w:cs="Times New Roman"/>
                <w:b w:val="0"/>
                <w:bCs w:val="0"/>
                <w:color w:val="000000"/>
                <w:highlight w:val="none"/>
                <w:lang w:eastAsia="zh-CN"/>
              </w:rPr>
              <w:t>t/a），</w:t>
            </w:r>
            <w:r>
              <w:rPr>
                <w:rFonts w:hint="default" w:ascii="Times New Roman" w:hAnsi="Times New Roman" w:cs="Times New Roman"/>
                <w:b w:val="0"/>
                <w:bCs w:val="0"/>
                <w:color w:val="000000"/>
                <w:highlight w:val="none"/>
              </w:rPr>
              <w:t>H</w:t>
            </w:r>
            <w:r>
              <w:rPr>
                <w:rFonts w:hint="default" w:ascii="Times New Roman" w:hAnsi="Times New Roman" w:cs="Times New Roman"/>
                <w:b w:val="0"/>
                <w:bCs w:val="0"/>
                <w:color w:val="000000"/>
                <w:highlight w:val="none"/>
                <w:vertAlign w:val="subscript"/>
              </w:rPr>
              <w:t>2</w:t>
            </w:r>
            <w:r>
              <w:rPr>
                <w:rFonts w:hint="default" w:ascii="Times New Roman" w:hAnsi="Times New Roman" w:cs="Times New Roman"/>
                <w:b w:val="0"/>
                <w:bCs w:val="0"/>
                <w:color w:val="000000"/>
                <w:highlight w:val="none"/>
              </w:rPr>
              <w:t>S</w:t>
            </w:r>
            <w:r>
              <w:rPr>
                <w:rFonts w:hint="default" w:ascii="Times New Roman" w:hAnsi="Times New Roman" w:cs="Times New Roman"/>
                <w:b w:val="0"/>
                <w:bCs w:val="0"/>
                <w:color w:val="000000"/>
                <w:highlight w:val="none"/>
                <w:lang w:val="en-US" w:eastAsia="zh-CN"/>
              </w:rPr>
              <w:t>排放量</w:t>
            </w:r>
            <w:r>
              <w:rPr>
                <w:rFonts w:hint="default" w:ascii="Times New Roman" w:hAnsi="Times New Roman" w:cs="Times New Roman"/>
                <w:b w:val="0"/>
                <w:bCs w:val="0"/>
                <w:color w:val="000000"/>
                <w:highlight w:val="none"/>
              </w:rPr>
              <w:t>为</w:t>
            </w:r>
            <w:r>
              <w:rPr>
                <w:rFonts w:hint="default" w:ascii="Times New Roman" w:hAnsi="Times New Roman" w:cs="Times New Roman"/>
                <w:color w:val="000000"/>
                <w:highlight w:val="none"/>
                <w:lang w:val="en-US" w:eastAsia="zh-CN"/>
              </w:rPr>
              <w:t>0.0022kg/d（0.0005t/a），其中新建卸渔区</w:t>
            </w:r>
            <w:r>
              <w:rPr>
                <w:rFonts w:hint="default" w:ascii="Times New Roman" w:hAnsi="Times New Roman" w:cs="Times New Roman"/>
                <w:b w:val="0"/>
                <w:bCs w:val="0"/>
                <w:color w:val="000000"/>
                <w:highlight w:val="none"/>
                <w:lang w:eastAsia="zh-CN"/>
              </w:rPr>
              <w:t>NH</w:t>
            </w:r>
            <w:r>
              <w:rPr>
                <w:rFonts w:hint="default" w:ascii="Times New Roman" w:hAnsi="Times New Roman" w:cs="Times New Roman"/>
                <w:b w:val="0"/>
                <w:bCs w:val="0"/>
                <w:color w:val="000000"/>
                <w:highlight w:val="none"/>
                <w:vertAlign w:val="subscript"/>
                <w:lang w:eastAsia="zh-CN"/>
              </w:rPr>
              <w:t>3</w:t>
            </w:r>
            <w:r>
              <w:rPr>
                <w:rFonts w:hint="default" w:ascii="Times New Roman" w:hAnsi="Times New Roman" w:cs="Times New Roman"/>
                <w:b w:val="0"/>
                <w:bCs w:val="0"/>
                <w:color w:val="000000"/>
                <w:highlight w:val="none"/>
                <w:lang w:eastAsia="zh-CN"/>
              </w:rPr>
              <w:t>排放量为</w:t>
            </w:r>
            <w:r>
              <w:rPr>
                <w:rFonts w:hint="default" w:ascii="Times New Roman" w:hAnsi="Times New Roman" w:cs="Times New Roman"/>
                <w:b w:val="0"/>
                <w:bCs w:val="0"/>
                <w:color w:val="000000"/>
                <w:highlight w:val="none"/>
                <w:lang w:val="en-US" w:eastAsia="zh-CN"/>
              </w:rPr>
              <w:t>0.0133</w:t>
            </w:r>
            <w:r>
              <w:rPr>
                <w:rFonts w:hint="default" w:ascii="Times New Roman" w:hAnsi="Times New Roman" w:cs="Times New Roman"/>
                <w:b w:val="0"/>
                <w:bCs w:val="0"/>
                <w:color w:val="000000"/>
                <w:highlight w:val="none"/>
                <w:lang w:eastAsia="zh-CN"/>
              </w:rPr>
              <w:t>kg/d（</w:t>
            </w:r>
            <w:r>
              <w:rPr>
                <w:rFonts w:hint="default" w:ascii="Times New Roman" w:hAnsi="Times New Roman" w:cs="Times New Roman"/>
                <w:b w:val="0"/>
                <w:bCs w:val="0"/>
                <w:color w:val="000000"/>
                <w:highlight w:val="none"/>
                <w:lang w:val="en-US" w:eastAsia="zh-CN"/>
              </w:rPr>
              <w:t>0.0030</w:t>
            </w:r>
            <w:r>
              <w:rPr>
                <w:rFonts w:hint="default" w:ascii="Times New Roman" w:hAnsi="Times New Roman" w:cs="Times New Roman"/>
                <w:b w:val="0"/>
                <w:bCs w:val="0"/>
                <w:color w:val="000000"/>
                <w:highlight w:val="none"/>
                <w:lang w:eastAsia="zh-CN"/>
              </w:rPr>
              <w:t>t/a），</w:t>
            </w:r>
            <w:r>
              <w:rPr>
                <w:rFonts w:hint="default" w:ascii="Times New Roman" w:hAnsi="Times New Roman" w:cs="Times New Roman"/>
                <w:b w:val="0"/>
                <w:bCs w:val="0"/>
                <w:color w:val="000000"/>
                <w:highlight w:val="none"/>
              </w:rPr>
              <w:t>H</w:t>
            </w:r>
            <w:r>
              <w:rPr>
                <w:rFonts w:hint="default" w:ascii="Times New Roman" w:hAnsi="Times New Roman" w:cs="Times New Roman"/>
                <w:b w:val="0"/>
                <w:bCs w:val="0"/>
                <w:color w:val="000000"/>
                <w:highlight w:val="none"/>
                <w:vertAlign w:val="subscript"/>
              </w:rPr>
              <w:t>2</w:t>
            </w:r>
            <w:r>
              <w:rPr>
                <w:rFonts w:hint="default" w:ascii="Times New Roman" w:hAnsi="Times New Roman" w:cs="Times New Roman"/>
                <w:b w:val="0"/>
                <w:bCs w:val="0"/>
                <w:color w:val="000000"/>
                <w:highlight w:val="none"/>
              </w:rPr>
              <w:t>S</w:t>
            </w:r>
            <w:r>
              <w:rPr>
                <w:rFonts w:hint="default" w:ascii="Times New Roman" w:hAnsi="Times New Roman" w:cs="Times New Roman"/>
                <w:b w:val="0"/>
                <w:bCs w:val="0"/>
                <w:color w:val="000000"/>
                <w:highlight w:val="none"/>
                <w:lang w:val="en-US" w:eastAsia="zh-CN"/>
              </w:rPr>
              <w:t>排放量</w:t>
            </w:r>
            <w:r>
              <w:rPr>
                <w:rFonts w:hint="default" w:ascii="Times New Roman" w:hAnsi="Times New Roman" w:cs="Times New Roman"/>
                <w:b w:val="0"/>
                <w:bCs w:val="0"/>
                <w:color w:val="000000"/>
                <w:highlight w:val="none"/>
              </w:rPr>
              <w:t>为</w:t>
            </w:r>
            <w:r>
              <w:rPr>
                <w:rFonts w:hint="default" w:ascii="Times New Roman" w:hAnsi="Times New Roman" w:cs="Times New Roman"/>
                <w:color w:val="000000"/>
                <w:highlight w:val="none"/>
                <w:lang w:val="en-US" w:eastAsia="zh-CN"/>
              </w:rPr>
              <w:t>0.00136kg/d（0.0003t/a）；新建码头</w:t>
            </w:r>
            <w:r>
              <w:rPr>
                <w:rFonts w:hint="default" w:ascii="Times New Roman" w:hAnsi="Times New Roman" w:cs="Times New Roman"/>
                <w:b w:val="0"/>
                <w:bCs w:val="0"/>
                <w:color w:val="000000"/>
                <w:highlight w:val="none"/>
                <w:lang w:eastAsia="zh-CN"/>
              </w:rPr>
              <w:t>NH</w:t>
            </w:r>
            <w:r>
              <w:rPr>
                <w:rFonts w:hint="default" w:ascii="Times New Roman" w:hAnsi="Times New Roman" w:cs="Times New Roman"/>
                <w:b w:val="0"/>
                <w:bCs w:val="0"/>
                <w:color w:val="000000"/>
                <w:highlight w:val="none"/>
                <w:vertAlign w:val="subscript"/>
                <w:lang w:eastAsia="zh-CN"/>
              </w:rPr>
              <w:t>3</w:t>
            </w:r>
            <w:r>
              <w:rPr>
                <w:rFonts w:hint="default" w:ascii="Times New Roman" w:hAnsi="Times New Roman" w:cs="Times New Roman"/>
                <w:b w:val="0"/>
                <w:bCs w:val="0"/>
                <w:color w:val="000000"/>
                <w:highlight w:val="none"/>
                <w:lang w:eastAsia="zh-CN"/>
              </w:rPr>
              <w:t>排放量为</w:t>
            </w:r>
            <w:r>
              <w:rPr>
                <w:rFonts w:hint="default" w:ascii="Times New Roman" w:hAnsi="Times New Roman" w:cs="Times New Roman"/>
                <w:b w:val="0"/>
                <w:bCs w:val="0"/>
                <w:color w:val="000000"/>
                <w:highlight w:val="none"/>
                <w:lang w:val="en-US" w:eastAsia="zh-CN"/>
              </w:rPr>
              <w:t>0.0077</w:t>
            </w:r>
            <w:r>
              <w:rPr>
                <w:rFonts w:hint="default" w:ascii="Times New Roman" w:hAnsi="Times New Roman" w:cs="Times New Roman"/>
                <w:b w:val="0"/>
                <w:bCs w:val="0"/>
                <w:color w:val="000000"/>
                <w:highlight w:val="none"/>
                <w:lang w:eastAsia="zh-CN"/>
              </w:rPr>
              <w:t>kg/d（</w:t>
            </w:r>
            <w:r>
              <w:rPr>
                <w:rFonts w:hint="default" w:ascii="Times New Roman" w:hAnsi="Times New Roman" w:cs="Times New Roman"/>
                <w:b w:val="0"/>
                <w:bCs w:val="0"/>
                <w:color w:val="000000"/>
                <w:highlight w:val="none"/>
                <w:lang w:val="en-US" w:eastAsia="zh-CN"/>
              </w:rPr>
              <w:t>0.0017</w:t>
            </w:r>
            <w:r>
              <w:rPr>
                <w:rFonts w:hint="default" w:ascii="Times New Roman" w:hAnsi="Times New Roman" w:cs="Times New Roman"/>
                <w:b w:val="0"/>
                <w:bCs w:val="0"/>
                <w:color w:val="000000"/>
                <w:highlight w:val="none"/>
                <w:lang w:eastAsia="zh-CN"/>
              </w:rPr>
              <w:t>t/a），</w:t>
            </w:r>
            <w:r>
              <w:rPr>
                <w:rFonts w:hint="default" w:ascii="Times New Roman" w:hAnsi="Times New Roman" w:cs="Times New Roman"/>
                <w:b w:val="0"/>
                <w:bCs w:val="0"/>
                <w:color w:val="000000"/>
                <w:highlight w:val="none"/>
              </w:rPr>
              <w:t>H</w:t>
            </w:r>
            <w:r>
              <w:rPr>
                <w:rFonts w:hint="default" w:ascii="Times New Roman" w:hAnsi="Times New Roman" w:cs="Times New Roman"/>
                <w:b w:val="0"/>
                <w:bCs w:val="0"/>
                <w:color w:val="000000"/>
                <w:highlight w:val="none"/>
                <w:vertAlign w:val="subscript"/>
              </w:rPr>
              <w:t>2</w:t>
            </w:r>
            <w:r>
              <w:rPr>
                <w:rFonts w:hint="default" w:ascii="Times New Roman" w:hAnsi="Times New Roman" w:cs="Times New Roman"/>
                <w:b w:val="0"/>
                <w:bCs w:val="0"/>
                <w:color w:val="000000"/>
                <w:highlight w:val="none"/>
              </w:rPr>
              <w:t>S</w:t>
            </w:r>
            <w:r>
              <w:rPr>
                <w:rFonts w:hint="default" w:ascii="Times New Roman" w:hAnsi="Times New Roman" w:cs="Times New Roman"/>
                <w:b w:val="0"/>
                <w:bCs w:val="0"/>
                <w:color w:val="000000"/>
                <w:highlight w:val="none"/>
                <w:lang w:val="en-US" w:eastAsia="zh-CN"/>
              </w:rPr>
              <w:t>排放量</w:t>
            </w:r>
            <w:r>
              <w:rPr>
                <w:rFonts w:hint="default" w:ascii="Times New Roman" w:hAnsi="Times New Roman" w:cs="Times New Roman"/>
                <w:b w:val="0"/>
                <w:bCs w:val="0"/>
                <w:color w:val="000000"/>
                <w:highlight w:val="none"/>
              </w:rPr>
              <w:t>为</w:t>
            </w:r>
            <w:r>
              <w:rPr>
                <w:rFonts w:hint="default" w:ascii="Times New Roman" w:hAnsi="Times New Roman" w:cs="Times New Roman"/>
                <w:color w:val="000000"/>
                <w:highlight w:val="none"/>
                <w:lang w:val="en-US" w:eastAsia="zh-CN"/>
              </w:rPr>
              <w:t>0.00079kg/d（0.0002t/a）。</w:t>
            </w:r>
          </w:p>
          <w:p w14:paraId="2C003BB7">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lang w:eastAsia="zh-CN"/>
              </w:rPr>
            </w:pPr>
            <w:r>
              <w:rPr>
                <w:rFonts w:hint="default" w:ascii="Times New Roman" w:hAnsi="Times New Roman" w:cs="Times New Roman"/>
                <w:b/>
                <w:bCs/>
                <w:color w:val="000000"/>
                <w:highlight w:val="none"/>
                <w:lang w:val="en-US" w:eastAsia="zh-CN"/>
              </w:rPr>
              <w:t>（4）</w:t>
            </w:r>
            <w:r>
              <w:rPr>
                <w:rFonts w:hint="default" w:ascii="Times New Roman" w:hAnsi="Times New Roman" w:cs="Times New Roman"/>
                <w:b/>
                <w:bCs/>
                <w:color w:val="000000"/>
                <w:highlight w:val="none"/>
                <w:lang w:eastAsia="zh-CN"/>
              </w:rPr>
              <w:t>港区自建污水处理站废气</w:t>
            </w:r>
          </w:p>
          <w:p w14:paraId="685BC6A8">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港区自建污水处理站运行过程中产生一定量的恶臭气体，主要污染物为氨、硫化氢等，污水处理站采用生化处理工艺，臭气主要来自格栅、调节池、厌氧池等。</w:t>
            </w:r>
            <w:r>
              <w:rPr>
                <w:rFonts w:hint="default" w:ascii="Times New Roman" w:hAnsi="Times New Roman" w:cs="Times New Roman"/>
                <w:color w:val="000000"/>
                <w:highlight w:val="none"/>
                <w:lang w:val="en-US" w:eastAsia="zh-CN"/>
              </w:rPr>
              <w:t>根据工程分析，运营期污水处理站废气</w:t>
            </w:r>
            <w:r>
              <w:rPr>
                <w:rFonts w:hint="default" w:ascii="Times New Roman" w:hAnsi="Times New Roman" w:cs="Times New Roman"/>
                <w:color w:val="000000"/>
                <w:highlight w:val="none"/>
              </w:rPr>
              <w:t>产生量为NH</w:t>
            </w:r>
            <w:r>
              <w:rPr>
                <w:rFonts w:hint="default" w:ascii="Times New Roman" w:hAnsi="Times New Roman" w:cs="Times New Roman"/>
                <w:color w:val="000000"/>
                <w:highlight w:val="none"/>
                <w:vertAlign w:val="subscript"/>
              </w:rPr>
              <w:t>3</w:t>
            </w:r>
            <w:r>
              <w:rPr>
                <w:rFonts w:hint="default" w:ascii="Times New Roman" w:hAnsi="Times New Roman" w:cs="Times New Roman"/>
                <w:color w:val="000000"/>
                <w:highlight w:val="none"/>
              </w:rPr>
              <w:t>：</w:t>
            </w:r>
            <w:r>
              <w:rPr>
                <w:rFonts w:hint="default" w:ascii="Times New Roman" w:hAnsi="Times New Roman" w:cs="Times New Roman"/>
                <w:color w:val="000000"/>
                <w:highlight w:val="none"/>
                <w:lang w:val="en-US" w:eastAsia="zh-CN"/>
              </w:rPr>
              <w:t>0.0094</w:t>
            </w:r>
            <w:r>
              <w:rPr>
                <w:rFonts w:hint="default" w:ascii="Times New Roman" w:hAnsi="Times New Roman" w:cs="Times New Roman"/>
                <w:color w:val="000000"/>
                <w:highlight w:val="none"/>
              </w:rPr>
              <w:t>t/a</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0.00107kg/h</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H</w:t>
            </w:r>
            <w:r>
              <w:rPr>
                <w:rFonts w:hint="default" w:ascii="Times New Roman" w:hAnsi="Times New Roman" w:cs="Times New Roman"/>
                <w:color w:val="000000"/>
                <w:highlight w:val="none"/>
                <w:vertAlign w:val="subscript"/>
              </w:rPr>
              <w:t>2</w:t>
            </w:r>
            <w:r>
              <w:rPr>
                <w:rFonts w:hint="default" w:ascii="Times New Roman" w:hAnsi="Times New Roman" w:cs="Times New Roman"/>
                <w:color w:val="000000"/>
                <w:highlight w:val="none"/>
              </w:rPr>
              <w:t>S：</w:t>
            </w:r>
            <w:r>
              <w:rPr>
                <w:rFonts w:hint="default" w:ascii="Times New Roman" w:hAnsi="Times New Roman" w:cs="Times New Roman"/>
                <w:color w:val="000000"/>
                <w:highlight w:val="none"/>
                <w:lang w:val="en-US" w:eastAsia="zh-CN"/>
              </w:rPr>
              <w:t>0.00036</w:t>
            </w:r>
            <w:r>
              <w:rPr>
                <w:rFonts w:hint="default" w:ascii="Times New Roman" w:hAnsi="Times New Roman" w:cs="Times New Roman"/>
                <w:color w:val="000000"/>
                <w:highlight w:val="none"/>
              </w:rPr>
              <w:t>t/a</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0.00004kg/h</w:t>
            </w:r>
            <w:r>
              <w:rPr>
                <w:rFonts w:hint="default" w:ascii="Times New Roman" w:hAnsi="Times New Roman" w:cs="Times New Roman"/>
                <w:color w:val="000000"/>
                <w:highlight w:val="none"/>
                <w:lang w:eastAsia="zh-CN"/>
              </w:rPr>
              <w:t>）。污水处理站采用地埋全封闭式，污水处理池均加盖，恶臭气体不易外漏，由于渔港所在区域地势开阔且大气流动性较好，有利于污染物扩散，对区域大气环境影响较小。</w:t>
            </w:r>
          </w:p>
          <w:p w14:paraId="03CDCE3F">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（5）恶臭废气环境影响预测与评价</w:t>
            </w:r>
          </w:p>
          <w:p w14:paraId="49C868C2">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本项目运营期主要的废气为恶臭气体，主要是NH</w:t>
            </w:r>
            <w:r>
              <w:rPr>
                <w:rFonts w:hint="default" w:ascii="Times New Roman" w:hAnsi="Times New Roman" w:cs="Times New Roman"/>
                <w:color w:val="000000"/>
                <w:highlight w:val="none"/>
                <w:vertAlign w:val="subscript"/>
                <w:lang w:eastAsia="zh-CN"/>
              </w:rPr>
              <w:t>3</w:t>
            </w:r>
            <w:r>
              <w:rPr>
                <w:rFonts w:hint="default" w:ascii="Times New Roman" w:hAnsi="Times New Roman" w:cs="Times New Roman"/>
                <w:color w:val="000000"/>
                <w:highlight w:val="none"/>
                <w:lang w:eastAsia="zh-CN"/>
              </w:rPr>
              <w:t>、H</w:t>
            </w:r>
            <w:r>
              <w:rPr>
                <w:rFonts w:hint="default" w:ascii="Times New Roman" w:hAnsi="Times New Roman" w:cs="Times New Roman"/>
                <w:color w:val="000000"/>
                <w:highlight w:val="none"/>
                <w:vertAlign w:val="subscript"/>
                <w:lang w:eastAsia="zh-CN"/>
              </w:rPr>
              <w:t>2</w:t>
            </w:r>
            <w:r>
              <w:rPr>
                <w:rFonts w:hint="default" w:ascii="Times New Roman" w:hAnsi="Times New Roman" w:cs="Times New Roman"/>
                <w:color w:val="000000"/>
                <w:highlight w:val="none"/>
                <w:lang w:eastAsia="zh-CN"/>
              </w:rPr>
              <w:t>S，排放形式为无组织排放，以面源形式排放，</w:t>
            </w:r>
            <w:r>
              <w:rPr>
                <w:rFonts w:hint="default" w:ascii="Times New Roman" w:hAnsi="Times New Roman" w:cs="Times New Roman"/>
                <w:b w:val="0"/>
                <w:bCs w:val="0"/>
                <w:color w:val="000000"/>
                <w:highlight w:val="none"/>
                <w:lang w:val="en-US" w:eastAsia="zh-CN"/>
              </w:rPr>
              <w:t>主要来源于现有二级渔港码头、卸渔区，本次扩建渔港码头、卸渔区，以及新建污水处理站。</w:t>
            </w:r>
            <w:r>
              <w:rPr>
                <w:rFonts w:hint="default" w:ascii="Times New Roman" w:hAnsi="Times New Roman" w:cs="Times New Roman"/>
                <w:color w:val="000000"/>
                <w:highlight w:val="none"/>
                <w:lang w:eastAsia="zh-CN"/>
              </w:rPr>
              <w:t>本项目针对恶臭气体进行大气影响预测，采用《环境影响评价技术导则—大气环境》（HJ2.2-2018）附录B推荐的估算模型Aerscreen软件进行估算，并按评价工作分级判别依据进行分级。</w:t>
            </w:r>
          </w:p>
          <w:p w14:paraId="5C7721B9">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①</w:t>
            </w:r>
            <w:r>
              <w:rPr>
                <w:rFonts w:hint="default" w:ascii="Times New Roman" w:hAnsi="Times New Roman" w:cs="Times New Roman"/>
                <w:color w:val="000000"/>
                <w:highlight w:val="none"/>
                <w:lang w:eastAsia="zh-CN"/>
              </w:rPr>
              <w:t>污染源参数及预测内容</w:t>
            </w:r>
          </w:p>
          <w:p w14:paraId="6ECA8009">
            <w:pPr>
              <w:pStyle w:val="18"/>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b w:val="0"/>
                <w:bCs w:val="0"/>
                <w:color w:val="000000"/>
                <w:highlight w:val="none"/>
                <w:lang w:val="en-US" w:eastAsia="zh-CN"/>
              </w:rPr>
            </w:pPr>
            <w:r>
              <w:rPr>
                <w:rFonts w:hint="default" w:ascii="Times New Roman" w:hAnsi="Times New Roman" w:cs="Times New Roman"/>
                <w:b w:val="0"/>
                <w:bCs w:val="0"/>
                <w:color w:val="000000"/>
                <w:highlight w:val="none"/>
                <w:lang w:val="en-US" w:eastAsia="zh-CN"/>
              </w:rPr>
              <w:t>面源参数见</w:t>
            </w:r>
            <w:r>
              <w:rPr>
                <w:rFonts w:hint="default" w:ascii="Times New Roman" w:hAnsi="Times New Roman" w:cs="Times New Roman"/>
                <w:b w:val="0"/>
                <w:bCs w:val="0"/>
                <w:color w:val="000000"/>
                <w:highlight w:val="none"/>
                <w:lang w:val="en-US" w:eastAsia="zh-CN"/>
              </w:rPr>
              <w:fldChar w:fldCharType="begin"/>
            </w:r>
            <w:r>
              <w:rPr>
                <w:rFonts w:hint="default" w:ascii="Times New Roman" w:hAnsi="Times New Roman" w:cs="Times New Roman"/>
                <w:b w:val="0"/>
                <w:bCs w:val="0"/>
                <w:color w:val="000000"/>
                <w:highlight w:val="none"/>
                <w:lang w:val="en-US" w:eastAsia="zh-CN"/>
              </w:rPr>
              <w:instrText xml:space="preserve"> REF _Ref2473 \h </w:instrText>
            </w:r>
            <w:r>
              <w:rPr>
                <w:rFonts w:hint="default" w:ascii="Times New Roman" w:hAnsi="Times New Roman" w:cs="Times New Roman"/>
                <w:b w:val="0"/>
                <w:bCs w:val="0"/>
                <w:color w:val="000000"/>
                <w:highlight w:val="none"/>
                <w:lang w:val="en-US" w:eastAsia="zh-CN"/>
              </w:rPr>
              <w:fldChar w:fldCharType="separate"/>
            </w:r>
            <w:r>
              <w:rPr>
                <w:rFonts w:hint="default" w:ascii="Times New Roman" w:hAnsi="Times New Roman" w:eastAsia="宋体" w:cs="Times New Roman"/>
                <w:b w:val="0"/>
                <w:bCs w:val="0"/>
                <w:color w:val="000000"/>
                <w:kern w:val="2"/>
                <w:sz w:val="24"/>
                <w:szCs w:val="24"/>
                <w:highlight w:val="none"/>
                <w:lang w:val="en-US" w:eastAsia="zh-CN" w:bidi="ar-SA"/>
              </w:rPr>
              <w:t>表</w:t>
            </w:r>
            <w:r>
              <w:rPr>
                <w:rFonts w:hint="default" w:ascii="Times New Roman" w:hAnsi="Times New Roman" w:eastAsia="宋体" w:cs="Times New Roman"/>
                <w:b w:val="0"/>
                <w:bCs w:val="0"/>
                <w:color w:val="000000"/>
                <w:kern w:val="2"/>
                <w:sz w:val="24"/>
                <w:szCs w:val="24"/>
                <w:highlight w:val="none"/>
                <w:lang w:val="en-US" w:eastAsia="zh-CN" w:bidi="ar-SA"/>
              </w:rPr>
              <w:fldChar w:fldCharType="begin"/>
            </w:r>
            <w:r>
              <w:rPr>
                <w:rFonts w:hint="default" w:ascii="Times New Roman" w:hAnsi="Times New Roman" w:eastAsia="宋体" w:cs="Times New Roman"/>
                <w:b w:val="0"/>
                <w:bCs w:val="0"/>
                <w:color w:val="000000"/>
                <w:kern w:val="2"/>
                <w:sz w:val="24"/>
                <w:szCs w:val="24"/>
                <w:highlight w:val="none"/>
                <w:lang w:val="en-US" w:eastAsia="zh-CN" w:bidi="ar-SA"/>
              </w:rPr>
              <w:instrText xml:space="preserve"> STYLEREF 2 \s </w:instrText>
            </w:r>
            <w:r>
              <w:rPr>
                <w:rFonts w:hint="default" w:ascii="Times New Roman" w:hAnsi="Times New Roman" w:eastAsia="宋体" w:cs="Times New Roman"/>
                <w:b w:val="0"/>
                <w:bCs w:val="0"/>
                <w:color w:val="000000"/>
                <w:kern w:val="2"/>
                <w:sz w:val="24"/>
                <w:szCs w:val="24"/>
                <w:highlight w:val="none"/>
                <w:lang w:val="en-US" w:eastAsia="zh-CN" w:bidi="ar-SA"/>
              </w:rPr>
              <w:fldChar w:fldCharType="separate"/>
            </w:r>
            <w:r>
              <w:rPr>
                <w:rFonts w:hint="default" w:ascii="Times New Roman" w:hAnsi="Times New Roman" w:eastAsia="宋体" w:cs="Times New Roman"/>
                <w:b w:val="0"/>
                <w:bCs w:val="0"/>
                <w:color w:val="000000"/>
                <w:kern w:val="2"/>
                <w:sz w:val="24"/>
                <w:szCs w:val="24"/>
                <w:highlight w:val="none"/>
                <w:lang w:val="en-US" w:eastAsia="zh-CN" w:bidi="ar-SA"/>
              </w:rPr>
              <w:t>4.6</w:t>
            </w:r>
            <w:r>
              <w:rPr>
                <w:rFonts w:hint="default" w:ascii="Times New Roman" w:hAnsi="Times New Roman" w:eastAsia="宋体" w:cs="Times New Roman"/>
                <w:b w:val="0"/>
                <w:bCs w:val="0"/>
                <w:color w:val="000000"/>
                <w:kern w:val="2"/>
                <w:sz w:val="24"/>
                <w:szCs w:val="24"/>
                <w:highlight w:val="none"/>
                <w:lang w:val="en-US" w:eastAsia="zh-CN" w:bidi="ar-SA"/>
              </w:rPr>
              <w:fldChar w:fldCharType="end"/>
            </w:r>
            <w:r>
              <w:rPr>
                <w:rFonts w:hint="default" w:ascii="Times New Roman" w:hAnsi="Times New Roman" w:eastAsia="宋体" w:cs="Times New Roman"/>
                <w:b w:val="0"/>
                <w:bCs w:val="0"/>
                <w:color w:val="000000"/>
                <w:kern w:val="2"/>
                <w:sz w:val="24"/>
                <w:szCs w:val="24"/>
                <w:highlight w:val="none"/>
                <w:lang w:val="en-US" w:eastAsia="zh-CN" w:bidi="ar-SA"/>
              </w:rPr>
              <w:t>-1</w:t>
            </w:r>
            <w:r>
              <w:rPr>
                <w:rFonts w:hint="default" w:ascii="Times New Roman" w:hAnsi="Times New Roman" w:cs="Times New Roman"/>
                <w:b w:val="0"/>
                <w:bCs w:val="0"/>
                <w:color w:val="000000"/>
                <w:highlight w:val="none"/>
                <w:lang w:val="en-US" w:eastAsia="zh-CN"/>
              </w:rPr>
              <w:fldChar w:fldCharType="end"/>
            </w:r>
            <w:r>
              <w:rPr>
                <w:rFonts w:hint="default" w:ascii="Times New Roman" w:hAnsi="Times New Roman" w:cs="Times New Roman"/>
                <w:b w:val="0"/>
                <w:bCs w:val="0"/>
                <w:color w:val="000000"/>
                <w:highlight w:val="none"/>
                <w:lang w:val="en-US" w:eastAsia="zh-CN"/>
              </w:rPr>
              <w:t>。</w:t>
            </w:r>
          </w:p>
          <w:p w14:paraId="2E128EFA">
            <w:pPr>
              <w:widowControl w:val="0"/>
              <w:spacing w:line="240" w:lineRule="auto"/>
              <w:ind w:firstLine="0" w:firstLineChars="0"/>
              <w:jc w:val="center"/>
              <w:rPr>
                <w:rFonts w:hint="default" w:ascii="Times New Roman" w:hAnsi="Times New Roman" w:eastAsia="宋体" w:cs="Times New Roman"/>
                <w:b/>
                <w:color w:val="000000"/>
                <w:kern w:val="2"/>
                <w:sz w:val="24"/>
                <w:szCs w:val="24"/>
                <w:highlight w:val="none"/>
                <w:lang w:val="en-US" w:eastAsia="zh-CN" w:bidi="ar-SA"/>
              </w:rPr>
            </w:pPr>
            <w:bookmarkStart w:id="393" w:name="_Ref2473"/>
            <w:r>
              <w:rPr>
                <w:rFonts w:hint="default" w:ascii="Times New Roman" w:hAnsi="Times New Roman" w:eastAsia="宋体" w:cs="Times New Roman"/>
                <w:b/>
                <w:color w:val="000000"/>
                <w:kern w:val="2"/>
                <w:sz w:val="24"/>
                <w:szCs w:val="24"/>
                <w:highlight w:val="none"/>
                <w:lang w:val="en-US" w:eastAsia="zh-CN" w:bidi="ar-SA"/>
              </w:rPr>
              <w:t>表</w:t>
            </w:r>
            <w:r>
              <w:rPr>
                <w:rFonts w:hint="default" w:ascii="Times New Roman" w:hAnsi="Times New Roman" w:eastAsia="宋体" w:cs="Times New Roman"/>
                <w:b/>
                <w:color w:val="000000"/>
                <w:kern w:val="2"/>
                <w:sz w:val="24"/>
                <w:szCs w:val="24"/>
                <w:highlight w:val="none"/>
                <w:lang w:val="en-US" w:eastAsia="zh-CN" w:bidi="ar-SA"/>
              </w:rPr>
              <w:fldChar w:fldCharType="begin"/>
            </w:r>
            <w:r>
              <w:rPr>
                <w:rFonts w:hint="default" w:ascii="Times New Roman" w:hAnsi="Times New Roman" w:eastAsia="宋体" w:cs="Times New Roman"/>
                <w:b/>
                <w:color w:val="000000"/>
                <w:kern w:val="2"/>
                <w:sz w:val="24"/>
                <w:szCs w:val="24"/>
                <w:highlight w:val="none"/>
                <w:lang w:val="en-US" w:eastAsia="zh-CN" w:bidi="ar-SA"/>
              </w:rPr>
              <w:instrText xml:space="preserve"> STYLEREF 2 \s </w:instrText>
            </w:r>
            <w:r>
              <w:rPr>
                <w:rFonts w:hint="default" w:ascii="Times New Roman" w:hAnsi="Times New Roman" w:eastAsia="宋体" w:cs="Times New Roman"/>
                <w:b/>
                <w:color w:val="000000"/>
                <w:kern w:val="2"/>
                <w:sz w:val="24"/>
                <w:szCs w:val="24"/>
                <w:highlight w:val="none"/>
                <w:lang w:val="en-US" w:eastAsia="zh-CN" w:bidi="ar-SA"/>
              </w:rPr>
              <w:fldChar w:fldCharType="separate"/>
            </w:r>
            <w:r>
              <w:rPr>
                <w:rFonts w:hint="default" w:ascii="Times New Roman" w:hAnsi="Times New Roman" w:eastAsia="宋体" w:cs="Times New Roman"/>
                <w:b/>
                <w:color w:val="000000"/>
                <w:kern w:val="2"/>
                <w:sz w:val="24"/>
                <w:szCs w:val="24"/>
                <w:highlight w:val="none"/>
                <w:lang w:val="en-US" w:eastAsia="zh-CN" w:bidi="ar-SA"/>
              </w:rPr>
              <w:t>4.6</w:t>
            </w:r>
            <w:r>
              <w:rPr>
                <w:rFonts w:hint="default" w:ascii="Times New Roman" w:hAnsi="Times New Roman" w:eastAsia="宋体" w:cs="Times New Roman"/>
                <w:b/>
                <w:color w:val="000000"/>
                <w:kern w:val="2"/>
                <w:sz w:val="24"/>
                <w:szCs w:val="24"/>
                <w:highlight w:val="none"/>
                <w:lang w:val="en-US" w:eastAsia="zh-CN" w:bidi="ar-SA"/>
              </w:rPr>
              <w:fldChar w:fldCharType="end"/>
            </w:r>
            <w:r>
              <w:rPr>
                <w:rFonts w:hint="default" w:ascii="Times New Roman" w:hAnsi="Times New Roman" w:eastAsia="宋体" w:cs="Times New Roman"/>
                <w:b/>
                <w:color w:val="000000"/>
                <w:kern w:val="2"/>
                <w:sz w:val="24"/>
                <w:szCs w:val="24"/>
                <w:highlight w:val="none"/>
                <w:lang w:val="en-US" w:eastAsia="zh-CN" w:bidi="ar-SA"/>
              </w:rPr>
              <w:t>-</w:t>
            </w:r>
            <w:r>
              <w:rPr>
                <w:rFonts w:hint="default" w:ascii="Times New Roman" w:hAnsi="Times New Roman" w:eastAsia="宋体" w:cs="Times New Roman"/>
                <w:b/>
                <w:color w:val="000000"/>
                <w:kern w:val="2"/>
                <w:sz w:val="24"/>
                <w:szCs w:val="24"/>
                <w:highlight w:val="none"/>
                <w:lang w:val="en-US" w:eastAsia="zh-CN" w:bidi="ar-SA"/>
              </w:rPr>
              <w:fldChar w:fldCharType="begin"/>
            </w:r>
            <w:r>
              <w:rPr>
                <w:rFonts w:hint="default" w:ascii="Times New Roman" w:hAnsi="Times New Roman" w:eastAsia="宋体" w:cs="Times New Roman"/>
                <w:b/>
                <w:color w:val="000000"/>
                <w:kern w:val="2"/>
                <w:sz w:val="24"/>
                <w:szCs w:val="24"/>
                <w:highlight w:val="none"/>
                <w:lang w:val="en-US" w:eastAsia="zh-CN" w:bidi="ar-SA"/>
              </w:rPr>
              <w:instrText xml:space="preserve"> SEQ 表 \* ARABIC \s 2 </w:instrText>
            </w:r>
            <w:r>
              <w:rPr>
                <w:rFonts w:hint="default" w:ascii="Times New Roman" w:hAnsi="Times New Roman" w:eastAsia="宋体" w:cs="Times New Roman"/>
                <w:b/>
                <w:color w:val="000000"/>
                <w:kern w:val="2"/>
                <w:sz w:val="24"/>
                <w:szCs w:val="24"/>
                <w:highlight w:val="none"/>
                <w:lang w:val="en-US" w:eastAsia="zh-CN" w:bidi="ar-SA"/>
              </w:rPr>
              <w:fldChar w:fldCharType="separate"/>
            </w:r>
            <w:r>
              <w:rPr>
                <w:rFonts w:hint="default" w:ascii="Times New Roman" w:hAnsi="Times New Roman" w:eastAsia="宋体" w:cs="Times New Roman"/>
                <w:b/>
                <w:color w:val="000000"/>
                <w:kern w:val="2"/>
                <w:sz w:val="24"/>
                <w:szCs w:val="24"/>
                <w:highlight w:val="none"/>
                <w:lang w:val="en-US" w:eastAsia="zh-CN" w:bidi="ar-SA"/>
              </w:rPr>
              <w:t>1</w:t>
            </w:r>
            <w:r>
              <w:rPr>
                <w:rFonts w:hint="default" w:ascii="Times New Roman" w:hAnsi="Times New Roman" w:eastAsia="宋体" w:cs="Times New Roman"/>
                <w:b/>
                <w:color w:val="000000"/>
                <w:kern w:val="2"/>
                <w:sz w:val="24"/>
                <w:szCs w:val="24"/>
                <w:highlight w:val="none"/>
                <w:lang w:val="en-US" w:eastAsia="zh-CN" w:bidi="ar-SA"/>
              </w:rPr>
              <w:fldChar w:fldCharType="end"/>
            </w:r>
            <w:bookmarkEnd w:id="393"/>
            <w:r>
              <w:rPr>
                <w:rFonts w:hint="default" w:ascii="Times New Roman" w:hAnsi="Times New Roman" w:cs="Times New Roman"/>
                <w:b/>
                <w:color w:val="000000"/>
                <w:kern w:val="2"/>
                <w:sz w:val="24"/>
                <w:szCs w:val="24"/>
                <w:highlight w:val="none"/>
                <w:lang w:val="en-US" w:eastAsia="zh-CN" w:bidi="ar-SA"/>
              </w:rPr>
              <w:t xml:space="preserve"> 面源参数一览表</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3"/>
              <w:gridCol w:w="1514"/>
              <w:gridCol w:w="595"/>
              <w:gridCol w:w="611"/>
              <w:gridCol w:w="794"/>
              <w:gridCol w:w="937"/>
              <w:gridCol w:w="842"/>
              <w:gridCol w:w="690"/>
              <w:gridCol w:w="946"/>
              <w:gridCol w:w="861"/>
            </w:tblGrid>
            <w:tr w14:paraId="3EFC19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9" w:type="pct"/>
                  <w:vMerge w:val="restart"/>
                  <w:noWrap w:val="0"/>
                  <w:vAlign w:val="center"/>
                </w:tcPr>
                <w:p w14:paraId="577C6E35">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编号</w:t>
                  </w:r>
                </w:p>
              </w:tc>
              <w:tc>
                <w:tcPr>
                  <w:tcW w:w="919" w:type="pct"/>
                  <w:vMerge w:val="restart"/>
                  <w:noWrap w:val="0"/>
                  <w:vAlign w:val="center"/>
                </w:tcPr>
                <w:p w14:paraId="5B97297B">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名称</w:t>
                  </w:r>
                </w:p>
              </w:tc>
              <w:tc>
                <w:tcPr>
                  <w:tcW w:w="732" w:type="pct"/>
                  <w:gridSpan w:val="2"/>
                  <w:noWrap w:val="0"/>
                  <w:vAlign w:val="center"/>
                </w:tcPr>
                <w:p w14:paraId="00B01F2C">
                  <w:pPr>
                    <w:pStyle w:val="31"/>
                    <w:bidi w:val="0"/>
                    <w:jc w:val="center"/>
                    <w:rPr>
                      <w:rFonts w:hint="default" w:ascii="Times New Roman" w:hAnsi="Times New Roman" w:cs="Times New Roman"/>
                      <w:b/>
                      <w:bCs/>
                      <w:color w:val="000000"/>
                      <w:highlight w:val="none"/>
                      <w:lang w:eastAsia="zh-CN"/>
                    </w:rPr>
                  </w:pPr>
                  <w:r>
                    <w:rPr>
                      <w:rFonts w:hint="default" w:ascii="Times New Roman" w:hAnsi="Times New Roman" w:cs="Times New Roman"/>
                      <w:b/>
                      <w:bCs/>
                      <w:color w:val="000000"/>
                      <w:highlight w:val="none"/>
                      <w:lang w:val="en-US" w:eastAsia="zh-CN"/>
                    </w:rPr>
                    <w:t>面源中心坐标/m</w:t>
                  </w:r>
                </w:p>
              </w:tc>
              <w:tc>
                <w:tcPr>
                  <w:tcW w:w="482" w:type="pct"/>
                  <w:vMerge w:val="restart"/>
                  <w:noWrap w:val="0"/>
                  <w:vAlign w:val="center"/>
                </w:tcPr>
                <w:p w14:paraId="1BD8DB3A">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面源面积/m</w:t>
                  </w:r>
                  <w:r>
                    <w:rPr>
                      <w:rFonts w:hint="default" w:ascii="Times New Roman" w:hAnsi="Times New Roman" w:cs="Times New Roman"/>
                      <w:b/>
                      <w:bCs/>
                      <w:color w:val="000000"/>
                      <w:highlight w:val="none"/>
                      <w:vertAlign w:val="superscript"/>
                      <w:lang w:val="en-US" w:eastAsia="zh-CN"/>
                    </w:rPr>
                    <w:t>2</w:t>
                  </w:r>
                </w:p>
              </w:tc>
              <w:tc>
                <w:tcPr>
                  <w:tcW w:w="569" w:type="pct"/>
                  <w:vMerge w:val="restart"/>
                  <w:noWrap w:val="0"/>
                  <w:vAlign w:val="center"/>
                </w:tcPr>
                <w:p w14:paraId="09A7FF0A">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面源有效排放高度/m</w:t>
                  </w:r>
                </w:p>
              </w:tc>
              <w:tc>
                <w:tcPr>
                  <w:tcW w:w="511" w:type="pct"/>
                  <w:vMerge w:val="restart"/>
                  <w:noWrap w:val="0"/>
                  <w:vAlign w:val="center"/>
                </w:tcPr>
                <w:p w14:paraId="66D951F2">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年排放时间/h</w:t>
                  </w:r>
                </w:p>
              </w:tc>
              <w:tc>
                <w:tcPr>
                  <w:tcW w:w="419" w:type="pct"/>
                  <w:vMerge w:val="restart"/>
                  <w:noWrap w:val="0"/>
                  <w:vAlign w:val="center"/>
                </w:tcPr>
                <w:p w14:paraId="2B84DCC3">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排放工况</w:t>
                  </w:r>
                </w:p>
              </w:tc>
              <w:tc>
                <w:tcPr>
                  <w:tcW w:w="1096" w:type="pct"/>
                  <w:gridSpan w:val="2"/>
                  <w:noWrap w:val="0"/>
                  <w:vAlign w:val="center"/>
                </w:tcPr>
                <w:p w14:paraId="04E22C35">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污染物排放速率</w:t>
                  </w:r>
                </w:p>
              </w:tc>
            </w:tr>
            <w:tr w14:paraId="7233FD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9" w:type="pct"/>
                  <w:vMerge w:val="continue"/>
                  <w:noWrap w:val="0"/>
                  <w:vAlign w:val="center"/>
                </w:tcPr>
                <w:p w14:paraId="473D69FA">
                  <w:pPr>
                    <w:pStyle w:val="31"/>
                    <w:bidi w:val="0"/>
                    <w:jc w:val="center"/>
                    <w:rPr>
                      <w:rFonts w:hint="default" w:ascii="Times New Roman" w:hAnsi="Times New Roman" w:cs="Times New Roman"/>
                      <w:b/>
                      <w:bCs/>
                      <w:color w:val="000000"/>
                      <w:highlight w:val="none"/>
                      <w:lang w:eastAsia="zh-CN"/>
                    </w:rPr>
                  </w:pPr>
                </w:p>
              </w:tc>
              <w:tc>
                <w:tcPr>
                  <w:tcW w:w="919" w:type="pct"/>
                  <w:vMerge w:val="continue"/>
                  <w:noWrap w:val="0"/>
                  <w:vAlign w:val="center"/>
                </w:tcPr>
                <w:p w14:paraId="07B8C8E7">
                  <w:pPr>
                    <w:pStyle w:val="31"/>
                    <w:bidi w:val="0"/>
                    <w:jc w:val="center"/>
                    <w:rPr>
                      <w:rFonts w:hint="default" w:ascii="Times New Roman" w:hAnsi="Times New Roman" w:cs="Times New Roman"/>
                      <w:b/>
                      <w:bCs/>
                      <w:color w:val="000000"/>
                      <w:highlight w:val="none"/>
                      <w:lang w:eastAsia="zh-CN"/>
                    </w:rPr>
                  </w:pPr>
                </w:p>
              </w:tc>
              <w:tc>
                <w:tcPr>
                  <w:tcW w:w="361" w:type="pct"/>
                  <w:noWrap w:val="0"/>
                  <w:vAlign w:val="center"/>
                </w:tcPr>
                <w:p w14:paraId="3F419866">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X</w:t>
                  </w:r>
                </w:p>
              </w:tc>
              <w:tc>
                <w:tcPr>
                  <w:tcW w:w="371" w:type="pct"/>
                  <w:noWrap w:val="0"/>
                  <w:vAlign w:val="center"/>
                </w:tcPr>
                <w:p w14:paraId="004AA3A8">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Y</w:t>
                  </w:r>
                </w:p>
              </w:tc>
              <w:tc>
                <w:tcPr>
                  <w:tcW w:w="482" w:type="pct"/>
                  <w:vMerge w:val="continue"/>
                  <w:noWrap w:val="0"/>
                  <w:vAlign w:val="center"/>
                </w:tcPr>
                <w:p w14:paraId="725F1085">
                  <w:pPr>
                    <w:pStyle w:val="31"/>
                    <w:bidi w:val="0"/>
                    <w:jc w:val="center"/>
                    <w:rPr>
                      <w:rFonts w:hint="default" w:ascii="Times New Roman" w:hAnsi="Times New Roman" w:cs="Times New Roman"/>
                      <w:b/>
                      <w:bCs/>
                      <w:color w:val="000000"/>
                      <w:highlight w:val="none"/>
                      <w:lang w:eastAsia="zh-CN"/>
                    </w:rPr>
                  </w:pPr>
                </w:p>
              </w:tc>
              <w:tc>
                <w:tcPr>
                  <w:tcW w:w="569" w:type="pct"/>
                  <w:vMerge w:val="continue"/>
                  <w:noWrap w:val="0"/>
                  <w:vAlign w:val="center"/>
                </w:tcPr>
                <w:p w14:paraId="7DCAC644">
                  <w:pPr>
                    <w:pStyle w:val="31"/>
                    <w:bidi w:val="0"/>
                    <w:jc w:val="center"/>
                    <w:rPr>
                      <w:rFonts w:hint="default" w:ascii="Times New Roman" w:hAnsi="Times New Roman" w:cs="Times New Roman"/>
                      <w:b/>
                      <w:bCs/>
                      <w:color w:val="000000"/>
                      <w:highlight w:val="none"/>
                      <w:lang w:eastAsia="zh-CN"/>
                    </w:rPr>
                  </w:pPr>
                </w:p>
              </w:tc>
              <w:tc>
                <w:tcPr>
                  <w:tcW w:w="511" w:type="pct"/>
                  <w:vMerge w:val="continue"/>
                  <w:noWrap w:val="0"/>
                  <w:vAlign w:val="center"/>
                </w:tcPr>
                <w:p w14:paraId="7D45B286">
                  <w:pPr>
                    <w:pStyle w:val="31"/>
                    <w:bidi w:val="0"/>
                    <w:jc w:val="center"/>
                    <w:rPr>
                      <w:rFonts w:hint="default" w:ascii="Times New Roman" w:hAnsi="Times New Roman" w:cs="Times New Roman"/>
                      <w:b/>
                      <w:bCs/>
                      <w:color w:val="000000"/>
                      <w:highlight w:val="none"/>
                      <w:lang w:eastAsia="zh-CN"/>
                    </w:rPr>
                  </w:pPr>
                </w:p>
              </w:tc>
              <w:tc>
                <w:tcPr>
                  <w:tcW w:w="419" w:type="pct"/>
                  <w:vMerge w:val="continue"/>
                  <w:noWrap w:val="0"/>
                  <w:vAlign w:val="center"/>
                </w:tcPr>
                <w:p w14:paraId="18E1DF57">
                  <w:pPr>
                    <w:pStyle w:val="31"/>
                    <w:bidi w:val="0"/>
                    <w:jc w:val="center"/>
                    <w:rPr>
                      <w:rFonts w:hint="default" w:ascii="Times New Roman" w:hAnsi="Times New Roman" w:cs="Times New Roman"/>
                      <w:b/>
                      <w:bCs/>
                      <w:color w:val="000000"/>
                      <w:highlight w:val="none"/>
                      <w:lang w:eastAsia="zh-CN"/>
                    </w:rPr>
                  </w:pPr>
                </w:p>
              </w:tc>
              <w:tc>
                <w:tcPr>
                  <w:tcW w:w="574" w:type="pct"/>
                  <w:noWrap w:val="0"/>
                  <w:vAlign w:val="center"/>
                </w:tcPr>
                <w:p w14:paraId="48631C50">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NH</w:t>
                  </w:r>
                  <w:r>
                    <w:rPr>
                      <w:rFonts w:hint="default" w:ascii="Times New Roman" w:hAnsi="Times New Roman" w:cs="Times New Roman"/>
                      <w:b/>
                      <w:bCs/>
                      <w:color w:val="000000"/>
                      <w:highlight w:val="none"/>
                      <w:vertAlign w:val="subscript"/>
                      <w:lang w:val="en-US" w:eastAsia="zh-CN"/>
                    </w:rPr>
                    <w:t>3</w:t>
                  </w:r>
                </w:p>
              </w:tc>
              <w:tc>
                <w:tcPr>
                  <w:tcW w:w="521" w:type="pct"/>
                  <w:noWrap w:val="0"/>
                  <w:vAlign w:val="center"/>
                </w:tcPr>
                <w:p w14:paraId="2164B6BE">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H</w:t>
                  </w:r>
                  <w:r>
                    <w:rPr>
                      <w:rFonts w:hint="default" w:ascii="Times New Roman" w:hAnsi="Times New Roman" w:cs="Times New Roman"/>
                      <w:b/>
                      <w:bCs/>
                      <w:color w:val="000000"/>
                      <w:highlight w:val="none"/>
                      <w:vertAlign w:val="subscript"/>
                      <w:lang w:val="en-US" w:eastAsia="zh-CN"/>
                    </w:rPr>
                    <w:t>2</w:t>
                  </w:r>
                  <w:r>
                    <w:rPr>
                      <w:rFonts w:hint="default" w:ascii="Times New Roman" w:hAnsi="Times New Roman" w:cs="Times New Roman"/>
                      <w:b/>
                      <w:bCs/>
                      <w:color w:val="000000"/>
                      <w:highlight w:val="none"/>
                      <w:lang w:val="en-US" w:eastAsia="zh-CN"/>
                    </w:rPr>
                    <w:t>S</w:t>
                  </w:r>
                </w:p>
              </w:tc>
            </w:tr>
            <w:tr w14:paraId="0B2937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1" w:hRule="atLeast"/>
              </w:trPr>
              <w:tc>
                <w:tcPr>
                  <w:tcW w:w="269" w:type="pct"/>
                  <w:noWrap w:val="0"/>
                  <w:vAlign w:val="center"/>
                </w:tcPr>
                <w:p w14:paraId="1D874DB7">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w:t>
                  </w:r>
                </w:p>
              </w:tc>
              <w:tc>
                <w:tcPr>
                  <w:tcW w:w="919" w:type="pct"/>
                  <w:noWrap w:val="0"/>
                  <w:vAlign w:val="center"/>
                </w:tcPr>
                <w:p w14:paraId="0DED8C42">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现有二级渔港码头卸渔区</w:t>
                  </w:r>
                </w:p>
              </w:tc>
              <w:tc>
                <w:tcPr>
                  <w:tcW w:w="361" w:type="pct"/>
                  <w:noWrap w:val="0"/>
                  <w:vAlign w:val="center"/>
                </w:tcPr>
                <w:p w14:paraId="3703840B">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679</w:t>
                  </w:r>
                </w:p>
              </w:tc>
              <w:tc>
                <w:tcPr>
                  <w:tcW w:w="371" w:type="pct"/>
                  <w:noWrap w:val="0"/>
                  <w:vAlign w:val="center"/>
                </w:tcPr>
                <w:p w14:paraId="2B2B5469">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54</w:t>
                  </w:r>
                </w:p>
              </w:tc>
              <w:tc>
                <w:tcPr>
                  <w:tcW w:w="482" w:type="pct"/>
                  <w:noWrap w:val="0"/>
                  <w:vAlign w:val="center"/>
                </w:tcPr>
                <w:p w14:paraId="2B3A4E1F">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7370</w:t>
                  </w:r>
                </w:p>
              </w:tc>
              <w:tc>
                <w:tcPr>
                  <w:tcW w:w="569" w:type="pct"/>
                  <w:noWrap w:val="0"/>
                  <w:vAlign w:val="center"/>
                </w:tcPr>
                <w:p w14:paraId="67F3C3E5">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w:t>
                  </w:r>
                </w:p>
              </w:tc>
              <w:tc>
                <w:tcPr>
                  <w:tcW w:w="511" w:type="pct"/>
                  <w:noWrap w:val="0"/>
                  <w:vAlign w:val="center"/>
                </w:tcPr>
                <w:p w14:paraId="7EDD48FA">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5400</w:t>
                  </w:r>
                </w:p>
              </w:tc>
              <w:tc>
                <w:tcPr>
                  <w:tcW w:w="419" w:type="pct"/>
                  <w:noWrap w:val="0"/>
                  <w:vAlign w:val="center"/>
                </w:tcPr>
                <w:p w14:paraId="49542C8A">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正常</w:t>
                  </w:r>
                </w:p>
              </w:tc>
              <w:tc>
                <w:tcPr>
                  <w:tcW w:w="574" w:type="pct"/>
                  <w:noWrap w:val="0"/>
                  <w:vAlign w:val="center"/>
                </w:tcPr>
                <w:p w14:paraId="7DC2BC09">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0.00103</w:t>
                  </w:r>
                </w:p>
              </w:tc>
              <w:tc>
                <w:tcPr>
                  <w:tcW w:w="521" w:type="pct"/>
                  <w:noWrap w:val="0"/>
                  <w:vAlign w:val="center"/>
                </w:tcPr>
                <w:p w14:paraId="516ADABB">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0.00011</w:t>
                  </w:r>
                </w:p>
              </w:tc>
            </w:tr>
            <w:tr w14:paraId="0BFAE1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9" w:type="pct"/>
                  <w:noWrap w:val="0"/>
                  <w:vAlign w:val="center"/>
                </w:tcPr>
                <w:p w14:paraId="0158A71C">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w:t>
                  </w:r>
                </w:p>
              </w:tc>
              <w:tc>
                <w:tcPr>
                  <w:tcW w:w="919" w:type="pct"/>
                  <w:noWrap w:val="0"/>
                  <w:vAlign w:val="center"/>
                </w:tcPr>
                <w:p w14:paraId="6B6F951C">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新建码头</w:t>
                  </w:r>
                </w:p>
              </w:tc>
              <w:tc>
                <w:tcPr>
                  <w:tcW w:w="361" w:type="pct"/>
                  <w:noWrap w:val="0"/>
                  <w:vAlign w:val="center"/>
                </w:tcPr>
                <w:p w14:paraId="4CB01C79">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925</w:t>
                  </w:r>
                </w:p>
              </w:tc>
              <w:tc>
                <w:tcPr>
                  <w:tcW w:w="371" w:type="pct"/>
                  <w:noWrap w:val="0"/>
                  <w:vAlign w:val="center"/>
                </w:tcPr>
                <w:p w14:paraId="026B7967">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156</w:t>
                  </w:r>
                </w:p>
              </w:tc>
              <w:tc>
                <w:tcPr>
                  <w:tcW w:w="482" w:type="pct"/>
                  <w:noWrap w:val="0"/>
                  <w:vAlign w:val="center"/>
                </w:tcPr>
                <w:p w14:paraId="3E4FAE89">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8800</w:t>
                  </w:r>
                </w:p>
              </w:tc>
              <w:tc>
                <w:tcPr>
                  <w:tcW w:w="569" w:type="pct"/>
                  <w:noWrap w:val="0"/>
                  <w:vAlign w:val="center"/>
                </w:tcPr>
                <w:p w14:paraId="0E567E5A">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w:t>
                  </w:r>
                </w:p>
              </w:tc>
              <w:tc>
                <w:tcPr>
                  <w:tcW w:w="511" w:type="pct"/>
                  <w:noWrap w:val="0"/>
                  <w:vAlign w:val="center"/>
                </w:tcPr>
                <w:p w14:paraId="205109D3">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5400</w:t>
                  </w:r>
                </w:p>
              </w:tc>
              <w:tc>
                <w:tcPr>
                  <w:tcW w:w="419" w:type="pct"/>
                  <w:noWrap w:val="0"/>
                  <w:vAlign w:val="center"/>
                </w:tcPr>
                <w:p w14:paraId="0B22BA67">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正常</w:t>
                  </w:r>
                </w:p>
              </w:tc>
              <w:tc>
                <w:tcPr>
                  <w:tcW w:w="574" w:type="pct"/>
                  <w:noWrap w:val="0"/>
                  <w:vAlign w:val="center"/>
                </w:tcPr>
                <w:p w14:paraId="61BD5914">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b w:val="0"/>
                      <w:bCs w:val="0"/>
                      <w:color w:val="000000"/>
                      <w:highlight w:val="none"/>
                      <w:lang w:val="en-US" w:eastAsia="zh-CN"/>
                    </w:rPr>
                    <w:t>0.00032</w:t>
                  </w:r>
                </w:p>
              </w:tc>
              <w:tc>
                <w:tcPr>
                  <w:tcW w:w="521" w:type="pct"/>
                  <w:noWrap w:val="0"/>
                  <w:vAlign w:val="center"/>
                </w:tcPr>
                <w:p w14:paraId="0F98749C">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0.00003</w:t>
                  </w:r>
                </w:p>
              </w:tc>
            </w:tr>
            <w:tr w14:paraId="51B30C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9" w:type="pct"/>
                  <w:noWrap w:val="0"/>
                  <w:vAlign w:val="center"/>
                </w:tcPr>
                <w:p w14:paraId="6914AB2B">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3</w:t>
                  </w:r>
                </w:p>
              </w:tc>
              <w:tc>
                <w:tcPr>
                  <w:tcW w:w="919" w:type="pct"/>
                  <w:noWrap w:val="0"/>
                  <w:vAlign w:val="center"/>
                </w:tcPr>
                <w:p w14:paraId="634EF84A">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新建卸渔区</w:t>
                  </w:r>
                </w:p>
              </w:tc>
              <w:tc>
                <w:tcPr>
                  <w:tcW w:w="361" w:type="pct"/>
                  <w:noWrap w:val="0"/>
                  <w:vAlign w:val="center"/>
                </w:tcPr>
                <w:p w14:paraId="17EC949E">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650</w:t>
                  </w:r>
                </w:p>
              </w:tc>
              <w:tc>
                <w:tcPr>
                  <w:tcW w:w="371" w:type="pct"/>
                  <w:noWrap w:val="0"/>
                  <w:vAlign w:val="center"/>
                </w:tcPr>
                <w:p w14:paraId="157773A8">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259</w:t>
                  </w:r>
                </w:p>
              </w:tc>
              <w:tc>
                <w:tcPr>
                  <w:tcW w:w="482" w:type="pct"/>
                  <w:noWrap w:val="0"/>
                  <w:vAlign w:val="center"/>
                </w:tcPr>
                <w:p w14:paraId="2F8DFBC0">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15139</w:t>
                  </w:r>
                </w:p>
              </w:tc>
              <w:tc>
                <w:tcPr>
                  <w:tcW w:w="569" w:type="pct"/>
                  <w:noWrap w:val="0"/>
                  <w:vAlign w:val="center"/>
                </w:tcPr>
                <w:p w14:paraId="4E48E65C">
                  <w:pPr>
                    <w:pStyle w:val="31"/>
                    <w:bidi w:val="0"/>
                    <w:ind w:firstLine="0" w:firstLineChars="0"/>
                    <w:jc w:val="center"/>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1</w:t>
                  </w:r>
                </w:p>
              </w:tc>
              <w:tc>
                <w:tcPr>
                  <w:tcW w:w="511" w:type="pct"/>
                  <w:noWrap w:val="0"/>
                  <w:vAlign w:val="center"/>
                </w:tcPr>
                <w:p w14:paraId="71B443FD">
                  <w:pPr>
                    <w:pStyle w:val="31"/>
                    <w:bidi w:val="0"/>
                    <w:ind w:firstLine="0" w:firstLineChars="0"/>
                    <w:jc w:val="center"/>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5400</w:t>
                  </w:r>
                </w:p>
              </w:tc>
              <w:tc>
                <w:tcPr>
                  <w:tcW w:w="419" w:type="pct"/>
                  <w:noWrap w:val="0"/>
                  <w:vAlign w:val="center"/>
                </w:tcPr>
                <w:p w14:paraId="4118A6BD">
                  <w:pPr>
                    <w:pStyle w:val="31"/>
                    <w:bidi w:val="0"/>
                    <w:ind w:firstLine="0" w:firstLineChars="0"/>
                    <w:jc w:val="center"/>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正常</w:t>
                  </w:r>
                </w:p>
              </w:tc>
              <w:tc>
                <w:tcPr>
                  <w:tcW w:w="574" w:type="pct"/>
                  <w:noWrap w:val="0"/>
                  <w:vAlign w:val="center"/>
                </w:tcPr>
                <w:p w14:paraId="68449B22">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b w:val="0"/>
                      <w:bCs w:val="0"/>
                      <w:color w:val="000000"/>
                      <w:highlight w:val="none"/>
                      <w:lang w:val="en-US" w:eastAsia="zh-CN"/>
                    </w:rPr>
                    <w:t>0.00056</w:t>
                  </w:r>
                </w:p>
              </w:tc>
              <w:tc>
                <w:tcPr>
                  <w:tcW w:w="521" w:type="pct"/>
                  <w:noWrap w:val="0"/>
                  <w:vAlign w:val="center"/>
                </w:tcPr>
                <w:p w14:paraId="1A3C7893">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0.00006</w:t>
                  </w:r>
                </w:p>
              </w:tc>
            </w:tr>
            <w:tr w14:paraId="427072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9" w:type="pct"/>
                  <w:noWrap w:val="0"/>
                  <w:vAlign w:val="center"/>
                </w:tcPr>
                <w:p w14:paraId="79E7E63E">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4</w:t>
                  </w:r>
                </w:p>
              </w:tc>
              <w:tc>
                <w:tcPr>
                  <w:tcW w:w="919" w:type="pct"/>
                  <w:noWrap w:val="0"/>
                  <w:vAlign w:val="center"/>
                </w:tcPr>
                <w:p w14:paraId="65F8B82C">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新建污水处理站</w:t>
                  </w:r>
                </w:p>
              </w:tc>
              <w:tc>
                <w:tcPr>
                  <w:tcW w:w="361" w:type="pct"/>
                  <w:noWrap w:val="0"/>
                  <w:vAlign w:val="center"/>
                </w:tcPr>
                <w:p w14:paraId="5BEB1D6A">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555</w:t>
                  </w:r>
                </w:p>
              </w:tc>
              <w:tc>
                <w:tcPr>
                  <w:tcW w:w="371" w:type="pct"/>
                  <w:noWrap w:val="0"/>
                  <w:vAlign w:val="center"/>
                </w:tcPr>
                <w:p w14:paraId="7003AB8C">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443</w:t>
                  </w:r>
                </w:p>
              </w:tc>
              <w:tc>
                <w:tcPr>
                  <w:tcW w:w="482" w:type="pct"/>
                  <w:noWrap w:val="0"/>
                  <w:vAlign w:val="center"/>
                </w:tcPr>
                <w:p w14:paraId="4F6173A1">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1200</w:t>
                  </w:r>
                </w:p>
              </w:tc>
              <w:tc>
                <w:tcPr>
                  <w:tcW w:w="569" w:type="pct"/>
                  <w:noWrap w:val="0"/>
                  <w:vAlign w:val="center"/>
                </w:tcPr>
                <w:p w14:paraId="7BAA19F1">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w:t>
                  </w:r>
                </w:p>
              </w:tc>
              <w:tc>
                <w:tcPr>
                  <w:tcW w:w="511" w:type="pct"/>
                  <w:noWrap w:val="0"/>
                  <w:vAlign w:val="center"/>
                </w:tcPr>
                <w:p w14:paraId="22B0D30E">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8760</w:t>
                  </w:r>
                </w:p>
              </w:tc>
              <w:tc>
                <w:tcPr>
                  <w:tcW w:w="419" w:type="pct"/>
                  <w:noWrap w:val="0"/>
                  <w:vAlign w:val="center"/>
                </w:tcPr>
                <w:p w14:paraId="1C067ECF">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正常</w:t>
                  </w:r>
                </w:p>
              </w:tc>
              <w:tc>
                <w:tcPr>
                  <w:tcW w:w="574" w:type="pct"/>
                  <w:noWrap w:val="0"/>
                  <w:vAlign w:val="center"/>
                </w:tcPr>
                <w:p w14:paraId="6C7667C1">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0.00107</w:t>
                  </w:r>
                </w:p>
              </w:tc>
              <w:tc>
                <w:tcPr>
                  <w:tcW w:w="521" w:type="pct"/>
                  <w:noWrap w:val="0"/>
                  <w:vAlign w:val="center"/>
                </w:tcPr>
                <w:p w14:paraId="0728B7F0">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0.00004</w:t>
                  </w:r>
                </w:p>
              </w:tc>
            </w:tr>
          </w:tbl>
          <w:p w14:paraId="45D5C01E">
            <w:pPr>
              <w:ind w:firstLine="480" w:firstLineChars="20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②估算模型计算结果</w:t>
            </w:r>
          </w:p>
          <w:p w14:paraId="65FC70E2">
            <w:pPr>
              <w:bidi w:val="0"/>
              <w:ind w:firstLine="480" w:firstLineChars="20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项目无组织排放预测结果见</w:t>
            </w:r>
            <w:r>
              <w:rPr>
                <w:rFonts w:hint="default" w:ascii="Times New Roman" w:hAnsi="Times New Roman" w:cs="Times New Roman"/>
                <w:b w:val="0"/>
                <w:bCs w:val="0"/>
                <w:color w:val="000000"/>
                <w:highlight w:val="none"/>
                <w:lang w:val="en-US" w:eastAsia="zh-CN"/>
              </w:rPr>
              <w:fldChar w:fldCharType="begin"/>
            </w:r>
            <w:r>
              <w:rPr>
                <w:rFonts w:hint="default" w:ascii="Times New Roman" w:hAnsi="Times New Roman" w:cs="Times New Roman"/>
                <w:b w:val="0"/>
                <w:bCs w:val="0"/>
                <w:color w:val="000000"/>
                <w:highlight w:val="none"/>
                <w:lang w:val="en-US" w:eastAsia="zh-CN"/>
              </w:rPr>
              <w:instrText xml:space="preserve"> REF _Ref4312 \h </w:instrText>
            </w:r>
            <w:r>
              <w:rPr>
                <w:rFonts w:hint="default" w:ascii="Times New Roman" w:hAnsi="Times New Roman" w:cs="Times New Roman"/>
                <w:b w:val="0"/>
                <w:bCs w:val="0"/>
                <w:color w:val="000000"/>
                <w:highlight w:val="none"/>
                <w:lang w:val="en-US" w:eastAsia="zh-CN"/>
              </w:rPr>
              <w:fldChar w:fldCharType="separate"/>
            </w:r>
            <w:r>
              <w:rPr>
                <w:rFonts w:hint="default" w:ascii="Times New Roman" w:hAnsi="Times New Roman" w:eastAsia="宋体" w:cs="Times New Roman"/>
                <w:b w:val="0"/>
                <w:bCs w:val="0"/>
                <w:color w:val="000000"/>
                <w:kern w:val="2"/>
                <w:sz w:val="24"/>
                <w:szCs w:val="24"/>
                <w:highlight w:val="none"/>
                <w:lang w:val="en-US" w:eastAsia="zh-CN" w:bidi="ar-SA"/>
              </w:rPr>
              <w:t>表</w:t>
            </w:r>
            <w:r>
              <w:rPr>
                <w:rFonts w:hint="default" w:ascii="Times New Roman" w:hAnsi="Times New Roman" w:eastAsia="宋体" w:cs="Times New Roman"/>
                <w:b w:val="0"/>
                <w:bCs w:val="0"/>
                <w:color w:val="000000"/>
                <w:kern w:val="2"/>
                <w:sz w:val="24"/>
                <w:szCs w:val="24"/>
                <w:highlight w:val="none"/>
                <w:lang w:val="en-US" w:eastAsia="zh-CN" w:bidi="ar-SA"/>
              </w:rPr>
              <w:fldChar w:fldCharType="begin"/>
            </w:r>
            <w:r>
              <w:rPr>
                <w:rFonts w:hint="default" w:ascii="Times New Roman" w:hAnsi="Times New Roman" w:eastAsia="宋体" w:cs="Times New Roman"/>
                <w:b w:val="0"/>
                <w:bCs w:val="0"/>
                <w:color w:val="000000"/>
                <w:kern w:val="2"/>
                <w:sz w:val="24"/>
                <w:szCs w:val="24"/>
                <w:highlight w:val="none"/>
                <w:lang w:val="en-US" w:eastAsia="zh-CN" w:bidi="ar-SA"/>
              </w:rPr>
              <w:instrText xml:space="preserve"> STYLEREF 2 \s </w:instrText>
            </w:r>
            <w:r>
              <w:rPr>
                <w:rFonts w:hint="default" w:ascii="Times New Roman" w:hAnsi="Times New Roman" w:eastAsia="宋体" w:cs="Times New Roman"/>
                <w:b w:val="0"/>
                <w:bCs w:val="0"/>
                <w:color w:val="000000"/>
                <w:kern w:val="2"/>
                <w:sz w:val="24"/>
                <w:szCs w:val="24"/>
                <w:highlight w:val="none"/>
                <w:lang w:val="en-US" w:eastAsia="zh-CN" w:bidi="ar-SA"/>
              </w:rPr>
              <w:fldChar w:fldCharType="separate"/>
            </w:r>
            <w:r>
              <w:rPr>
                <w:rFonts w:hint="default" w:ascii="Times New Roman" w:hAnsi="Times New Roman" w:eastAsia="宋体" w:cs="Times New Roman"/>
                <w:b w:val="0"/>
                <w:bCs w:val="0"/>
                <w:color w:val="000000"/>
                <w:kern w:val="2"/>
                <w:sz w:val="24"/>
                <w:szCs w:val="24"/>
                <w:highlight w:val="none"/>
                <w:lang w:val="en-US" w:eastAsia="zh-CN" w:bidi="ar-SA"/>
              </w:rPr>
              <w:t>4.6</w:t>
            </w:r>
            <w:r>
              <w:rPr>
                <w:rFonts w:hint="default" w:ascii="Times New Roman" w:hAnsi="Times New Roman" w:eastAsia="宋体" w:cs="Times New Roman"/>
                <w:b w:val="0"/>
                <w:bCs w:val="0"/>
                <w:color w:val="000000"/>
                <w:kern w:val="2"/>
                <w:sz w:val="24"/>
                <w:szCs w:val="24"/>
                <w:highlight w:val="none"/>
                <w:lang w:val="en-US" w:eastAsia="zh-CN" w:bidi="ar-SA"/>
              </w:rPr>
              <w:fldChar w:fldCharType="end"/>
            </w:r>
            <w:r>
              <w:rPr>
                <w:rFonts w:hint="default" w:ascii="Times New Roman" w:hAnsi="Times New Roman" w:eastAsia="宋体" w:cs="Times New Roman"/>
                <w:b w:val="0"/>
                <w:bCs w:val="0"/>
                <w:color w:val="000000"/>
                <w:kern w:val="2"/>
                <w:sz w:val="24"/>
                <w:szCs w:val="24"/>
                <w:highlight w:val="none"/>
                <w:lang w:val="en-US" w:eastAsia="zh-CN" w:bidi="ar-SA"/>
              </w:rPr>
              <w:t>-2</w:t>
            </w:r>
            <w:r>
              <w:rPr>
                <w:rFonts w:hint="default" w:ascii="Times New Roman" w:hAnsi="Times New Roman" w:cs="Times New Roman"/>
                <w:b w:val="0"/>
                <w:bCs w:val="0"/>
                <w:color w:val="000000"/>
                <w:highlight w:val="none"/>
                <w:lang w:val="en-US" w:eastAsia="zh-CN"/>
              </w:rPr>
              <w:fldChar w:fldCharType="end"/>
            </w:r>
            <w:r>
              <w:rPr>
                <w:rFonts w:hint="default" w:ascii="Times New Roman" w:hAnsi="Times New Roman" w:cs="Times New Roman"/>
                <w:b w:val="0"/>
                <w:bCs w:val="0"/>
                <w:color w:val="000000"/>
                <w:highlight w:val="none"/>
                <w:lang w:val="en-US" w:eastAsia="zh-CN"/>
              </w:rPr>
              <w:t>。</w:t>
            </w:r>
          </w:p>
          <w:p w14:paraId="5307C59F">
            <w:pPr>
              <w:widowControl w:val="0"/>
              <w:spacing w:line="240" w:lineRule="auto"/>
              <w:ind w:firstLine="0" w:firstLineChars="0"/>
              <w:jc w:val="center"/>
              <w:rPr>
                <w:rFonts w:hint="default" w:ascii="Times New Roman" w:hAnsi="Times New Roman" w:eastAsia="宋体" w:cs="Times New Roman"/>
                <w:b/>
                <w:color w:val="000000"/>
                <w:kern w:val="2"/>
                <w:sz w:val="24"/>
                <w:szCs w:val="24"/>
                <w:highlight w:val="none"/>
                <w:lang w:val="en-US" w:eastAsia="zh-CN" w:bidi="ar-SA"/>
              </w:rPr>
            </w:pPr>
            <w:bookmarkStart w:id="394" w:name="_Ref4312"/>
            <w:r>
              <w:rPr>
                <w:rFonts w:hint="default" w:ascii="Times New Roman" w:hAnsi="Times New Roman" w:eastAsia="宋体" w:cs="Times New Roman"/>
                <w:b/>
                <w:color w:val="000000"/>
                <w:kern w:val="2"/>
                <w:sz w:val="24"/>
                <w:szCs w:val="24"/>
                <w:highlight w:val="none"/>
                <w:lang w:val="en-US" w:eastAsia="zh-CN" w:bidi="ar-SA"/>
              </w:rPr>
              <w:t>表</w:t>
            </w:r>
            <w:r>
              <w:rPr>
                <w:rFonts w:hint="default" w:ascii="Times New Roman" w:hAnsi="Times New Roman" w:eastAsia="宋体" w:cs="Times New Roman"/>
                <w:b/>
                <w:color w:val="000000"/>
                <w:kern w:val="2"/>
                <w:sz w:val="24"/>
                <w:szCs w:val="24"/>
                <w:highlight w:val="none"/>
                <w:lang w:val="en-US" w:eastAsia="zh-CN" w:bidi="ar-SA"/>
              </w:rPr>
              <w:fldChar w:fldCharType="begin"/>
            </w:r>
            <w:r>
              <w:rPr>
                <w:rFonts w:hint="default" w:ascii="Times New Roman" w:hAnsi="Times New Roman" w:eastAsia="宋体" w:cs="Times New Roman"/>
                <w:b/>
                <w:color w:val="000000"/>
                <w:kern w:val="2"/>
                <w:sz w:val="24"/>
                <w:szCs w:val="24"/>
                <w:highlight w:val="none"/>
                <w:lang w:val="en-US" w:eastAsia="zh-CN" w:bidi="ar-SA"/>
              </w:rPr>
              <w:instrText xml:space="preserve"> STYLEREF 2 \s </w:instrText>
            </w:r>
            <w:r>
              <w:rPr>
                <w:rFonts w:hint="default" w:ascii="Times New Roman" w:hAnsi="Times New Roman" w:eastAsia="宋体" w:cs="Times New Roman"/>
                <w:b/>
                <w:color w:val="000000"/>
                <w:kern w:val="2"/>
                <w:sz w:val="24"/>
                <w:szCs w:val="24"/>
                <w:highlight w:val="none"/>
                <w:lang w:val="en-US" w:eastAsia="zh-CN" w:bidi="ar-SA"/>
              </w:rPr>
              <w:fldChar w:fldCharType="separate"/>
            </w:r>
            <w:r>
              <w:rPr>
                <w:rFonts w:hint="default" w:ascii="Times New Roman" w:hAnsi="Times New Roman" w:eastAsia="宋体" w:cs="Times New Roman"/>
                <w:b/>
                <w:color w:val="000000"/>
                <w:kern w:val="2"/>
                <w:sz w:val="24"/>
                <w:szCs w:val="24"/>
                <w:highlight w:val="none"/>
                <w:lang w:val="en-US" w:eastAsia="zh-CN" w:bidi="ar-SA"/>
              </w:rPr>
              <w:t>4.6</w:t>
            </w:r>
            <w:r>
              <w:rPr>
                <w:rFonts w:hint="default" w:ascii="Times New Roman" w:hAnsi="Times New Roman" w:eastAsia="宋体" w:cs="Times New Roman"/>
                <w:b/>
                <w:color w:val="000000"/>
                <w:kern w:val="2"/>
                <w:sz w:val="24"/>
                <w:szCs w:val="24"/>
                <w:highlight w:val="none"/>
                <w:lang w:val="en-US" w:eastAsia="zh-CN" w:bidi="ar-SA"/>
              </w:rPr>
              <w:fldChar w:fldCharType="end"/>
            </w:r>
            <w:r>
              <w:rPr>
                <w:rFonts w:hint="default" w:ascii="Times New Roman" w:hAnsi="Times New Roman" w:eastAsia="宋体" w:cs="Times New Roman"/>
                <w:b/>
                <w:color w:val="000000"/>
                <w:kern w:val="2"/>
                <w:sz w:val="24"/>
                <w:szCs w:val="24"/>
                <w:highlight w:val="none"/>
                <w:lang w:val="en-US" w:eastAsia="zh-CN" w:bidi="ar-SA"/>
              </w:rPr>
              <w:t>-</w:t>
            </w:r>
            <w:r>
              <w:rPr>
                <w:rFonts w:hint="default" w:ascii="Times New Roman" w:hAnsi="Times New Roman" w:eastAsia="宋体" w:cs="Times New Roman"/>
                <w:b/>
                <w:color w:val="000000"/>
                <w:kern w:val="2"/>
                <w:sz w:val="24"/>
                <w:szCs w:val="24"/>
                <w:highlight w:val="none"/>
                <w:lang w:val="en-US" w:eastAsia="zh-CN" w:bidi="ar-SA"/>
              </w:rPr>
              <w:fldChar w:fldCharType="begin"/>
            </w:r>
            <w:r>
              <w:rPr>
                <w:rFonts w:hint="default" w:ascii="Times New Roman" w:hAnsi="Times New Roman" w:eastAsia="宋体" w:cs="Times New Roman"/>
                <w:b/>
                <w:color w:val="000000"/>
                <w:kern w:val="2"/>
                <w:sz w:val="24"/>
                <w:szCs w:val="24"/>
                <w:highlight w:val="none"/>
                <w:lang w:val="en-US" w:eastAsia="zh-CN" w:bidi="ar-SA"/>
              </w:rPr>
              <w:instrText xml:space="preserve"> SEQ 表 \* ARABIC \s 2 </w:instrText>
            </w:r>
            <w:r>
              <w:rPr>
                <w:rFonts w:hint="default" w:ascii="Times New Roman" w:hAnsi="Times New Roman" w:eastAsia="宋体" w:cs="Times New Roman"/>
                <w:b/>
                <w:color w:val="000000"/>
                <w:kern w:val="2"/>
                <w:sz w:val="24"/>
                <w:szCs w:val="24"/>
                <w:highlight w:val="none"/>
                <w:lang w:val="en-US" w:eastAsia="zh-CN" w:bidi="ar-SA"/>
              </w:rPr>
              <w:fldChar w:fldCharType="separate"/>
            </w:r>
            <w:r>
              <w:rPr>
                <w:rFonts w:hint="default" w:ascii="Times New Roman" w:hAnsi="Times New Roman" w:eastAsia="宋体" w:cs="Times New Roman"/>
                <w:b/>
                <w:color w:val="000000"/>
                <w:kern w:val="2"/>
                <w:sz w:val="24"/>
                <w:szCs w:val="24"/>
                <w:highlight w:val="none"/>
                <w:lang w:val="en-US" w:eastAsia="zh-CN" w:bidi="ar-SA"/>
              </w:rPr>
              <w:t>2</w:t>
            </w:r>
            <w:r>
              <w:rPr>
                <w:rFonts w:hint="default" w:ascii="Times New Roman" w:hAnsi="Times New Roman" w:eastAsia="宋体" w:cs="Times New Roman"/>
                <w:b/>
                <w:color w:val="000000"/>
                <w:kern w:val="2"/>
                <w:sz w:val="24"/>
                <w:szCs w:val="24"/>
                <w:highlight w:val="none"/>
                <w:lang w:val="en-US" w:eastAsia="zh-CN" w:bidi="ar-SA"/>
              </w:rPr>
              <w:fldChar w:fldCharType="end"/>
            </w:r>
            <w:bookmarkEnd w:id="394"/>
            <w:r>
              <w:rPr>
                <w:rFonts w:hint="default" w:ascii="Times New Roman" w:hAnsi="Times New Roman" w:cs="Times New Roman"/>
                <w:b/>
                <w:color w:val="000000"/>
                <w:kern w:val="2"/>
                <w:sz w:val="24"/>
                <w:szCs w:val="24"/>
                <w:highlight w:val="none"/>
                <w:lang w:val="en-US" w:eastAsia="zh-CN" w:bidi="ar-SA"/>
              </w:rPr>
              <w:t xml:space="preserve"> 无组织排放估算模式预测结果一览表</w:t>
            </w:r>
          </w:p>
          <w:tbl>
            <w:tblPr>
              <w:tblStyle w:val="22"/>
              <w:tblW w:w="825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20"/>
              <w:gridCol w:w="1039"/>
              <w:gridCol w:w="1179"/>
              <w:gridCol w:w="1179"/>
              <w:gridCol w:w="1179"/>
              <w:gridCol w:w="1180"/>
              <w:gridCol w:w="1180"/>
            </w:tblGrid>
            <w:tr w14:paraId="63844E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1320" w:type="dxa"/>
                  <w:noWrap w:val="0"/>
                  <w:vAlign w:val="center"/>
                </w:tcPr>
                <w:p w14:paraId="517788FC">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无组织排放源</w:t>
                  </w:r>
                </w:p>
              </w:tc>
              <w:tc>
                <w:tcPr>
                  <w:tcW w:w="1039" w:type="dxa"/>
                  <w:noWrap w:val="0"/>
                  <w:vAlign w:val="center"/>
                </w:tcPr>
                <w:p w14:paraId="3C55F160">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预测因子</w:t>
                  </w:r>
                </w:p>
              </w:tc>
              <w:tc>
                <w:tcPr>
                  <w:tcW w:w="1179" w:type="dxa"/>
                  <w:noWrap w:val="0"/>
                  <w:vAlign w:val="center"/>
                </w:tcPr>
                <w:p w14:paraId="76F2D09F">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最大落地浓度离源距离（m）</w:t>
                  </w:r>
                </w:p>
              </w:tc>
              <w:tc>
                <w:tcPr>
                  <w:tcW w:w="1179" w:type="dxa"/>
                  <w:noWrap w:val="0"/>
                  <w:vAlign w:val="center"/>
                </w:tcPr>
                <w:p w14:paraId="6D1B7B70">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最大落地浓度（mg/m</w:t>
                  </w:r>
                  <w:r>
                    <w:rPr>
                      <w:rFonts w:hint="default" w:ascii="Times New Roman" w:hAnsi="Times New Roman" w:cs="Times New Roman"/>
                      <w:b/>
                      <w:bCs/>
                      <w:color w:val="000000"/>
                      <w:highlight w:val="none"/>
                      <w:vertAlign w:val="superscript"/>
                      <w:lang w:val="en-US" w:eastAsia="zh-CN"/>
                    </w:rPr>
                    <w:t>3</w:t>
                  </w:r>
                  <w:r>
                    <w:rPr>
                      <w:rFonts w:hint="default" w:ascii="Times New Roman" w:hAnsi="Times New Roman" w:cs="Times New Roman"/>
                      <w:b/>
                      <w:bCs/>
                      <w:color w:val="000000"/>
                      <w:highlight w:val="none"/>
                      <w:lang w:val="en-US" w:eastAsia="zh-CN"/>
                    </w:rPr>
                    <w:t>）</w:t>
                  </w:r>
                </w:p>
              </w:tc>
              <w:tc>
                <w:tcPr>
                  <w:tcW w:w="1179" w:type="dxa"/>
                  <w:noWrap w:val="0"/>
                  <w:vAlign w:val="center"/>
                </w:tcPr>
                <w:p w14:paraId="68A1850B">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最大占标率（%）</w:t>
                  </w:r>
                </w:p>
              </w:tc>
              <w:tc>
                <w:tcPr>
                  <w:tcW w:w="1180" w:type="dxa"/>
                  <w:noWrap w:val="0"/>
                  <w:vAlign w:val="center"/>
                </w:tcPr>
                <w:p w14:paraId="7036243F">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质量标准（mg/m</w:t>
                  </w:r>
                  <w:r>
                    <w:rPr>
                      <w:rFonts w:hint="default" w:ascii="Times New Roman" w:hAnsi="Times New Roman" w:cs="Times New Roman"/>
                      <w:b/>
                      <w:bCs/>
                      <w:color w:val="000000"/>
                      <w:highlight w:val="none"/>
                      <w:vertAlign w:val="superscript"/>
                      <w:lang w:val="en-US" w:eastAsia="zh-CN"/>
                    </w:rPr>
                    <w:t>3</w:t>
                  </w:r>
                  <w:r>
                    <w:rPr>
                      <w:rFonts w:hint="default" w:ascii="Times New Roman" w:hAnsi="Times New Roman" w:cs="Times New Roman"/>
                      <w:b/>
                      <w:bCs/>
                      <w:color w:val="000000"/>
                      <w:highlight w:val="none"/>
                      <w:lang w:val="en-US" w:eastAsia="zh-CN"/>
                    </w:rPr>
                    <w:t>）</w:t>
                  </w:r>
                </w:p>
              </w:tc>
              <w:tc>
                <w:tcPr>
                  <w:tcW w:w="1180" w:type="dxa"/>
                  <w:noWrap w:val="0"/>
                  <w:vAlign w:val="center"/>
                </w:tcPr>
                <w:p w14:paraId="224605C0">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D10%（m）</w:t>
                  </w:r>
                </w:p>
              </w:tc>
            </w:tr>
            <w:tr w14:paraId="2E83BF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20" w:type="dxa"/>
                  <w:vMerge w:val="restart"/>
                  <w:noWrap w:val="0"/>
                  <w:vAlign w:val="center"/>
                </w:tcPr>
                <w:p w14:paraId="7393D5AA">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现有二级渔港码头卸渔区</w:t>
                  </w:r>
                </w:p>
              </w:tc>
              <w:tc>
                <w:tcPr>
                  <w:tcW w:w="1039" w:type="dxa"/>
                  <w:noWrap w:val="0"/>
                  <w:vAlign w:val="center"/>
                </w:tcPr>
                <w:p w14:paraId="24F240FF">
                  <w:pPr>
                    <w:pStyle w:val="31"/>
                    <w:bidi w:val="0"/>
                    <w:jc w:val="center"/>
                    <w:rPr>
                      <w:rFonts w:hint="default" w:ascii="Times New Roman" w:hAnsi="Times New Roman" w:cs="Times New Roman"/>
                      <w:b w:val="0"/>
                      <w:bCs w:val="0"/>
                      <w:color w:val="000000"/>
                      <w:highlight w:val="none"/>
                      <w:lang w:eastAsia="zh-CN"/>
                    </w:rPr>
                  </w:pPr>
                  <w:r>
                    <w:rPr>
                      <w:rFonts w:hint="default" w:ascii="Times New Roman" w:hAnsi="Times New Roman" w:cs="Times New Roman"/>
                      <w:b w:val="0"/>
                      <w:bCs w:val="0"/>
                      <w:color w:val="000000"/>
                      <w:highlight w:val="none"/>
                      <w:lang w:val="en-US" w:eastAsia="zh-CN"/>
                    </w:rPr>
                    <w:t>NH</w:t>
                  </w:r>
                  <w:r>
                    <w:rPr>
                      <w:rFonts w:hint="default" w:ascii="Times New Roman" w:hAnsi="Times New Roman" w:cs="Times New Roman"/>
                      <w:b w:val="0"/>
                      <w:bCs w:val="0"/>
                      <w:color w:val="000000"/>
                      <w:highlight w:val="none"/>
                      <w:vertAlign w:val="subscript"/>
                      <w:lang w:val="en-US" w:eastAsia="zh-CN"/>
                    </w:rPr>
                    <w:t>3</w:t>
                  </w:r>
                </w:p>
              </w:tc>
              <w:tc>
                <w:tcPr>
                  <w:tcW w:w="1179" w:type="dxa"/>
                  <w:vMerge w:val="restart"/>
                  <w:noWrap w:val="0"/>
                  <w:vAlign w:val="center"/>
                </w:tcPr>
                <w:p w14:paraId="4D928309">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94</w:t>
                  </w:r>
                </w:p>
              </w:tc>
              <w:tc>
                <w:tcPr>
                  <w:tcW w:w="1179" w:type="dxa"/>
                  <w:noWrap w:val="0"/>
                  <w:vAlign w:val="center"/>
                </w:tcPr>
                <w:p w14:paraId="75A7E0A8">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0.00609</w:t>
                  </w:r>
                </w:p>
              </w:tc>
              <w:tc>
                <w:tcPr>
                  <w:tcW w:w="1179" w:type="dxa"/>
                  <w:noWrap w:val="0"/>
                  <w:vAlign w:val="center"/>
                </w:tcPr>
                <w:p w14:paraId="134DF63C">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3.05</w:t>
                  </w:r>
                </w:p>
              </w:tc>
              <w:tc>
                <w:tcPr>
                  <w:tcW w:w="1180" w:type="dxa"/>
                  <w:noWrap w:val="0"/>
                  <w:vAlign w:val="center"/>
                </w:tcPr>
                <w:p w14:paraId="195B7EA6">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0.2</w:t>
                  </w:r>
                </w:p>
              </w:tc>
              <w:tc>
                <w:tcPr>
                  <w:tcW w:w="1180" w:type="dxa"/>
                  <w:noWrap w:val="0"/>
                  <w:vAlign w:val="center"/>
                </w:tcPr>
                <w:p w14:paraId="26D6D575">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w:t>
                  </w:r>
                </w:p>
              </w:tc>
            </w:tr>
            <w:tr w14:paraId="5CAA5A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20" w:type="dxa"/>
                  <w:vMerge w:val="continue"/>
                  <w:noWrap w:val="0"/>
                  <w:vAlign w:val="center"/>
                </w:tcPr>
                <w:p w14:paraId="5A88F13B">
                  <w:pPr>
                    <w:pStyle w:val="31"/>
                    <w:bidi w:val="0"/>
                    <w:ind w:firstLine="0" w:firstLineChars="0"/>
                    <w:jc w:val="center"/>
                    <w:rPr>
                      <w:rFonts w:hint="default" w:ascii="Times New Roman" w:hAnsi="Times New Roman" w:cs="Times New Roman"/>
                      <w:color w:val="000000"/>
                      <w:highlight w:val="none"/>
                      <w:lang w:val="en-US" w:eastAsia="zh-CN"/>
                    </w:rPr>
                  </w:pPr>
                </w:p>
              </w:tc>
              <w:tc>
                <w:tcPr>
                  <w:tcW w:w="1039" w:type="dxa"/>
                  <w:noWrap w:val="0"/>
                  <w:vAlign w:val="center"/>
                </w:tcPr>
                <w:p w14:paraId="51EBE30E">
                  <w:pPr>
                    <w:pStyle w:val="31"/>
                    <w:bidi w:val="0"/>
                    <w:jc w:val="center"/>
                    <w:rPr>
                      <w:rFonts w:hint="default" w:ascii="Times New Roman" w:hAnsi="Times New Roman" w:cs="Times New Roman"/>
                      <w:b w:val="0"/>
                      <w:bCs w:val="0"/>
                      <w:color w:val="000000"/>
                      <w:highlight w:val="none"/>
                      <w:lang w:eastAsia="zh-CN"/>
                    </w:rPr>
                  </w:pPr>
                  <w:r>
                    <w:rPr>
                      <w:rFonts w:hint="default" w:ascii="Times New Roman" w:hAnsi="Times New Roman" w:cs="Times New Roman"/>
                      <w:b w:val="0"/>
                      <w:bCs w:val="0"/>
                      <w:color w:val="000000"/>
                      <w:highlight w:val="none"/>
                      <w:lang w:val="en-US" w:eastAsia="zh-CN"/>
                    </w:rPr>
                    <w:t>H</w:t>
                  </w:r>
                  <w:r>
                    <w:rPr>
                      <w:rFonts w:hint="default" w:ascii="Times New Roman" w:hAnsi="Times New Roman" w:cs="Times New Roman"/>
                      <w:b w:val="0"/>
                      <w:bCs w:val="0"/>
                      <w:color w:val="000000"/>
                      <w:highlight w:val="none"/>
                      <w:vertAlign w:val="subscript"/>
                      <w:lang w:val="en-US" w:eastAsia="zh-CN"/>
                    </w:rPr>
                    <w:t>2</w:t>
                  </w:r>
                  <w:r>
                    <w:rPr>
                      <w:rFonts w:hint="default" w:ascii="Times New Roman" w:hAnsi="Times New Roman" w:cs="Times New Roman"/>
                      <w:b w:val="0"/>
                      <w:bCs w:val="0"/>
                      <w:color w:val="000000"/>
                      <w:highlight w:val="none"/>
                      <w:lang w:val="en-US" w:eastAsia="zh-CN"/>
                    </w:rPr>
                    <w:t>S</w:t>
                  </w:r>
                </w:p>
              </w:tc>
              <w:tc>
                <w:tcPr>
                  <w:tcW w:w="1179" w:type="dxa"/>
                  <w:vMerge w:val="continue"/>
                  <w:noWrap w:val="0"/>
                  <w:vAlign w:val="center"/>
                </w:tcPr>
                <w:p w14:paraId="55B5DF60">
                  <w:pPr>
                    <w:pStyle w:val="31"/>
                    <w:bidi w:val="0"/>
                    <w:jc w:val="center"/>
                    <w:rPr>
                      <w:rFonts w:hint="default" w:ascii="Times New Roman" w:hAnsi="Times New Roman" w:cs="Times New Roman"/>
                      <w:color w:val="000000"/>
                      <w:highlight w:val="none"/>
                      <w:lang w:eastAsia="zh-CN"/>
                    </w:rPr>
                  </w:pPr>
                </w:p>
              </w:tc>
              <w:tc>
                <w:tcPr>
                  <w:tcW w:w="1179" w:type="dxa"/>
                  <w:noWrap w:val="0"/>
                  <w:vAlign w:val="center"/>
                </w:tcPr>
                <w:p w14:paraId="7022B298">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0.000592</w:t>
                  </w:r>
                </w:p>
              </w:tc>
              <w:tc>
                <w:tcPr>
                  <w:tcW w:w="1179" w:type="dxa"/>
                  <w:noWrap w:val="0"/>
                  <w:vAlign w:val="center"/>
                </w:tcPr>
                <w:p w14:paraId="4F7F805B">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5.92</w:t>
                  </w:r>
                </w:p>
              </w:tc>
              <w:tc>
                <w:tcPr>
                  <w:tcW w:w="1180" w:type="dxa"/>
                  <w:noWrap w:val="0"/>
                  <w:vAlign w:val="center"/>
                </w:tcPr>
                <w:p w14:paraId="40C2E59F">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0.01</w:t>
                  </w:r>
                </w:p>
              </w:tc>
              <w:tc>
                <w:tcPr>
                  <w:tcW w:w="1180" w:type="dxa"/>
                  <w:noWrap w:val="0"/>
                  <w:vAlign w:val="center"/>
                </w:tcPr>
                <w:p w14:paraId="5B3A8B52">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w:t>
                  </w:r>
                </w:p>
              </w:tc>
            </w:tr>
            <w:tr w14:paraId="4D239A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20" w:type="dxa"/>
                  <w:vMerge w:val="restart"/>
                  <w:noWrap w:val="0"/>
                  <w:vAlign w:val="center"/>
                </w:tcPr>
                <w:p w14:paraId="22ACEC26">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新建码头</w:t>
                  </w:r>
                </w:p>
              </w:tc>
              <w:tc>
                <w:tcPr>
                  <w:tcW w:w="1039" w:type="dxa"/>
                  <w:noWrap w:val="0"/>
                  <w:vAlign w:val="center"/>
                </w:tcPr>
                <w:p w14:paraId="6F7C1D24">
                  <w:pPr>
                    <w:pStyle w:val="31"/>
                    <w:bidi w:val="0"/>
                    <w:jc w:val="center"/>
                    <w:rPr>
                      <w:rFonts w:hint="default" w:ascii="Times New Roman" w:hAnsi="Times New Roman" w:cs="Times New Roman"/>
                      <w:b w:val="0"/>
                      <w:bCs w:val="0"/>
                      <w:color w:val="000000"/>
                      <w:highlight w:val="none"/>
                      <w:lang w:val="en-US" w:eastAsia="zh-CN"/>
                    </w:rPr>
                  </w:pPr>
                  <w:r>
                    <w:rPr>
                      <w:rFonts w:hint="default" w:ascii="Times New Roman" w:hAnsi="Times New Roman" w:cs="Times New Roman"/>
                      <w:b w:val="0"/>
                      <w:bCs w:val="0"/>
                      <w:color w:val="000000"/>
                      <w:highlight w:val="none"/>
                      <w:lang w:val="en-US" w:eastAsia="zh-CN"/>
                    </w:rPr>
                    <w:t>NH</w:t>
                  </w:r>
                  <w:r>
                    <w:rPr>
                      <w:rFonts w:hint="default" w:ascii="Times New Roman" w:hAnsi="Times New Roman" w:cs="Times New Roman"/>
                      <w:b w:val="0"/>
                      <w:bCs w:val="0"/>
                      <w:color w:val="000000"/>
                      <w:highlight w:val="none"/>
                      <w:vertAlign w:val="subscript"/>
                      <w:lang w:val="en-US" w:eastAsia="zh-CN"/>
                    </w:rPr>
                    <w:t>3</w:t>
                  </w:r>
                </w:p>
              </w:tc>
              <w:tc>
                <w:tcPr>
                  <w:tcW w:w="1179" w:type="dxa"/>
                  <w:vMerge w:val="restart"/>
                  <w:noWrap w:val="0"/>
                  <w:vAlign w:val="center"/>
                </w:tcPr>
                <w:p w14:paraId="4DEE03E2">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125</w:t>
                  </w:r>
                </w:p>
              </w:tc>
              <w:tc>
                <w:tcPr>
                  <w:tcW w:w="1179" w:type="dxa"/>
                  <w:noWrap w:val="0"/>
                  <w:vAlign w:val="center"/>
                </w:tcPr>
                <w:p w14:paraId="4AF71D90">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0.00260</w:t>
                  </w:r>
                </w:p>
              </w:tc>
              <w:tc>
                <w:tcPr>
                  <w:tcW w:w="1179" w:type="dxa"/>
                  <w:noWrap w:val="0"/>
                  <w:vAlign w:val="center"/>
                </w:tcPr>
                <w:p w14:paraId="7714A154">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1.30</w:t>
                  </w:r>
                </w:p>
              </w:tc>
              <w:tc>
                <w:tcPr>
                  <w:tcW w:w="1180" w:type="dxa"/>
                  <w:noWrap w:val="0"/>
                  <w:vAlign w:val="center"/>
                </w:tcPr>
                <w:p w14:paraId="3E31214A">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0.2</w:t>
                  </w:r>
                </w:p>
              </w:tc>
              <w:tc>
                <w:tcPr>
                  <w:tcW w:w="1180" w:type="dxa"/>
                  <w:noWrap w:val="0"/>
                  <w:vAlign w:val="center"/>
                </w:tcPr>
                <w:p w14:paraId="4EA84C2C">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w:t>
                  </w:r>
                </w:p>
              </w:tc>
            </w:tr>
            <w:tr w14:paraId="647F7F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20" w:type="dxa"/>
                  <w:vMerge w:val="continue"/>
                  <w:noWrap w:val="0"/>
                  <w:vAlign w:val="center"/>
                </w:tcPr>
                <w:p w14:paraId="60968F95">
                  <w:pPr>
                    <w:pStyle w:val="31"/>
                    <w:bidi w:val="0"/>
                    <w:ind w:firstLine="0" w:firstLineChars="0"/>
                    <w:jc w:val="center"/>
                    <w:rPr>
                      <w:rFonts w:hint="default" w:ascii="Times New Roman" w:hAnsi="Times New Roman" w:cs="Times New Roman"/>
                      <w:color w:val="000000"/>
                      <w:highlight w:val="none"/>
                      <w:lang w:val="en-US" w:eastAsia="zh-CN"/>
                    </w:rPr>
                  </w:pPr>
                </w:p>
              </w:tc>
              <w:tc>
                <w:tcPr>
                  <w:tcW w:w="1039" w:type="dxa"/>
                  <w:noWrap w:val="0"/>
                  <w:vAlign w:val="center"/>
                </w:tcPr>
                <w:p w14:paraId="16052D6C">
                  <w:pPr>
                    <w:pStyle w:val="31"/>
                    <w:bidi w:val="0"/>
                    <w:jc w:val="center"/>
                    <w:rPr>
                      <w:rFonts w:hint="default" w:ascii="Times New Roman" w:hAnsi="Times New Roman" w:cs="Times New Roman"/>
                      <w:b w:val="0"/>
                      <w:bCs w:val="0"/>
                      <w:color w:val="000000"/>
                      <w:highlight w:val="none"/>
                      <w:lang w:val="en-US" w:eastAsia="zh-CN"/>
                    </w:rPr>
                  </w:pPr>
                  <w:r>
                    <w:rPr>
                      <w:rFonts w:hint="default" w:ascii="Times New Roman" w:hAnsi="Times New Roman" w:cs="Times New Roman"/>
                      <w:b w:val="0"/>
                      <w:bCs w:val="0"/>
                      <w:color w:val="000000"/>
                      <w:highlight w:val="none"/>
                      <w:lang w:val="en-US" w:eastAsia="zh-CN"/>
                    </w:rPr>
                    <w:t>H</w:t>
                  </w:r>
                  <w:r>
                    <w:rPr>
                      <w:rFonts w:hint="default" w:ascii="Times New Roman" w:hAnsi="Times New Roman" w:cs="Times New Roman"/>
                      <w:b w:val="0"/>
                      <w:bCs w:val="0"/>
                      <w:color w:val="000000"/>
                      <w:highlight w:val="none"/>
                      <w:vertAlign w:val="subscript"/>
                      <w:lang w:val="en-US" w:eastAsia="zh-CN"/>
                    </w:rPr>
                    <w:t>2</w:t>
                  </w:r>
                  <w:r>
                    <w:rPr>
                      <w:rFonts w:hint="default" w:ascii="Times New Roman" w:hAnsi="Times New Roman" w:cs="Times New Roman"/>
                      <w:b w:val="0"/>
                      <w:bCs w:val="0"/>
                      <w:color w:val="000000"/>
                      <w:highlight w:val="none"/>
                      <w:lang w:val="en-US" w:eastAsia="zh-CN"/>
                    </w:rPr>
                    <w:t>S</w:t>
                  </w:r>
                </w:p>
              </w:tc>
              <w:tc>
                <w:tcPr>
                  <w:tcW w:w="1179" w:type="dxa"/>
                  <w:vMerge w:val="continue"/>
                  <w:noWrap w:val="0"/>
                  <w:vAlign w:val="center"/>
                </w:tcPr>
                <w:p w14:paraId="72DFBF09">
                  <w:pPr>
                    <w:pStyle w:val="31"/>
                    <w:bidi w:val="0"/>
                    <w:jc w:val="center"/>
                    <w:rPr>
                      <w:rFonts w:hint="default" w:ascii="Times New Roman" w:hAnsi="Times New Roman" w:cs="Times New Roman"/>
                      <w:color w:val="000000"/>
                      <w:highlight w:val="none"/>
                      <w:lang w:eastAsia="zh-CN"/>
                    </w:rPr>
                  </w:pPr>
                </w:p>
              </w:tc>
              <w:tc>
                <w:tcPr>
                  <w:tcW w:w="1179" w:type="dxa"/>
                  <w:noWrap w:val="0"/>
                  <w:vAlign w:val="center"/>
                </w:tcPr>
                <w:p w14:paraId="4CFEF84A">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0.000244</w:t>
                  </w:r>
                </w:p>
              </w:tc>
              <w:tc>
                <w:tcPr>
                  <w:tcW w:w="1179" w:type="dxa"/>
                  <w:noWrap w:val="0"/>
                  <w:vAlign w:val="center"/>
                </w:tcPr>
                <w:p w14:paraId="1BC4B1CA">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2.44</w:t>
                  </w:r>
                </w:p>
              </w:tc>
              <w:tc>
                <w:tcPr>
                  <w:tcW w:w="1180" w:type="dxa"/>
                  <w:noWrap w:val="0"/>
                  <w:vAlign w:val="center"/>
                </w:tcPr>
                <w:p w14:paraId="1FC53E59">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0.01</w:t>
                  </w:r>
                </w:p>
              </w:tc>
              <w:tc>
                <w:tcPr>
                  <w:tcW w:w="1180" w:type="dxa"/>
                  <w:noWrap w:val="0"/>
                  <w:vAlign w:val="center"/>
                </w:tcPr>
                <w:p w14:paraId="688D8F6D">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w:t>
                  </w:r>
                </w:p>
              </w:tc>
            </w:tr>
            <w:tr w14:paraId="07920F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20" w:type="dxa"/>
                  <w:vMerge w:val="restart"/>
                  <w:noWrap w:val="0"/>
                  <w:vAlign w:val="center"/>
                </w:tcPr>
                <w:p w14:paraId="27F236E9">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新建卸渔区</w:t>
                  </w:r>
                </w:p>
              </w:tc>
              <w:tc>
                <w:tcPr>
                  <w:tcW w:w="1039" w:type="dxa"/>
                  <w:noWrap w:val="0"/>
                  <w:vAlign w:val="center"/>
                </w:tcPr>
                <w:p w14:paraId="136E38A5">
                  <w:pPr>
                    <w:pStyle w:val="31"/>
                    <w:bidi w:val="0"/>
                    <w:jc w:val="center"/>
                    <w:rPr>
                      <w:rFonts w:hint="default" w:ascii="Times New Roman" w:hAnsi="Times New Roman" w:cs="Times New Roman"/>
                      <w:b w:val="0"/>
                      <w:bCs w:val="0"/>
                      <w:color w:val="000000"/>
                      <w:highlight w:val="none"/>
                      <w:lang w:val="en-US" w:eastAsia="zh-CN"/>
                    </w:rPr>
                  </w:pPr>
                  <w:r>
                    <w:rPr>
                      <w:rFonts w:hint="default" w:ascii="Times New Roman" w:hAnsi="Times New Roman" w:cs="Times New Roman"/>
                      <w:b w:val="0"/>
                      <w:bCs w:val="0"/>
                      <w:color w:val="000000"/>
                      <w:highlight w:val="none"/>
                      <w:lang w:val="en-US" w:eastAsia="zh-CN"/>
                    </w:rPr>
                    <w:t>NH</w:t>
                  </w:r>
                  <w:r>
                    <w:rPr>
                      <w:rFonts w:hint="default" w:ascii="Times New Roman" w:hAnsi="Times New Roman" w:cs="Times New Roman"/>
                      <w:b w:val="0"/>
                      <w:bCs w:val="0"/>
                      <w:color w:val="000000"/>
                      <w:highlight w:val="none"/>
                      <w:vertAlign w:val="subscript"/>
                      <w:lang w:val="en-US" w:eastAsia="zh-CN"/>
                    </w:rPr>
                    <w:t>3</w:t>
                  </w:r>
                </w:p>
              </w:tc>
              <w:tc>
                <w:tcPr>
                  <w:tcW w:w="1179" w:type="dxa"/>
                  <w:vMerge w:val="restart"/>
                  <w:noWrap w:val="0"/>
                  <w:vAlign w:val="center"/>
                </w:tcPr>
                <w:p w14:paraId="2EF0AE6F">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181</w:t>
                  </w:r>
                </w:p>
              </w:tc>
              <w:tc>
                <w:tcPr>
                  <w:tcW w:w="1179" w:type="dxa"/>
                  <w:noWrap w:val="0"/>
                  <w:vAlign w:val="center"/>
                </w:tcPr>
                <w:p w14:paraId="522C0C70">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0.00354</w:t>
                  </w:r>
                </w:p>
              </w:tc>
              <w:tc>
                <w:tcPr>
                  <w:tcW w:w="1179" w:type="dxa"/>
                  <w:noWrap w:val="0"/>
                  <w:vAlign w:val="center"/>
                </w:tcPr>
                <w:p w14:paraId="39A4E0DB">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1.77</w:t>
                  </w:r>
                </w:p>
              </w:tc>
              <w:tc>
                <w:tcPr>
                  <w:tcW w:w="1180" w:type="dxa"/>
                  <w:noWrap w:val="0"/>
                  <w:vAlign w:val="center"/>
                </w:tcPr>
                <w:p w14:paraId="477CF87C">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0.2</w:t>
                  </w:r>
                </w:p>
              </w:tc>
              <w:tc>
                <w:tcPr>
                  <w:tcW w:w="1180" w:type="dxa"/>
                  <w:noWrap w:val="0"/>
                  <w:vAlign w:val="center"/>
                </w:tcPr>
                <w:p w14:paraId="7C47E827">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w:t>
                  </w:r>
                </w:p>
              </w:tc>
            </w:tr>
            <w:tr w14:paraId="4606FC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20" w:type="dxa"/>
                  <w:vMerge w:val="continue"/>
                  <w:noWrap w:val="0"/>
                  <w:vAlign w:val="center"/>
                </w:tcPr>
                <w:p w14:paraId="78EC6CE2">
                  <w:pPr>
                    <w:pStyle w:val="31"/>
                    <w:bidi w:val="0"/>
                    <w:ind w:firstLine="0" w:firstLineChars="0"/>
                    <w:jc w:val="center"/>
                    <w:rPr>
                      <w:rFonts w:hint="default" w:ascii="Times New Roman" w:hAnsi="Times New Roman" w:cs="Times New Roman"/>
                      <w:color w:val="000000"/>
                      <w:highlight w:val="none"/>
                      <w:lang w:val="en-US" w:eastAsia="zh-CN"/>
                    </w:rPr>
                  </w:pPr>
                </w:p>
              </w:tc>
              <w:tc>
                <w:tcPr>
                  <w:tcW w:w="1039" w:type="dxa"/>
                  <w:noWrap w:val="0"/>
                  <w:vAlign w:val="center"/>
                </w:tcPr>
                <w:p w14:paraId="6FCE3AA3">
                  <w:pPr>
                    <w:pStyle w:val="31"/>
                    <w:bidi w:val="0"/>
                    <w:jc w:val="center"/>
                    <w:rPr>
                      <w:rFonts w:hint="default" w:ascii="Times New Roman" w:hAnsi="Times New Roman" w:cs="Times New Roman"/>
                      <w:b w:val="0"/>
                      <w:bCs w:val="0"/>
                      <w:color w:val="000000"/>
                      <w:highlight w:val="none"/>
                      <w:lang w:val="en-US" w:eastAsia="zh-CN"/>
                    </w:rPr>
                  </w:pPr>
                  <w:r>
                    <w:rPr>
                      <w:rFonts w:hint="default" w:ascii="Times New Roman" w:hAnsi="Times New Roman" w:cs="Times New Roman"/>
                      <w:b w:val="0"/>
                      <w:bCs w:val="0"/>
                      <w:color w:val="000000"/>
                      <w:highlight w:val="none"/>
                      <w:lang w:val="en-US" w:eastAsia="zh-CN"/>
                    </w:rPr>
                    <w:t>H</w:t>
                  </w:r>
                  <w:r>
                    <w:rPr>
                      <w:rFonts w:hint="default" w:ascii="Times New Roman" w:hAnsi="Times New Roman" w:cs="Times New Roman"/>
                      <w:b w:val="0"/>
                      <w:bCs w:val="0"/>
                      <w:color w:val="000000"/>
                      <w:highlight w:val="none"/>
                      <w:vertAlign w:val="subscript"/>
                      <w:lang w:val="en-US" w:eastAsia="zh-CN"/>
                    </w:rPr>
                    <w:t>2</w:t>
                  </w:r>
                  <w:r>
                    <w:rPr>
                      <w:rFonts w:hint="default" w:ascii="Times New Roman" w:hAnsi="Times New Roman" w:cs="Times New Roman"/>
                      <w:b w:val="0"/>
                      <w:bCs w:val="0"/>
                      <w:color w:val="000000"/>
                      <w:highlight w:val="none"/>
                      <w:lang w:val="en-US" w:eastAsia="zh-CN"/>
                    </w:rPr>
                    <w:t>S</w:t>
                  </w:r>
                </w:p>
              </w:tc>
              <w:tc>
                <w:tcPr>
                  <w:tcW w:w="1179" w:type="dxa"/>
                  <w:vMerge w:val="continue"/>
                  <w:noWrap w:val="0"/>
                  <w:vAlign w:val="center"/>
                </w:tcPr>
                <w:p w14:paraId="7D082BBA">
                  <w:pPr>
                    <w:pStyle w:val="31"/>
                    <w:bidi w:val="0"/>
                    <w:jc w:val="center"/>
                    <w:rPr>
                      <w:rFonts w:hint="default" w:ascii="Times New Roman" w:hAnsi="Times New Roman" w:cs="Times New Roman"/>
                      <w:color w:val="000000"/>
                      <w:highlight w:val="none"/>
                      <w:lang w:eastAsia="zh-CN"/>
                    </w:rPr>
                  </w:pPr>
                </w:p>
              </w:tc>
              <w:tc>
                <w:tcPr>
                  <w:tcW w:w="1179" w:type="dxa"/>
                  <w:noWrap w:val="0"/>
                  <w:vAlign w:val="center"/>
                </w:tcPr>
                <w:p w14:paraId="1582DB70">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0.000379</w:t>
                  </w:r>
                </w:p>
              </w:tc>
              <w:tc>
                <w:tcPr>
                  <w:tcW w:w="1179" w:type="dxa"/>
                  <w:noWrap w:val="0"/>
                  <w:vAlign w:val="center"/>
                </w:tcPr>
                <w:p w14:paraId="6537106E">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3.79</w:t>
                  </w:r>
                </w:p>
              </w:tc>
              <w:tc>
                <w:tcPr>
                  <w:tcW w:w="1180" w:type="dxa"/>
                  <w:noWrap w:val="0"/>
                  <w:vAlign w:val="center"/>
                </w:tcPr>
                <w:p w14:paraId="5418C5BA">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0.01</w:t>
                  </w:r>
                </w:p>
              </w:tc>
              <w:tc>
                <w:tcPr>
                  <w:tcW w:w="1180" w:type="dxa"/>
                  <w:noWrap w:val="0"/>
                  <w:vAlign w:val="center"/>
                </w:tcPr>
                <w:p w14:paraId="3614C747">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w:t>
                  </w:r>
                </w:p>
              </w:tc>
            </w:tr>
            <w:tr w14:paraId="36A938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20" w:type="dxa"/>
                  <w:vMerge w:val="restart"/>
                  <w:shd w:val="clear" w:color="auto" w:fill="auto"/>
                  <w:noWrap w:val="0"/>
                  <w:vAlign w:val="center"/>
                </w:tcPr>
                <w:p w14:paraId="2FF075D8">
                  <w:pPr>
                    <w:pStyle w:val="31"/>
                    <w:bidi w:val="0"/>
                    <w:jc w:val="center"/>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新建污水处理站</w:t>
                  </w:r>
                </w:p>
              </w:tc>
              <w:tc>
                <w:tcPr>
                  <w:tcW w:w="1039" w:type="dxa"/>
                  <w:shd w:val="clear" w:color="auto" w:fill="auto"/>
                  <w:noWrap w:val="0"/>
                  <w:vAlign w:val="center"/>
                </w:tcPr>
                <w:p w14:paraId="1BF91C2C">
                  <w:pPr>
                    <w:pStyle w:val="31"/>
                    <w:bidi w:val="0"/>
                    <w:ind w:firstLine="0" w:firstLineChars="0"/>
                    <w:jc w:val="center"/>
                    <w:rPr>
                      <w:rFonts w:hint="default" w:ascii="Times New Roman" w:hAnsi="Times New Roman" w:cs="Times New Roman"/>
                      <w:color w:val="000000"/>
                      <w:highlight w:val="none"/>
                      <w:lang w:eastAsia="zh-CN"/>
                    </w:rPr>
                  </w:pPr>
                  <w:r>
                    <w:rPr>
                      <w:rFonts w:hint="default" w:ascii="Times New Roman" w:hAnsi="Times New Roman" w:cs="Times New Roman"/>
                      <w:b w:val="0"/>
                      <w:bCs w:val="0"/>
                      <w:color w:val="000000"/>
                      <w:highlight w:val="none"/>
                      <w:lang w:val="en-US" w:eastAsia="zh-CN"/>
                    </w:rPr>
                    <w:t>NH</w:t>
                  </w:r>
                  <w:r>
                    <w:rPr>
                      <w:rFonts w:hint="default" w:ascii="Times New Roman" w:hAnsi="Times New Roman" w:cs="Times New Roman"/>
                      <w:b w:val="0"/>
                      <w:bCs w:val="0"/>
                      <w:color w:val="000000"/>
                      <w:highlight w:val="none"/>
                      <w:vertAlign w:val="subscript"/>
                      <w:lang w:val="en-US" w:eastAsia="zh-CN"/>
                    </w:rPr>
                    <w:t>3</w:t>
                  </w:r>
                </w:p>
              </w:tc>
              <w:tc>
                <w:tcPr>
                  <w:tcW w:w="1179" w:type="dxa"/>
                  <w:vMerge w:val="restart"/>
                  <w:shd w:val="clear" w:color="auto" w:fill="auto"/>
                  <w:noWrap w:val="0"/>
                  <w:vAlign w:val="center"/>
                </w:tcPr>
                <w:p w14:paraId="56CE69AF">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59</w:t>
                  </w:r>
                </w:p>
              </w:tc>
              <w:tc>
                <w:tcPr>
                  <w:tcW w:w="1179" w:type="dxa"/>
                  <w:shd w:val="clear" w:color="auto" w:fill="auto"/>
                  <w:noWrap w:val="0"/>
                  <w:vAlign w:val="center"/>
                </w:tcPr>
                <w:p w14:paraId="25A98A95">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0.0148</w:t>
                  </w:r>
                </w:p>
              </w:tc>
              <w:tc>
                <w:tcPr>
                  <w:tcW w:w="1179" w:type="dxa"/>
                  <w:shd w:val="clear" w:color="auto" w:fill="A4A4A4"/>
                  <w:noWrap w:val="0"/>
                  <w:vAlign w:val="center"/>
                </w:tcPr>
                <w:p w14:paraId="691F47DF">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7.39</w:t>
                  </w:r>
                </w:p>
              </w:tc>
              <w:tc>
                <w:tcPr>
                  <w:tcW w:w="1180" w:type="dxa"/>
                  <w:noWrap w:val="0"/>
                  <w:vAlign w:val="center"/>
                </w:tcPr>
                <w:p w14:paraId="35E74B25">
                  <w:pPr>
                    <w:pStyle w:val="31"/>
                    <w:bidi w:val="0"/>
                    <w:ind w:firstLine="0" w:firstLineChars="0"/>
                    <w:jc w:val="center"/>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0.2</w:t>
                  </w:r>
                </w:p>
              </w:tc>
              <w:tc>
                <w:tcPr>
                  <w:tcW w:w="1180" w:type="dxa"/>
                  <w:noWrap w:val="0"/>
                  <w:vAlign w:val="center"/>
                </w:tcPr>
                <w:p w14:paraId="21250BEB">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w:t>
                  </w:r>
                </w:p>
              </w:tc>
            </w:tr>
            <w:tr w14:paraId="575253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20" w:type="dxa"/>
                  <w:vMerge w:val="continue"/>
                  <w:noWrap w:val="0"/>
                  <w:vAlign w:val="center"/>
                </w:tcPr>
                <w:p w14:paraId="374289F3">
                  <w:pPr>
                    <w:pStyle w:val="31"/>
                    <w:bidi w:val="0"/>
                    <w:jc w:val="center"/>
                    <w:rPr>
                      <w:rFonts w:hint="default" w:ascii="Times New Roman" w:hAnsi="Times New Roman" w:cs="Times New Roman"/>
                      <w:color w:val="000000"/>
                      <w:highlight w:val="none"/>
                      <w:lang w:eastAsia="zh-CN"/>
                    </w:rPr>
                  </w:pPr>
                </w:p>
              </w:tc>
              <w:tc>
                <w:tcPr>
                  <w:tcW w:w="1039" w:type="dxa"/>
                  <w:noWrap w:val="0"/>
                  <w:vAlign w:val="center"/>
                </w:tcPr>
                <w:p w14:paraId="2EC87555">
                  <w:pPr>
                    <w:pStyle w:val="31"/>
                    <w:bidi w:val="0"/>
                    <w:ind w:firstLine="0" w:firstLineChars="0"/>
                    <w:jc w:val="center"/>
                    <w:rPr>
                      <w:rFonts w:hint="default" w:ascii="Times New Roman" w:hAnsi="Times New Roman" w:cs="Times New Roman"/>
                      <w:color w:val="000000"/>
                      <w:highlight w:val="none"/>
                      <w:lang w:eastAsia="zh-CN"/>
                    </w:rPr>
                  </w:pPr>
                  <w:r>
                    <w:rPr>
                      <w:rFonts w:hint="default" w:ascii="Times New Roman" w:hAnsi="Times New Roman" w:cs="Times New Roman"/>
                      <w:b w:val="0"/>
                      <w:bCs w:val="0"/>
                      <w:color w:val="000000"/>
                      <w:highlight w:val="none"/>
                      <w:lang w:val="en-US" w:eastAsia="zh-CN"/>
                    </w:rPr>
                    <w:t>H</w:t>
                  </w:r>
                  <w:r>
                    <w:rPr>
                      <w:rFonts w:hint="default" w:ascii="Times New Roman" w:hAnsi="Times New Roman" w:cs="Times New Roman"/>
                      <w:b w:val="0"/>
                      <w:bCs w:val="0"/>
                      <w:color w:val="000000"/>
                      <w:highlight w:val="none"/>
                      <w:vertAlign w:val="subscript"/>
                      <w:lang w:val="en-US" w:eastAsia="zh-CN"/>
                    </w:rPr>
                    <w:t>2</w:t>
                  </w:r>
                  <w:r>
                    <w:rPr>
                      <w:rFonts w:hint="default" w:ascii="Times New Roman" w:hAnsi="Times New Roman" w:cs="Times New Roman"/>
                      <w:b w:val="0"/>
                      <w:bCs w:val="0"/>
                      <w:color w:val="000000"/>
                      <w:highlight w:val="none"/>
                      <w:lang w:val="en-US" w:eastAsia="zh-CN"/>
                    </w:rPr>
                    <w:t>S</w:t>
                  </w:r>
                </w:p>
              </w:tc>
              <w:tc>
                <w:tcPr>
                  <w:tcW w:w="1179" w:type="dxa"/>
                  <w:vMerge w:val="continue"/>
                  <w:noWrap w:val="0"/>
                  <w:vAlign w:val="center"/>
                </w:tcPr>
                <w:p w14:paraId="1D8BBDB8">
                  <w:pPr>
                    <w:pStyle w:val="31"/>
                    <w:bidi w:val="0"/>
                    <w:jc w:val="center"/>
                    <w:rPr>
                      <w:rFonts w:hint="default" w:ascii="Times New Roman" w:hAnsi="Times New Roman" w:cs="Times New Roman"/>
                      <w:color w:val="000000"/>
                      <w:highlight w:val="none"/>
                      <w:lang w:eastAsia="zh-CN"/>
                    </w:rPr>
                  </w:pPr>
                </w:p>
              </w:tc>
              <w:tc>
                <w:tcPr>
                  <w:tcW w:w="1179" w:type="dxa"/>
                  <w:noWrap w:val="0"/>
                  <w:vAlign w:val="center"/>
                </w:tcPr>
                <w:p w14:paraId="6AB78F95">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0.000553</w:t>
                  </w:r>
                </w:p>
              </w:tc>
              <w:tc>
                <w:tcPr>
                  <w:tcW w:w="1179" w:type="dxa"/>
                  <w:noWrap w:val="0"/>
                  <w:vAlign w:val="center"/>
                </w:tcPr>
                <w:p w14:paraId="3EA2ADC7">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5.53</w:t>
                  </w:r>
                </w:p>
              </w:tc>
              <w:tc>
                <w:tcPr>
                  <w:tcW w:w="1180" w:type="dxa"/>
                  <w:noWrap w:val="0"/>
                  <w:vAlign w:val="center"/>
                </w:tcPr>
                <w:p w14:paraId="02E30AC8">
                  <w:pPr>
                    <w:pStyle w:val="31"/>
                    <w:bidi w:val="0"/>
                    <w:ind w:firstLine="0" w:firstLineChars="0"/>
                    <w:jc w:val="center"/>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0.01</w:t>
                  </w:r>
                </w:p>
              </w:tc>
              <w:tc>
                <w:tcPr>
                  <w:tcW w:w="1180" w:type="dxa"/>
                  <w:noWrap w:val="0"/>
                  <w:vAlign w:val="center"/>
                </w:tcPr>
                <w:p w14:paraId="03F85006">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w:t>
                  </w:r>
                </w:p>
              </w:tc>
            </w:tr>
          </w:tbl>
          <w:p w14:paraId="65CDAD8C">
            <w:pPr>
              <w:bidi w:val="0"/>
              <w:ind w:firstLine="480" w:firstLineChars="20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③对周边敏感目标贡献情况</w:t>
            </w:r>
          </w:p>
          <w:p w14:paraId="2D81C621">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rPr>
            </w:pPr>
            <w:r>
              <w:rPr>
                <w:rFonts w:hint="default" w:ascii="Times New Roman" w:hAnsi="Times New Roman" w:cs="Times New Roman"/>
                <w:color w:val="000000"/>
                <w:highlight w:val="none"/>
                <w:lang w:eastAsia="zh-CN"/>
              </w:rPr>
              <w:t>本评价同时采用估算模式（AERSCREEN）估算无组织排放废气对敏感目标的大气污染物贡献情况，见</w:t>
            </w:r>
            <w:r>
              <w:rPr>
                <w:rFonts w:hint="default" w:ascii="Times New Roman" w:hAnsi="Times New Roman" w:cs="Times New Roman"/>
                <w:b w:val="0"/>
                <w:bCs w:val="0"/>
                <w:color w:val="000000"/>
                <w:highlight w:val="none"/>
                <w:lang w:eastAsia="zh-CN"/>
              </w:rPr>
              <w:fldChar w:fldCharType="begin"/>
            </w:r>
            <w:r>
              <w:rPr>
                <w:rFonts w:hint="default" w:ascii="Times New Roman" w:hAnsi="Times New Roman" w:cs="Times New Roman"/>
                <w:b w:val="0"/>
                <w:bCs w:val="0"/>
                <w:color w:val="000000"/>
                <w:highlight w:val="none"/>
                <w:lang w:eastAsia="zh-CN"/>
              </w:rPr>
              <w:instrText xml:space="preserve"> REF _Ref27082 \h </w:instrText>
            </w:r>
            <w:r>
              <w:rPr>
                <w:rFonts w:hint="default" w:ascii="Times New Roman" w:hAnsi="Times New Roman" w:cs="Times New Roman"/>
                <w:b w:val="0"/>
                <w:bCs w:val="0"/>
                <w:color w:val="000000"/>
                <w:highlight w:val="none"/>
                <w:lang w:eastAsia="zh-CN"/>
              </w:rPr>
              <w:fldChar w:fldCharType="separate"/>
            </w:r>
            <w:r>
              <w:rPr>
                <w:rFonts w:hint="default" w:ascii="Times New Roman" w:hAnsi="Times New Roman" w:eastAsia="宋体" w:cs="Times New Roman"/>
                <w:b w:val="0"/>
                <w:bCs w:val="0"/>
                <w:color w:val="000000"/>
                <w:kern w:val="2"/>
                <w:sz w:val="24"/>
                <w:szCs w:val="24"/>
                <w:highlight w:val="none"/>
                <w:lang w:val="en-US" w:eastAsia="zh-CN" w:bidi="ar-SA"/>
              </w:rPr>
              <w:t>表</w:t>
            </w:r>
            <w:r>
              <w:rPr>
                <w:rFonts w:hint="default" w:ascii="Times New Roman" w:hAnsi="Times New Roman" w:eastAsia="宋体" w:cs="Times New Roman"/>
                <w:b w:val="0"/>
                <w:bCs w:val="0"/>
                <w:color w:val="000000"/>
                <w:kern w:val="2"/>
                <w:sz w:val="24"/>
                <w:szCs w:val="24"/>
                <w:highlight w:val="none"/>
                <w:lang w:val="en-US" w:eastAsia="zh-CN" w:bidi="ar-SA"/>
              </w:rPr>
              <w:fldChar w:fldCharType="begin"/>
            </w:r>
            <w:r>
              <w:rPr>
                <w:rFonts w:hint="default" w:ascii="Times New Roman" w:hAnsi="Times New Roman" w:eastAsia="宋体" w:cs="Times New Roman"/>
                <w:b w:val="0"/>
                <w:bCs w:val="0"/>
                <w:color w:val="000000"/>
                <w:kern w:val="2"/>
                <w:sz w:val="24"/>
                <w:szCs w:val="24"/>
                <w:highlight w:val="none"/>
                <w:lang w:val="en-US" w:eastAsia="zh-CN" w:bidi="ar-SA"/>
              </w:rPr>
              <w:instrText xml:space="preserve"> STYLEREF 2 \s </w:instrText>
            </w:r>
            <w:r>
              <w:rPr>
                <w:rFonts w:hint="default" w:ascii="Times New Roman" w:hAnsi="Times New Roman" w:eastAsia="宋体" w:cs="Times New Roman"/>
                <w:b w:val="0"/>
                <w:bCs w:val="0"/>
                <w:color w:val="000000"/>
                <w:kern w:val="2"/>
                <w:sz w:val="24"/>
                <w:szCs w:val="24"/>
                <w:highlight w:val="none"/>
                <w:lang w:val="en-US" w:eastAsia="zh-CN" w:bidi="ar-SA"/>
              </w:rPr>
              <w:fldChar w:fldCharType="separate"/>
            </w:r>
            <w:r>
              <w:rPr>
                <w:rFonts w:hint="default" w:ascii="Times New Roman" w:hAnsi="Times New Roman" w:eastAsia="宋体" w:cs="Times New Roman"/>
                <w:b w:val="0"/>
                <w:bCs w:val="0"/>
                <w:color w:val="000000"/>
                <w:kern w:val="2"/>
                <w:sz w:val="24"/>
                <w:szCs w:val="24"/>
                <w:highlight w:val="none"/>
                <w:lang w:val="en-US" w:eastAsia="zh-CN" w:bidi="ar-SA"/>
              </w:rPr>
              <w:t>4.6</w:t>
            </w:r>
            <w:r>
              <w:rPr>
                <w:rFonts w:hint="default" w:ascii="Times New Roman" w:hAnsi="Times New Roman" w:eastAsia="宋体" w:cs="Times New Roman"/>
                <w:b w:val="0"/>
                <w:bCs w:val="0"/>
                <w:color w:val="000000"/>
                <w:kern w:val="2"/>
                <w:sz w:val="24"/>
                <w:szCs w:val="24"/>
                <w:highlight w:val="none"/>
                <w:lang w:val="en-US" w:eastAsia="zh-CN" w:bidi="ar-SA"/>
              </w:rPr>
              <w:fldChar w:fldCharType="end"/>
            </w:r>
            <w:r>
              <w:rPr>
                <w:rFonts w:hint="default" w:ascii="Times New Roman" w:hAnsi="Times New Roman" w:eastAsia="宋体" w:cs="Times New Roman"/>
                <w:b w:val="0"/>
                <w:bCs w:val="0"/>
                <w:color w:val="000000"/>
                <w:kern w:val="2"/>
                <w:sz w:val="24"/>
                <w:szCs w:val="24"/>
                <w:highlight w:val="none"/>
                <w:lang w:val="en-US" w:eastAsia="zh-CN" w:bidi="ar-SA"/>
              </w:rPr>
              <w:t>-3</w:t>
            </w:r>
            <w:r>
              <w:rPr>
                <w:rFonts w:hint="default" w:ascii="Times New Roman" w:hAnsi="Times New Roman" w:cs="Times New Roman"/>
                <w:b w:val="0"/>
                <w:bCs w:val="0"/>
                <w:color w:val="000000"/>
                <w:highlight w:val="none"/>
                <w:lang w:eastAsia="zh-CN"/>
              </w:rPr>
              <w:fldChar w:fldCharType="end"/>
            </w:r>
            <w:r>
              <w:rPr>
                <w:rFonts w:hint="default" w:ascii="Times New Roman" w:hAnsi="Times New Roman" w:cs="Times New Roman"/>
                <w:color w:val="000000"/>
                <w:highlight w:val="none"/>
                <w:lang w:eastAsia="zh-CN"/>
              </w:rPr>
              <w:t>。</w:t>
            </w:r>
          </w:p>
          <w:p w14:paraId="282AB150">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rPr>
            </w:pPr>
          </w:p>
          <w:p w14:paraId="64434A2D">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rPr>
            </w:pPr>
          </w:p>
          <w:p w14:paraId="7E4535AB">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rPr>
            </w:pPr>
          </w:p>
          <w:p w14:paraId="1262907B">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rPr>
            </w:pPr>
          </w:p>
          <w:p w14:paraId="4F9BE415">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rPr>
            </w:pPr>
          </w:p>
          <w:p w14:paraId="56438F86">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rPr>
            </w:pPr>
          </w:p>
          <w:p w14:paraId="4DF19658">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rPr>
            </w:pPr>
          </w:p>
          <w:p w14:paraId="406503B5">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rPr>
            </w:pPr>
          </w:p>
          <w:p w14:paraId="32F83291">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rPr>
            </w:pPr>
          </w:p>
          <w:p w14:paraId="4AA22BD9">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rPr>
            </w:pPr>
          </w:p>
          <w:p w14:paraId="67A7774B">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rPr>
            </w:pPr>
          </w:p>
          <w:p w14:paraId="79DFBA35">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rPr>
            </w:pPr>
          </w:p>
          <w:p w14:paraId="6214A98F">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u w:val="none"/>
              </w:rPr>
            </w:pPr>
          </w:p>
        </w:tc>
      </w:tr>
    </w:tbl>
    <w:p w14:paraId="0F1C30BA">
      <w:pPr>
        <w:jc w:val="center"/>
        <w:rPr>
          <w:rFonts w:hint="default" w:ascii="Times New Roman" w:hAnsi="Times New Roman" w:eastAsia="黑体" w:cs="Times New Roman"/>
          <w:snapToGrid w:val="0"/>
          <w:color w:val="000000"/>
          <w:sz w:val="36"/>
          <w:szCs w:val="36"/>
          <w:u w:val="none"/>
        </w:rPr>
        <w:sectPr>
          <w:pgSz w:w="11906" w:h="16838"/>
          <w:pgMar w:top="1701" w:right="1531" w:bottom="1701" w:left="1531" w:header="851" w:footer="1077" w:gutter="0"/>
          <w:pgNumType w:fmt="decimal"/>
          <w:cols w:space="720" w:num="1"/>
          <w:docGrid w:linePitch="312" w:charSpace="0"/>
        </w:sectPr>
      </w:pPr>
    </w:p>
    <w:tbl>
      <w:tblPr>
        <w:tblStyle w:val="2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08" w:type="dxa"/>
          <w:left w:w="108" w:type="dxa"/>
          <w:bottom w:w="108" w:type="dxa"/>
          <w:right w:w="108" w:type="dxa"/>
        </w:tblCellMar>
      </w:tblPr>
      <w:tblGrid>
        <w:gridCol w:w="832"/>
        <w:gridCol w:w="12815"/>
      </w:tblGrid>
      <w:tr w14:paraId="286AFB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8" w:type="dxa"/>
            <w:left w:w="108" w:type="dxa"/>
            <w:bottom w:w="108" w:type="dxa"/>
            <w:right w:w="108" w:type="dxa"/>
          </w:tblCellMar>
        </w:tblPrEx>
        <w:trPr>
          <w:trHeight w:val="635" w:hRule="atLeast"/>
          <w:jc w:val="center"/>
        </w:trPr>
        <w:tc>
          <w:tcPr>
            <w:tcW w:w="832" w:type="dxa"/>
            <w:noWrap w:val="0"/>
            <w:vAlign w:val="center"/>
          </w:tcPr>
          <w:p w14:paraId="7019DB14">
            <w:pPr>
              <w:adjustRightInd w:val="0"/>
              <w:snapToGrid w:val="0"/>
              <w:spacing w:line="360" w:lineRule="auto"/>
              <w:jc w:val="center"/>
              <w:rPr>
                <w:rFonts w:hint="default" w:ascii="Times New Roman" w:hAnsi="Times New Roman" w:cs="Times New Roman"/>
                <w:color w:val="000000"/>
                <w:kern w:val="0"/>
                <w:szCs w:val="21"/>
                <w:u w:val="none"/>
              </w:rPr>
            </w:pPr>
            <w:r>
              <w:rPr>
                <w:rFonts w:hint="default" w:ascii="Times New Roman" w:hAnsi="Times New Roman" w:cs="Times New Roman"/>
                <w:bCs/>
                <w:color w:val="000000"/>
                <w:spacing w:val="10"/>
                <w:kern w:val="2"/>
                <w:sz w:val="24"/>
                <w:szCs w:val="24"/>
                <w:u w:val="none"/>
              </w:rPr>
              <w:t>运营期生态环境影响分析</w:t>
            </w:r>
          </w:p>
        </w:tc>
        <w:tc>
          <w:tcPr>
            <w:tcW w:w="12815" w:type="dxa"/>
            <w:noWrap w:val="0"/>
            <w:vAlign w:val="center"/>
          </w:tcPr>
          <w:p w14:paraId="0738E100">
            <w:pPr>
              <w:widowControl w:val="0"/>
              <w:spacing w:line="240" w:lineRule="auto"/>
              <w:ind w:firstLine="0" w:firstLineChars="0"/>
              <w:jc w:val="center"/>
              <w:rPr>
                <w:rFonts w:hint="default" w:ascii="Times New Roman" w:hAnsi="Times New Roman" w:cs="Times New Roman"/>
                <w:b/>
                <w:color w:val="000000"/>
                <w:kern w:val="2"/>
                <w:sz w:val="24"/>
                <w:szCs w:val="24"/>
                <w:highlight w:val="none"/>
                <w:lang w:val="en-US" w:eastAsia="zh-CN" w:bidi="ar-SA"/>
              </w:rPr>
            </w:pPr>
            <w:bookmarkStart w:id="395" w:name="_Ref27082"/>
            <w:r>
              <w:rPr>
                <w:rFonts w:hint="default" w:ascii="Times New Roman" w:hAnsi="Times New Roman" w:eastAsia="宋体" w:cs="Times New Roman"/>
                <w:b/>
                <w:color w:val="000000"/>
                <w:kern w:val="2"/>
                <w:sz w:val="24"/>
                <w:szCs w:val="24"/>
                <w:highlight w:val="none"/>
                <w:lang w:val="en-US" w:eastAsia="zh-CN" w:bidi="ar-SA"/>
              </w:rPr>
              <w:t>表</w:t>
            </w:r>
            <w:r>
              <w:rPr>
                <w:rFonts w:hint="default" w:ascii="Times New Roman" w:hAnsi="Times New Roman" w:eastAsia="宋体" w:cs="Times New Roman"/>
                <w:b/>
                <w:color w:val="000000"/>
                <w:kern w:val="2"/>
                <w:sz w:val="24"/>
                <w:szCs w:val="24"/>
                <w:highlight w:val="none"/>
                <w:lang w:val="en-US" w:eastAsia="zh-CN" w:bidi="ar-SA"/>
              </w:rPr>
              <w:fldChar w:fldCharType="begin"/>
            </w:r>
            <w:r>
              <w:rPr>
                <w:rFonts w:hint="default" w:ascii="Times New Roman" w:hAnsi="Times New Roman" w:eastAsia="宋体" w:cs="Times New Roman"/>
                <w:b/>
                <w:color w:val="000000"/>
                <w:kern w:val="2"/>
                <w:sz w:val="24"/>
                <w:szCs w:val="24"/>
                <w:highlight w:val="none"/>
                <w:lang w:val="en-US" w:eastAsia="zh-CN" w:bidi="ar-SA"/>
              </w:rPr>
              <w:instrText xml:space="preserve"> STYLEREF 2 \s </w:instrText>
            </w:r>
            <w:r>
              <w:rPr>
                <w:rFonts w:hint="default" w:ascii="Times New Roman" w:hAnsi="Times New Roman" w:eastAsia="宋体" w:cs="Times New Roman"/>
                <w:b/>
                <w:color w:val="000000"/>
                <w:kern w:val="2"/>
                <w:sz w:val="24"/>
                <w:szCs w:val="24"/>
                <w:highlight w:val="none"/>
                <w:lang w:val="en-US" w:eastAsia="zh-CN" w:bidi="ar-SA"/>
              </w:rPr>
              <w:fldChar w:fldCharType="separate"/>
            </w:r>
            <w:r>
              <w:rPr>
                <w:rFonts w:hint="default" w:ascii="Times New Roman" w:hAnsi="Times New Roman" w:eastAsia="宋体" w:cs="Times New Roman"/>
                <w:b/>
                <w:color w:val="000000"/>
                <w:kern w:val="2"/>
                <w:sz w:val="24"/>
                <w:szCs w:val="24"/>
                <w:highlight w:val="none"/>
                <w:lang w:val="en-US" w:eastAsia="zh-CN" w:bidi="ar-SA"/>
              </w:rPr>
              <w:t>4.6</w:t>
            </w:r>
            <w:r>
              <w:rPr>
                <w:rFonts w:hint="default" w:ascii="Times New Roman" w:hAnsi="Times New Roman" w:eastAsia="宋体" w:cs="Times New Roman"/>
                <w:b/>
                <w:color w:val="000000"/>
                <w:kern w:val="2"/>
                <w:sz w:val="24"/>
                <w:szCs w:val="24"/>
                <w:highlight w:val="none"/>
                <w:lang w:val="en-US" w:eastAsia="zh-CN" w:bidi="ar-SA"/>
              </w:rPr>
              <w:fldChar w:fldCharType="end"/>
            </w:r>
            <w:r>
              <w:rPr>
                <w:rFonts w:hint="default" w:ascii="Times New Roman" w:hAnsi="Times New Roman" w:eastAsia="宋体" w:cs="Times New Roman"/>
                <w:b/>
                <w:color w:val="000000"/>
                <w:kern w:val="2"/>
                <w:sz w:val="24"/>
                <w:szCs w:val="24"/>
                <w:highlight w:val="none"/>
                <w:lang w:val="en-US" w:eastAsia="zh-CN" w:bidi="ar-SA"/>
              </w:rPr>
              <w:t>-</w:t>
            </w:r>
            <w:r>
              <w:rPr>
                <w:rFonts w:hint="default" w:ascii="Times New Roman" w:hAnsi="Times New Roman" w:eastAsia="宋体" w:cs="Times New Roman"/>
                <w:b/>
                <w:color w:val="000000"/>
                <w:kern w:val="2"/>
                <w:sz w:val="24"/>
                <w:szCs w:val="24"/>
                <w:highlight w:val="none"/>
                <w:lang w:val="en-US" w:eastAsia="zh-CN" w:bidi="ar-SA"/>
              </w:rPr>
              <w:fldChar w:fldCharType="begin"/>
            </w:r>
            <w:r>
              <w:rPr>
                <w:rFonts w:hint="default" w:ascii="Times New Roman" w:hAnsi="Times New Roman" w:eastAsia="宋体" w:cs="Times New Roman"/>
                <w:b/>
                <w:color w:val="000000"/>
                <w:kern w:val="2"/>
                <w:sz w:val="24"/>
                <w:szCs w:val="24"/>
                <w:highlight w:val="none"/>
                <w:lang w:val="en-US" w:eastAsia="zh-CN" w:bidi="ar-SA"/>
              </w:rPr>
              <w:instrText xml:space="preserve"> SEQ 表 \* ARABIC \s 2 </w:instrText>
            </w:r>
            <w:r>
              <w:rPr>
                <w:rFonts w:hint="default" w:ascii="Times New Roman" w:hAnsi="Times New Roman" w:eastAsia="宋体" w:cs="Times New Roman"/>
                <w:b/>
                <w:color w:val="000000"/>
                <w:kern w:val="2"/>
                <w:sz w:val="24"/>
                <w:szCs w:val="24"/>
                <w:highlight w:val="none"/>
                <w:lang w:val="en-US" w:eastAsia="zh-CN" w:bidi="ar-SA"/>
              </w:rPr>
              <w:fldChar w:fldCharType="separate"/>
            </w:r>
            <w:r>
              <w:rPr>
                <w:rFonts w:hint="default" w:ascii="Times New Roman" w:hAnsi="Times New Roman" w:eastAsia="宋体" w:cs="Times New Roman"/>
                <w:b/>
                <w:color w:val="000000"/>
                <w:kern w:val="2"/>
                <w:sz w:val="24"/>
                <w:szCs w:val="24"/>
                <w:highlight w:val="none"/>
                <w:lang w:val="en-US" w:eastAsia="zh-CN" w:bidi="ar-SA"/>
              </w:rPr>
              <w:t>3</w:t>
            </w:r>
            <w:r>
              <w:rPr>
                <w:rFonts w:hint="default" w:ascii="Times New Roman" w:hAnsi="Times New Roman" w:eastAsia="宋体" w:cs="Times New Roman"/>
                <w:b/>
                <w:color w:val="000000"/>
                <w:kern w:val="2"/>
                <w:sz w:val="24"/>
                <w:szCs w:val="24"/>
                <w:highlight w:val="none"/>
                <w:lang w:val="en-US" w:eastAsia="zh-CN" w:bidi="ar-SA"/>
              </w:rPr>
              <w:fldChar w:fldCharType="end"/>
            </w:r>
            <w:bookmarkEnd w:id="395"/>
            <w:r>
              <w:rPr>
                <w:rFonts w:hint="default" w:ascii="Times New Roman" w:hAnsi="Times New Roman" w:cs="Times New Roman"/>
                <w:b/>
                <w:color w:val="000000"/>
                <w:kern w:val="2"/>
                <w:sz w:val="24"/>
                <w:szCs w:val="24"/>
                <w:highlight w:val="none"/>
                <w:lang w:val="en-US" w:eastAsia="zh-CN" w:bidi="ar-SA"/>
              </w:rPr>
              <w:t xml:space="preserve"> 无组织废气排放对周边敏感目标影响预测结果一览表</w:t>
            </w:r>
          </w:p>
          <w:tbl>
            <w:tblPr>
              <w:tblStyle w:val="2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27"/>
              <w:gridCol w:w="682"/>
              <w:gridCol w:w="917"/>
              <w:gridCol w:w="610"/>
              <w:gridCol w:w="948"/>
              <w:gridCol w:w="610"/>
              <w:gridCol w:w="1011"/>
              <w:gridCol w:w="606"/>
              <w:gridCol w:w="1003"/>
              <w:gridCol w:w="632"/>
              <w:gridCol w:w="989"/>
              <w:gridCol w:w="628"/>
              <w:gridCol w:w="1047"/>
              <w:gridCol w:w="628"/>
              <w:gridCol w:w="1038"/>
              <w:gridCol w:w="613"/>
            </w:tblGrid>
            <w:tr w14:paraId="4E85F8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4" w:hRule="atLeast"/>
              </w:trPr>
              <w:tc>
                <w:tcPr>
                  <w:tcW w:w="918" w:type="dxa"/>
                  <w:vMerge w:val="restart"/>
                  <w:noWrap w:val="0"/>
                  <w:vAlign w:val="center"/>
                </w:tcPr>
                <w:p w14:paraId="08469770">
                  <w:pPr>
                    <w:pStyle w:val="31"/>
                    <w:bidi w:val="0"/>
                    <w:jc w:val="center"/>
                    <w:rPr>
                      <w:rFonts w:hint="default" w:ascii="Times New Roman" w:hAnsi="Times New Roman" w:cs="Times New Roman"/>
                      <w:b/>
                      <w:bCs/>
                      <w:color w:val="000000"/>
                      <w:sz w:val="18"/>
                      <w:szCs w:val="18"/>
                      <w:highlight w:val="none"/>
                      <w:vertAlign w:val="baseline"/>
                      <w:lang w:val="en-US" w:eastAsia="zh-CN"/>
                    </w:rPr>
                  </w:pPr>
                  <w:r>
                    <w:rPr>
                      <w:rFonts w:hint="default" w:ascii="Times New Roman" w:hAnsi="Times New Roman" w:cs="Times New Roman"/>
                      <w:b/>
                      <w:bCs/>
                      <w:color w:val="000000"/>
                      <w:sz w:val="18"/>
                      <w:szCs w:val="18"/>
                      <w:highlight w:val="none"/>
                      <w:vertAlign w:val="baseline"/>
                      <w:lang w:val="en-US" w:eastAsia="zh-CN"/>
                    </w:rPr>
                    <w:t>污染源</w:t>
                  </w:r>
                </w:p>
              </w:tc>
              <w:tc>
                <w:tcPr>
                  <w:tcW w:w="870" w:type="dxa"/>
                  <w:vMerge w:val="restart"/>
                  <w:noWrap w:val="0"/>
                  <w:vAlign w:val="center"/>
                  <mc:AlternateContent>
                    <mc:Choice Requires="wpsCustomData">
                      <wpsCustomData:diagonals>
                        <wpsCustomData:diagonal from="10000" to="30000">
                          <wpsCustomData:border w:val="single" w:color="auto" w:sz="4" w:space="0"/>
                        </wpsCustomData:diagonal>
                      </wpsCustomData:diagonals>
                    </mc:Choice>
                  </mc:AlternateContent>
                </w:tcPr>
                <w:p w14:paraId="71CA28E9">
                  <w:pPr>
                    <w:pStyle w:val="31"/>
                    <w:bidi w:val="0"/>
                    <w:snapToGrid w:val="0"/>
                    <w:jc w:val="center"/>
                    <mc:AlternateContent>
                      <mc:Choice Requires="wpsCustomData">
                        <wpsCustomData:diagonalParaType/>
                      </mc:Choice>
                    </mc:AlternateContent>
                    <w:rPr>
                      <w:rFonts w:hint="default" w:ascii="Times New Roman" w:hAnsi="Times New Roman" w:cs="Times New Roman"/>
                      <w:b/>
                      <w:bCs/>
                      <w:color w:val="000000"/>
                      <w:sz w:val="18"/>
                      <w:szCs w:val="18"/>
                      <w:highlight w:val="none"/>
                      <w:vertAlign w:val="baseline"/>
                      <w:lang w:val="en-US" w:eastAsia="zh-CN"/>
                    </w:rPr>
                  </w:pPr>
                  <w:r>
                    <w:rPr>
                      <w:rFonts w:hint="default" w:ascii="Times New Roman" w:hAnsi="Times New Roman" w:cs="Times New Roman"/>
                      <w:b/>
                      <w:bCs/>
                      <w:color w:val="000000"/>
                      <w:sz w:val="18"/>
                      <w:szCs w:val="18"/>
                      <w:highlight w:val="none"/>
                      <w:vertAlign w:val="baseline"/>
                      <w:lang w:val="en-US" w:eastAsia="zh-CN"/>
                    </w:rPr>
                    <w:t>预测因子</w:t>
                  </w:r>
                </w:p>
                <w:p w14:paraId="3C098571">
                  <w:pPr>
                    <w:pStyle w:val="31"/>
                    <w:bidi w:val="0"/>
                    <w:jc w:val="center"/>
                    <w:rPr>
                      <w:rFonts w:hint="default" w:ascii="Times New Roman" w:hAnsi="Times New Roman" w:cs="Times New Roman"/>
                      <w:b/>
                      <w:bCs/>
                      <w:color w:val="000000"/>
                      <w:sz w:val="18"/>
                      <w:szCs w:val="18"/>
                      <w:highlight w:val="none"/>
                      <w:vertAlign w:val="baseline"/>
                      <w:lang w:val="en-US" w:eastAsia="zh-CN"/>
                    </w:rPr>
                  </w:pPr>
                  <w:r>
                    <w:rPr>
                      <w:rFonts w:hint="default" w:ascii="Times New Roman" w:hAnsi="Times New Roman" w:cs="Times New Roman"/>
                      <w:b/>
                      <w:bCs/>
                      <w:color w:val="000000"/>
                      <w:sz w:val="18"/>
                      <w:szCs w:val="18"/>
                      <w:highlight w:val="none"/>
                      <w:vertAlign w:val="baseline"/>
                      <w:lang w:val="en-US" w:eastAsia="zh-CN"/>
                    </w:rPr>
                    <w:t>敏感目标</w:t>
                  </w:r>
                </w:p>
              </w:tc>
              <w:tc>
                <w:tcPr>
                  <w:tcW w:w="1660" w:type="dxa"/>
                  <w:gridSpan w:val="2"/>
                  <w:noWrap w:val="0"/>
                  <w:vAlign w:val="center"/>
                </w:tcPr>
                <w:p w14:paraId="616E1B69">
                  <w:pPr>
                    <w:pStyle w:val="31"/>
                    <w:bidi w:val="0"/>
                    <w:ind w:firstLine="0" w:firstLineChars="0"/>
                    <w:jc w:val="center"/>
                    <w:rPr>
                      <w:rFonts w:hint="default" w:ascii="Times New Roman" w:hAnsi="Times New Roman" w:cs="Times New Roman"/>
                      <w:b/>
                      <w:bCs/>
                      <w:color w:val="000000"/>
                      <w:sz w:val="18"/>
                      <w:szCs w:val="18"/>
                      <w:highlight w:val="none"/>
                      <w:lang w:val="en-US" w:eastAsia="zh-CN"/>
                    </w:rPr>
                  </w:pPr>
                  <w:r>
                    <w:rPr>
                      <w:rFonts w:hint="default" w:ascii="Times New Roman" w:hAnsi="Times New Roman" w:cs="Times New Roman"/>
                      <w:b/>
                      <w:bCs/>
                      <w:color w:val="000000"/>
                      <w:sz w:val="18"/>
                      <w:szCs w:val="18"/>
                      <w:highlight w:val="none"/>
                      <w:lang w:val="en-US" w:eastAsia="zh-CN"/>
                    </w:rPr>
                    <w:t>海亮村沃口</w:t>
                  </w:r>
                </w:p>
                <w:p w14:paraId="443DCB00">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b/>
                      <w:bCs/>
                      <w:color w:val="000000"/>
                      <w:sz w:val="18"/>
                      <w:szCs w:val="18"/>
                      <w:highlight w:val="none"/>
                      <w:lang w:val="en-US" w:eastAsia="zh-CN"/>
                    </w:rPr>
                    <w:t>（自然村）</w:t>
                  </w:r>
                </w:p>
              </w:tc>
              <w:tc>
                <w:tcPr>
                  <w:tcW w:w="1730" w:type="dxa"/>
                  <w:gridSpan w:val="2"/>
                  <w:noWrap w:val="0"/>
                  <w:vAlign w:val="center"/>
                </w:tcPr>
                <w:p w14:paraId="447BBA9B">
                  <w:pPr>
                    <w:pStyle w:val="31"/>
                    <w:bidi w:val="0"/>
                    <w:ind w:firstLine="0" w:firstLineChars="0"/>
                    <w:jc w:val="center"/>
                    <w:rPr>
                      <w:rFonts w:hint="default" w:ascii="Times New Roman" w:hAnsi="Times New Roman" w:cs="Times New Roman"/>
                      <w:b/>
                      <w:bCs/>
                      <w:color w:val="000000"/>
                      <w:sz w:val="18"/>
                      <w:szCs w:val="18"/>
                      <w:highlight w:val="none"/>
                      <w:lang w:eastAsia="zh-CN"/>
                    </w:rPr>
                  </w:pPr>
                  <w:r>
                    <w:rPr>
                      <w:rFonts w:hint="default" w:ascii="Times New Roman" w:hAnsi="Times New Roman" w:cs="Times New Roman"/>
                      <w:b/>
                      <w:bCs/>
                      <w:color w:val="000000"/>
                      <w:sz w:val="18"/>
                      <w:szCs w:val="18"/>
                      <w:highlight w:val="none"/>
                      <w:lang w:eastAsia="zh-CN"/>
                    </w:rPr>
                    <w:t>福清市东瀚沃口</w:t>
                  </w:r>
                </w:p>
                <w:p w14:paraId="3FB7B686">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b/>
                      <w:bCs/>
                      <w:color w:val="000000"/>
                      <w:sz w:val="18"/>
                      <w:szCs w:val="18"/>
                      <w:highlight w:val="none"/>
                      <w:lang w:eastAsia="zh-CN"/>
                    </w:rPr>
                    <w:t>小学</w:t>
                  </w:r>
                </w:p>
              </w:tc>
              <w:tc>
                <w:tcPr>
                  <w:tcW w:w="1750" w:type="dxa"/>
                  <w:gridSpan w:val="2"/>
                  <w:noWrap w:val="0"/>
                  <w:vAlign w:val="center"/>
                </w:tcPr>
                <w:p w14:paraId="5657027C">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b/>
                      <w:bCs/>
                      <w:color w:val="000000"/>
                      <w:sz w:val="18"/>
                      <w:szCs w:val="18"/>
                      <w:highlight w:val="none"/>
                      <w:lang w:val="en-US" w:eastAsia="zh-CN"/>
                    </w:rPr>
                    <w:t>海亮村</w:t>
                  </w:r>
                </w:p>
              </w:tc>
              <w:tc>
                <w:tcPr>
                  <w:tcW w:w="1790" w:type="dxa"/>
                  <w:gridSpan w:val="2"/>
                  <w:noWrap w:val="0"/>
                  <w:vAlign w:val="center"/>
                </w:tcPr>
                <w:p w14:paraId="5BA1BB2E">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b/>
                      <w:bCs/>
                      <w:color w:val="000000"/>
                      <w:sz w:val="18"/>
                      <w:szCs w:val="18"/>
                      <w:highlight w:val="none"/>
                      <w:lang w:val="en-US" w:eastAsia="zh-CN"/>
                    </w:rPr>
                    <w:t>万安村</w:t>
                  </w:r>
                </w:p>
              </w:tc>
              <w:tc>
                <w:tcPr>
                  <w:tcW w:w="1750" w:type="dxa"/>
                  <w:gridSpan w:val="2"/>
                  <w:noWrap w:val="0"/>
                  <w:vAlign w:val="center"/>
                </w:tcPr>
                <w:p w14:paraId="24A08FFD">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b/>
                      <w:bCs/>
                      <w:color w:val="000000"/>
                      <w:sz w:val="18"/>
                      <w:szCs w:val="18"/>
                      <w:highlight w:val="none"/>
                      <w:lang w:val="en-US" w:eastAsia="zh-CN"/>
                    </w:rPr>
                    <w:t>大邱村</w:t>
                  </w:r>
                </w:p>
              </w:tc>
              <w:tc>
                <w:tcPr>
                  <w:tcW w:w="1880" w:type="dxa"/>
                  <w:gridSpan w:val="2"/>
                  <w:noWrap w:val="0"/>
                  <w:vAlign w:val="center"/>
                </w:tcPr>
                <w:p w14:paraId="159E41F1">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b/>
                      <w:bCs/>
                      <w:color w:val="000000"/>
                      <w:sz w:val="18"/>
                      <w:szCs w:val="18"/>
                      <w:highlight w:val="none"/>
                      <w:lang w:val="en-US" w:eastAsia="zh-CN"/>
                    </w:rPr>
                    <w:t>可门村</w:t>
                  </w:r>
                </w:p>
              </w:tc>
              <w:tc>
                <w:tcPr>
                  <w:tcW w:w="1826" w:type="dxa"/>
                  <w:gridSpan w:val="2"/>
                  <w:noWrap w:val="0"/>
                  <w:vAlign w:val="center"/>
                </w:tcPr>
                <w:p w14:paraId="537D3F35">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b/>
                      <w:bCs/>
                      <w:color w:val="000000"/>
                      <w:sz w:val="18"/>
                      <w:szCs w:val="18"/>
                      <w:highlight w:val="none"/>
                      <w:lang w:val="en-US" w:eastAsia="zh-CN"/>
                    </w:rPr>
                    <w:t>佳乐村</w:t>
                  </w:r>
                </w:p>
              </w:tc>
            </w:tr>
            <w:tr w14:paraId="4F286E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8" w:type="dxa"/>
                  <w:vMerge w:val="continue"/>
                  <w:noWrap w:val="0"/>
                  <w:vAlign w:val="center"/>
                </w:tcPr>
                <w:p w14:paraId="219A3D09">
                  <w:pPr>
                    <w:pStyle w:val="31"/>
                    <w:bidi w:val="0"/>
                    <w:jc w:val="center"/>
                    <w:rPr>
                      <w:rFonts w:hint="default" w:ascii="Times New Roman" w:hAnsi="Times New Roman" w:cs="Times New Roman"/>
                      <w:color w:val="000000"/>
                      <w:sz w:val="18"/>
                      <w:szCs w:val="18"/>
                      <w:highlight w:val="none"/>
                      <w:vertAlign w:val="baseline"/>
                      <w:lang w:val="en-US" w:eastAsia="zh-CN"/>
                    </w:rPr>
                  </w:pPr>
                </w:p>
              </w:tc>
              <w:tc>
                <w:tcPr>
                  <w:tcW w:w="870" w:type="dxa"/>
                  <w:vMerge w:val="continue"/>
                  <w:noWrap w:val="0"/>
                  <w:vAlign w:val="center"/>
                </w:tcPr>
                <w:p w14:paraId="4CB06B78">
                  <w:pPr>
                    <w:pStyle w:val="31"/>
                    <w:bidi w:val="0"/>
                    <w:jc w:val="center"/>
                    <w:rPr>
                      <w:rFonts w:hint="default" w:ascii="Times New Roman" w:hAnsi="Times New Roman" w:cs="Times New Roman"/>
                      <w:color w:val="000000"/>
                      <w:sz w:val="18"/>
                      <w:szCs w:val="18"/>
                      <w:highlight w:val="none"/>
                      <w:vertAlign w:val="baseline"/>
                      <w:lang w:val="en-US" w:eastAsia="zh-CN"/>
                    </w:rPr>
                  </w:pPr>
                </w:p>
              </w:tc>
              <w:tc>
                <w:tcPr>
                  <w:tcW w:w="950" w:type="dxa"/>
                  <w:noWrap w:val="0"/>
                  <w:vAlign w:val="center"/>
                </w:tcPr>
                <w:p w14:paraId="70D1BF8B">
                  <w:pPr>
                    <w:pStyle w:val="31"/>
                    <w:bidi w:val="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b/>
                      <w:bCs/>
                      <w:color w:val="000000"/>
                      <w:sz w:val="18"/>
                      <w:szCs w:val="18"/>
                      <w:highlight w:val="none"/>
                      <w:lang w:val="en-US" w:eastAsia="zh-CN"/>
                    </w:rPr>
                    <w:t>落地浓度(mg/m</w:t>
                  </w:r>
                  <w:r>
                    <w:rPr>
                      <w:rFonts w:hint="default" w:ascii="Times New Roman" w:hAnsi="Times New Roman" w:cs="Times New Roman"/>
                      <w:b/>
                      <w:bCs/>
                      <w:color w:val="000000"/>
                      <w:sz w:val="18"/>
                      <w:szCs w:val="18"/>
                      <w:highlight w:val="none"/>
                      <w:vertAlign w:val="superscript"/>
                      <w:lang w:val="en-US" w:eastAsia="zh-CN"/>
                    </w:rPr>
                    <w:t>3</w:t>
                  </w:r>
                  <w:r>
                    <w:rPr>
                      <w:rFonts w:hint="default" w:ascii="Times New Roman" w:hAnsi="Times New Roman" w:cs="Times New Roman"/>
                      <w:b/>
                      <w:bCs/>
                      <w:color w:val="000000"/>
                      <w:sz w:val="18"/>
                      <w:szCs w:val="18"/>
                      <w:highlight w:val="none"/>
                      <w:lang w:val="en-US" w:eastAsia="zh-CN"/>
                    </w:rPr>
                    <w:t>)</w:t>
                  </w:r>
                </w:p>
              </w:tc>
              <w:tc>
                <w:tcPr>
                  <w:tcW w:w="710" w:type="dxa"/>
                  <w:noWrap w:val="0"/>
                  <w:vAlign w:val="center"/>
                </w:tcPr>
                <w:p w14:paraId="090F013E">
                  <w:pPr>
                    <w:pStyle w:val="31"/>
                    <w:bidi w:val="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b/>
                      <w:bCs/>
                      <w:color w:val="000000"/>
                      <w:sz w:val="18"/>
                      <w:szCs w:val="18"/>
                      <w:highlight w:val="none"/>
                      <w:lang w:val="en-US" w:eastAsia="zh-CN"/>
                    </w:rPr>
                    <w:t>占标率(%)</w:t>
                  </w:r>
                </w:p>
              </w:tc>
              <w:tc>
                <w:tcPr>
                  <w:tcW w:w="1020" w:type="dxa"/>
                  <w:noWrap w:val="0"/>
                  <w:vAlign w:val="center"/>
                </w:tcPr>
                <w:p w14:paraId="056B8E68">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b/>
                      <w:bCs/>
                      <w:color w:val="000000"/>
                      <w:sz w:val="18"/>
                      <w:szCs w:val="18"/>
                      <w:highlight w:val="none"/>
                      <w:lang w:val="en-US" w:eastAsia="zh-CN"/>
                    </w:rPr>
                    <w:t>落地浓度(mg/m</w:t>
                  </w:r>
                  <w:r>
                    <w:rPr>
                      <w:rFonts w:hint="default" w:ascii="Times New Roman" w:hAnsi="Times New Roman" w:cs="Times New Roman"/>
                      <w:b/>
                      <w:bCs/>
                      <w:color w:val="000000"/>
                      <w:sz w:val="18"/>
                      <w:szCs w:val="18"/>
                      <w:highlight w:val="none"/>
                      <w:vertAlign w:val="superscript"/>
                      <w:lang w:val="en-US" w:eastAsia="zh-CN"/>
                    </w:rPr>
                    <w:t>3</w:t>
                  </w:r>
                  <w:r>
                    <w:rPr>
                      <w:rFonts w:hint="default" w:ascii="Times New Roman" w:hAnsi="Times New Roman" w:cs="Times New Roman"/>
                      <w:b/>
                      <w:bCs/>
                      <w:color w:val="000000"/>
                      <w:sz w:val="18"/>
                      <w:szCs w:val="18"/>
                      <w:highlight w:val="none"/>
                      <w:lang w:val="en-US" w:eastAsia="zh-CN"/>
                    </w:rPr>
                    <w:t>)</w:t>
                  </w:r>
                </w:p>
              </w:tc>
              <w:tc>
                <w:tcPr>
                  <w:tcW w:w="710" w:type="dxa"/>
                  <w:noWrap w:val="0"/>
                  <w:vAlign w:val="center"/>
                </w:tcPr>
                <w:p w14:paraId="13F014C3">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b/>
                      <w:bCs/>
                      <w:color w:val="000000"/>
                      <w:sz w:val="18"/>
                      <w:szCs w:val="18"/>
                      <w:highlight w:val="none"/>
                      <w:lang w:val="en-US" w:eastAsia="zh-CN"/>
                    </w:rPr>
                    <w:t>占标率(%)</w:t>
                  </w:r>
                </w:p>
              </w:tc>
              <w:tc>
                <w:tcPr>
                  <w:tcW w:w="1050" w:type="dxa"/>
                  <w:noWrap w:val="0"/>
                  <w:vAlign w:val="center"/>
                </w:tcPr>
                <w:p w14:paraId="03A3FFD9">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b/>
                      <w:bCs/>
                      <w:color w:val="000000"/>
                      <w:sz w:val="18"/>
                      <w:szCs w:val="18"/>
                      <w:highlight w:val="none"/>
                      <w:lang w:val="en-US" w:eastAsia="zh-CN"/>
                    </w:rPr>
                    <w:t>落地浓度(mg/m</w:t>
                  </w:r>
                  <w:r>
                    <w:rPr>
                      <w:rFonts w:hint="default" w:ascii="Times New Roman" w:hAnsi="Times New Roman" w:cs="Times New Roman"/>
                      <w:b/>
                      <w:bCs/>
                      <w:color w:val="000000"/>
                      <w:sz w:val="18"/>
                      <w:szCs w:val="18"/>
                      <w:highlight w:val="none"/>
                      <w:vertAlign w:val="superscript"/>
                      <w:lang w:val="en-US" w:eastAsia="zh-CN"/>
                    </w:rPr>
                    <w:t>3</w:t>
                  </w:r>
                  <w:r>
                    <w:rPr>
                      <w:rFonts w:hint="default" w:ascii="Times New Roman" w:hAnsi="Times New Roman" w:cs="Times New Roman"/>
                      <w:b/>
                      <w:bCs/>
                      <w:color w:val="000000"/>
                      <w:sz w:val="18"/>
                      <w:szCs w:val="18"/>
                      <w:highlight w:val="none"/>
                      <w:lang w:val="en-US" w:eastAsia="zh-CN"/>
                    </w:rPr>
                    <w:t>)</w:t>
                  </w:r>
                </w:p>
              </w:tc>
              <w:tc>
                <w:tcPr>
                  <w:tcW w:w="700" w:type="dxa"/>
                  <w:noWrap w:val="0"/>
                  <w:vAlign w:val="center"/>
                </w:tcPr>
                <w:p w14:paraId="64CCA8CC">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b/>
                      <w:bCs/>
                      <w:color w:val="000000"/>
                      <w:sz w:val="18"/>
                      <w:szCs w:val="18"/>
                      <w:highlight w:val="none"/>
                      <w:lang w:val="en-US" w:eastAsia="zh-CN"/>
                    </w:rPr>
                    <w:t>占标率(%)</w:t>
                  </w:r>
                </w:p>
              </w:tc>
              <w:tc>
                <w:tcPr>
                  <w:tcW w:w="1030" w:type="dxa"/>
                  <w:noWrap w:val="0"/>
                  <w:vAlign w:val="center"/>
                </w:tcPr>
                <w:p w14:paraId="40D109FA">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b/>
                      <w:bCs/>
                      <w:color w:val="000000"/>
                      <w:sz w:val="18"/>
                      <w:szCs w:val="18"/>
                      <w:highlight w:val="none"/>
                      <w:lang w:val="en-US" w:eastAsia="zh-CN"/>
                    </w:rPr>
                    <w:t>落地浓度(mg/m</w:t>
                  </w:r>
                  <w:r>
                    <w:rPr>
                      <w:rFonts w:hint="default" w:ascii="Times New Roman" w:hAnsi="Times New Roman" w:cs="Times New Roman"/>
                      <w:b/>
                      <w:bCs/>
                      <w:color w:val="000000"/>
                      <w:sz w:val="18"/>
                      <w:szCs w:val="18"/>
                      <w:highlight w:val="none"/>
                      <w:vertAlign w:val="superscript"/>
                      <w:lang w:val="en-US" w:eastAsia="zh-CN"/>
                    </w:rPr>
                    <w:t>3</w:t>
                  </w:r>
                  <w:r>
                    <w:rPr>
                      <w:rFonts w:hint="default" w:ascii="Times New Roman" w:hAnsi="Times New Roman" w:cs="Times New Roman"/>
                      <w:b/>
                      <w:bCs/>
                      <w:color w:val="000000"/>
                      <w:sz w:val="18"/>
                      <w:szCs w:val="18"/>
                      <w:highlight w:val="none"/>
                      <w:lang w:val="en-US" w:eastAsia="zh-CN"/>
                    </w:rPr>
                    <w:t>)</w:t>
                  </w:r>
                </w:p>
              </w:tc>
              <w:tc>
                <w:tcPr>
                  <w:tcW w:w="760" w:type="dxa"/>
                  <w:noWrap w:val="0"/>
                  <w:vAlign w:val="center"/>
                </w:tcPr>
                <w:p w14:paraId="4A4378D5">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b/>
                      <w:bCs/>
                      <w:color w:val="000000"/>
                      <w:sz w:val="18"/>
                      <w:szCs w:val="18"/>
                      <w:highlight w:val="none"/>
                      <w:lang w:val="en-US" w:eastAsia="zh-CN"/>
                    </w:rPr>
                    <w:t>占标率(%)</w:t>
                  </w:r>
                </w:p>
              </w:tc>
              <w:tc>
                <w:tcPr>
                  <w:tcW w:w="1000" w:type="dxa"/>
                  <w:noWrap w:val="0"/>
                  <w:vAlign w:val="center"/>
                </w:tcPr>
                <w:p w14:paraId="2B18AA2D">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b/>
                      <w:bCs/>
                      <w:color w:val="000000"/>
                      <w:sz w:val="18"/>
                      <w:szCs w:val="18"/>
                      <w:highlight w:val="none"/>
                      <w:lang w:val="en-US" w:eastAsia="zh-CN"/>
                    </w:rPr>
                    <w:t>落地浓度(mg/m</w:t>
                  </w:r>
                  <w:r>
                    <w:rPr>
                      <w:rFonts w:hint="default" w:ascii="Times New Roman" w:hAnsi="Times New Roman" w:cs="Times New Roman"/>
                      <w:b/>
                      <w:bCs/>
                      <w:color w:val="000000"/>
                      <w:sz w:val="18"/>
                      <w:szCs w:val="18"/>
                      <w:highlight w:val="none"/>
                      <w:vertAlign w:val="superscript"/>
                      <w:lang w:val="en-US" w:eastAsia="zh-CN"/>
                    </w:rPr>
                    <w:t>3</w:t>
                  </w:r>
                  <w:r>
                    <w:rPr>
                      <w:rFonts w:hint="default" w:ascii="Times New Roman" w:hAnsi="Times New Roman" w:cs="Times New Roman"/>
                      <w:b/>
                      <w:bCs/>
                      <w:color w:val="000000"/>
                      <w:sz w:val="18"/>
                      <w:szCs w:val="18"/>
                      <w:highlight w:val="none"/>
                      <w:lang w:val="en-US" w:eastAsia="zh-CN"/>
                    </w:rPr>
                    <w:t>)</w:t>
                  </w:r>
                </w:p>
              </w:tc>
              <w:tc>
                <w:tcPr>
                  <w:tcW w:w="750" w:type="dxa"/>
                  <w:noWrap w:val="0"/>
                  <w:vAlign w:val="center"/>
                </w:tcPr>
                <w:p w14:paraId="004CFAC6">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b/>
                      <w:bCs/>
                      <w:color w:val="000000"/>
                      <w:sz w:val="18"/>
                      <w:szCs w:val="18"/>
                      <w:highlight w:val="none"/>
                      <w:lang w:val="en-US" w:eastAsia="zh-CN"/>
                    </w:rPr>
                    <w:t>占标率(%)</w:t>
                  </w:r>
                </w:p>
              </w:tc>
              <w:tc>
                <w:tcPr>
                  <w:tcW w:w="1130" w:type="dxa"/>
                  <w:noWrap w:val="0"/>
                  <w:vAlign w:val="center"/>
                </w:tcPr>
                <w:p w14:paraId="5846681C">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b/>
                      <w:bCs/>
                      <w:color w:val="000000"/>
                      <w:sz w:val="18"/>
                      <w:szCs w:val="18"/>
                      <w:highlight w:val="none"/>
                      <w:lang w:val="en-US" w:eastAsia="zh-CN"/>
                    </w:rPr>
                    <w:t>落地浓度(mg/m</w:t>
                  </w:r>
                  <w:r>
                    <w:rPr>
                      <w:rFonts w:hint="default" w:ascii="Times New Roman" w:hAnsi="Times New Roman" w:cs="Times New Roman"/>
                      <w:b/>
                      <w:bCs/>
                      <w:color w:val="000000"/>
                      <w:sz w:val="18"/>
                      <w:szCs w:val="18"/>
                      <w:highlight w:val="none"/>
                      <w:vertAlign w:val="superscript"/>
                      <w:lang w:val="en-US" w:eastAsia="zh-CN"/>
                    </w:rPr>
                    <w:t>3</w:t>
                  </w:r>
                  <w:r>
                    <w:rPr>
                      <w:rFonts w:hint="default" w:ascii="Times New Roman" w:hAnsi="Times New Roman" w:cs="Times New Roman"/>
                      <w:b/>
                      <w:bCs/>
                      <w:color w:val="000000"/>
                      <w:sz w:val="18"/>
                      <w:szCs w:val="18"/>
                      <w:highlight w:val="none"/>
                      <w:lang w:val="en-US" w:eastAsia="zh-CN"/>
                    </w:rPr>
                    <w:t>)</w:t>
                  </w:r>
                </w:p>
              </w:tc>
              <w:tc>
                <w:tcPr>
                  <w:tcW w:w="750" w:type="dxa"/>
                  <w:noWrap w:val="0"/>
                  <w:vAlign w:val="center"/>
                </w:tcPr>
                <w:p w14:paraId="0926BBB1">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b/>
                      <w:bCs/>
                      <w:color w:val="000000"/>
                      <w:sz w:val="18"/>
                      <w:szCs w:val="18"/>
                      <w:highlight w:val="none"/>
                      <w:lang w:val="en-US" w:eastAsia="zh-CN"/>
                    </w:rPr>
                    <w:t>占标率(%)</w:t>
                  </w:r>
                </w:p>
              </w:tc>
              <w:tc>
                <w:tcPr>
                  <w:tcW w:w="1110" w:type="dxa"/>
                  <w:noWrap w:val="0"/>
                  <w:vAlign w:val="center"/>
                </w:tcPr>
                <w:p w14:paraId="1B9F7EAF">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b/>
                      <w:bCs/>
                      <w:color w:val="000000"/>
                      <w:sz w:val="18"/>
                      <w:szCs w:val="18"/>
                      <w:highlight w:val="none"/>
                      <w:lang w:val="en-US" w:eastAsia="zh-CN"/>
                    </w:rPr>
                    <w:t>落地浓度(mg/m</w:t>
                  </w:r>
                  <w:r>
                    <w:rPr>
                      <w:rFonts w:hint="default" w:ascii="Times New Roman" w:hAnsi="Times New Roman" w:cs="Times New Roman"/>
                      <w:b/>
                      <w:bCs/>
                      <w:color w:val="000000"/>
                      <w:sz w:val="18"/>
                      <w:szCs w:val="18"/>
                      <w:highlight w:val="none"/>
                      <w:vertAlign w:val="superscript"/>
                      <w:lang w:val="en-US" w:eastAsia="zh-CN"/>
                    </w:rPr>
                    <w:t>3</w:t>
                  </w:r>
                  <w:r>
                    <w:rPr>
                      <w:rFonts w:hint="default" w:ascii="Times New Roman" w:hAnsi="Times New Roman" w:cs="Times New Roman"/>
                      <w:b/>
                      <w:bCs/>
                      <w:color w:val="000000"/>
                      <w:sz w:val="18"/>
                      <w:szCs w:val="18"/>
                      <w:highlight w:val="none"/>
                      <w:lang w:val="en-US" w:eastAsia="zh-CN"/>
                    </w:rPr>
                    <w:t>)</w:t>
                  </w:r>
                </w:p>
              </w:tc>
              <w:tc>
                <w:tcPr>
                  <w:tcW w:w="716" w:type="dxa"/>
                  <w:noWrap w:val="0"/>
                  <w:vAlign w:val="center"/>
                </w:tcPr>
                <w:p w14:paraId="1516A4D4">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b/>
                      <w:bCs/>
                      <w:color w:val="000000"/>
                      <w:sz w:val="18"/>
                      <w:szCs w:val="18"/>
                      <w:highlight w:val="none"/>
                      <w:lang w:val="en-US" w:eastAsia="zh-CN"/>
                    </w:rPr>
                    <w:t>占标率(%)</w:t>
                  </w:r>
                </w:p>
              </w:tc>
            </w:tr>
            <w:tr w14:paraId="777A05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8" w:type="dxa"/>
                  <w:vMerge w:val="restart"/>
                  <w:noWrap w:val="0"/>
                  <w:vAlign w:val="center"/>
                </w:tcPr>
                <w:p w14:paraId="43C959CF">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现有二级渔港码头卸渔区</w:t>
                  </w:r>
                </w:p>
              </w:tc>
              <w:tc>
                <w:tcPr>
                  <w:tcW w:w="870" w:type="dxa"/>
                  <w:noWrap w:val="0"/>
                  <w:vAlign w:val="center"/>
                </w:tcPr>
                <w:p w14:paraId="2654F115">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b w:val="0"/>
                      <w:bCs w:val="0"/>
                      <w:color w:val="000000"/>
                      <w:sz w:val="18"/>
                      <w:szCs w:val="18"/>
                      <w:highlight w:val="none"/>
                      <w:lang w:val="en-US" w:eastAsia="zh-CN"/>
                    </w:rPr>
                    <w:t>NH</w:t>
                  </w:r>
                  <w:r>
                    <w:rPr>
                      <w:rFonts w:hint="default" w:ascii="Times New Roman" w:hAnsi="Times New Roman" w:cs="Times New Roman"/>
                      <w:b w:val="0"/>
                      <w:bCs w:val="0"/>
                      <w:color w:val="000000"/>
                      <w:sz w:val="18"/>
                      <w:szCs w:val="18"/>
                      <w:highlight w:val="none"/>
                      <w:vertAlign w:val="subscript"/>
                      <w:lang w:val="en-US" w:eastAsia="zh-CN"/>
                    </w:rPr>
                    <w:t>3</w:t>
                  </w:r>
                </w:p>
              </w:tc>
              <w:tc>
                <w:tcPr>
                  <w:tcW w:w="950" w:type="dxa"/>
                  <w:noWrap w:val="0"/>
                  <w:vAlign w:val="center"/>
                </w:tcPr>
                <w:p w14:paraId="5313B68A">
                  <w:pPr>
                    <w:pStyle w:val="31"/>
                    <w:bidi w:val="0"/>
                    <w:rPr>
                      <w:rFonts w:hint="default" w:ascii="Times New Roman" w:hAnsi="Times New Roman" w:cs="Times New Roman"/>
                      <w:color w:val="000000"/>
                      <w:sz w:val="18"/>
                      <w:szCs w:val="18"/>
                      <w:highlight w:val="none"/>
                      <w:lang w:val="en-US" w:eastAsia="zh-CN"/>
                    </w:rPr>
                  </w:pPr>
                  <w:r>
                    <w:rPr>
                      <w:rFonts w:hint="default" w:ascii="Times New Roman" w:hAnsi="Times New Roman" w:cs="Times New Roman"/>
                      <w:color w:val="000000"/>
                      <w:sz w:val="18"/>
                      <w:szCs w:val="18"/>
                      <w:highlight w:val="none"/>
                      <w:lang w:val="en-US" w:eastAsia="zh-CN"/>
                    </w:rPr>
                    <w:t>0.00374</w:t>
                  </w:r>
                </w:p>
              </w:tc>
              <w:tc>
                <w:tcPr>
                  <w:tcW w:w="710" w:type="dxa"/>
                  <w:noWrap w:val="0"/>
                  <w:vAlign w:val="center"/>
                </w:tcPr>
                <w:p w14:paraId="784DBFB2">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1.87</w:t>
                  </w:r>
                </w:p>
              </w:tc>
              <w:tc>
                <w:tcPr>
                  <w:tcW w:w="1020" w:type="dxa"/>
                  <w:noWrap w:val="0"/>
                  <w:vAlign w:val="center"/>
                </w:tcPr>
                <w:p w14:paraId="1CEACA3A">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0.00308</w:t>
                  </w:r>
                </w:p>
              </w:tc>
              <w:tc>
                <w:tcPr>
                  <w:tcW w:w="710" w:type="dxa"/>
                  <w:noWrap w:val="0"/>
                  <w:vAlign w:val="center"/>
                </w:tcPr>
                <w:p w14:paraId="6B89300B">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1.54</w:t>
                  </w:r>
                </w:p>
              </w:tc>
              <w:tc>
                <w:tcPr>
                  <w:tcW w:w="1050" w:type="dxa"/>
                  <w:noWrap w:val="0"/>
                  <w:vAlign w:val="center"/>
                </w:tcPr>
                <w:p w14:paraId="7EC9B20C">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0.00151</w:t>
                  </w:r>
                </w:p>
              </w:tc>
              <w:tc>
                <w:tcPr>
                  <w:tcW w:w="700" w:type="dxa"/>
                  <w:noWrap w:val="0"/>
                  <w:vAlign w:val="center"/>
                </w:tcPr>
                <w:p w14:paraId="59C3A682">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0.76</w:t>
                  </w:r>
                </w:p>
              </w:tc>
              <w:tc>
                <w:tcPr>
                  <w:tcW w:w="1030" w:type="dxa"/>
                  <w:noWrap w:val="0"/>
                  <w:vAlign w:val="center"/>
                </w:tcPr>
                <w:p w14:paraId="74D3F6BC">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0.000920</w:t>
                  </w:r>
                </w:p>
              </w:tc>
              <w:tc>
                <w:tcPr>
                  <w:tcW w:w="760" w:type="dxa"/>
                  <w:noWrap w:val="0"/>
                  <w:vAlign w:val="center"/>
                </w:tcPr>
                <w:p w14:paraId="1E27D341">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0.46</w:t>
                  </w:r>
                </w:p>
              </w:tc>
              <w:tc>
                <w:tcPr>
                  <w:tcW w:w="1000" w:type="dxa"/>
                  <w:noWrap w:val="0"/>
                  <w:vAlign w:val="center"/>
                </w:tcPr>
                <w:p w14:paraId="3D24FF60">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0.000602</w:t>
                  </w:r>
                </w:p>
              </w:tc>
              <w:tc>
                <w:tcPr>
                  <w:tcW w:w="750" w:type="dxa"/>
                  <w:noWrap w:val="0"/>
                  <w:vAlign w:val="center"/>
                </w:tcPr>
                <w:p w14:paraId="677D77B2">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0.30</w:t>
                  </w:r>
                </w:p>
              </w:tc>
              <w:tc>
                <w:tcPr>
                  <w:tcW w:w="1130" w:type="dxa"/>
                  <w:noWrap w:val="0"/>
                  <w:vAlign w:val="center"/>
                </w:tcPr>
                <w:p w14:paraId="595D634D">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0.000462</w:t>
                  </w:r>
                </w:p>
              </w:tc>
              <w:tc>
                <w:tcPr>
                  <w:tcW w:w="750" w:type="dxa"/>
                  <w:noWrap w:val="0"/>
                  <w:vAlign w:val="center"/>
                </w:tcPr>
                <w:p w14:paraId="7511A4E0">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0.23</w:t>
                  </w:r>
                </w:p>
              </w:tc>
              <w:tc>
                <w:tcPr>
                  <w:tcW w:w="1110" w:type="dxa"/>
                  <w:noWrap w:val="0"/>
                  <w:vAlign w:val="center"/>
                </w:tcPr>
                <w:p w14:paraId="0A197E6B">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0.000445</w:t>
                  </w:r>
                </w:p>
              </w:tc>
              <w:tc>
                <w:tcPr>
                  <w:tcW w:w="716" w:type="dxa"/>
                  <w:noWrap w:val="0"/>
                  <w:vAlign w:val="center"/>
                </w:tcPr>
                <w:p w14:paraId="632F5F32">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0.22</w:t>
                  </w:r>
                </w:p>
              </w:tc>
            </w:tr>
            <w:tr w14:paraId="764584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8" w:type="dxa"/>
                  <w:vMerge w:val="continue"/>
                  <w:noWrap w:val="0"/>
                  <w:vAlign w:val="center"/>
                </w:tcPr>
                <w:p w14:paraId="27392503">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p>
              </w:tc>
              <w:tc>
                <w:tcPr>
                  <w:tcW w:w="870" w:type="dxa"/>
                  <w:noWrap w:val="0"/>
                  <w:vAlign w:val="center"/>
                </w:tcPr>
                <w:p w14:paraId="0554E011">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b w:val="0"/>
                      <w:bCs w:val="0"/>
                      <w:color w:val="000000"/>
                      <w:sz w:val="18"/>
                      <w:szCs w:val="18"/>
                      <w:highlight w:val="none"/>
                      <w:lang w:val="en-US" w:eastAsia="zh-CN"/>
                    </w:rPr>
                    <w:t>H</w:t>
                  </w:r>
                  <w:r>
                    <w:rPr>
                      <w:rFonts w:hint="default" w:ascii="Times New Roman" w:hAnsi="Times New Roman" w:cs="Times New Roman"/>
                      <w:b w:val="0"/>
                      <w:bCs w:val="0"/>
                      <w:color w:val="000000"/>
                      <w:sz w:val="18"/>
                      <w:szCs w:val="18"/>
                      <w:highlight w:val="none"/>
                      <w:vertAlign w:val="subscript"/>
                      <w:lang w:val="en-US" w:eastAsia="zh-CN"/>
                    </w:rPr>
                    <w:t>2</w:t>
                  </w:r>
                  <w:r>
                    <w:rPr>
                      <w:rFonts w:hint="default" w:ascii="Times New Roman" w:hAnsi="Times New Roman" w:cs="Times New Roman"/>
                      <w:b w:val="0"/>
                      <w:bCs w:val="0"/>
                      <w:color w:val="000000"/>
                      <w:sz w:val="18"/>
                      <w:szCs w:val="18"/>
                      <w:highlight w:val="none"/>
                      <w:lang w:val="en-US" w:eastAsia="zh-CN"/>
                    </w:rPr>
                    <w:t>S</w:t>
                  </w:r>
                </w:p>
              </w:tc>
              <w:tc>
                <w:tcPr>
                  <w:tcW w:w="950" w:type="dxa"/>
                  <w:noWrap w:val="0"/>
                  <w:vAlign w:val="center"/>
                </w:tcPr>
                <w:p w14:paraId="30B21140">
                  <w:pPr>
                    <w:pStyle w:val="31"/>
                    <w:bidi w:val="0"/>
                    <w:rPr>
                      <w:rFonts w:hint="default" w:ascii="Times New Roman" w:hAnsi="Times New Roman" w:cs="Times New Roman"/>
                      <w:color w:val="000000"/>
                      <w:sz w:val="18"/>
                      <w:szCs w:val="18"/>
                      <w:highlight w:val="none"/>
                      <w:lang w:val="en-US" w:eastAsia="zh-CN"/>
                    </w:rPr>
                  </w:pPr>
                  <w:r>
                    <w:rPr>
                      <w:rFonts w:hint="default" w:ascii="Times New Roman" w:hAnsi="Times New Roman" w:cs="Times New Roman"/>
                      <w:color w:val="000000"/>
                      <w:sz w:val="18"/>
                      <w:szCs w:val="18"/>
                      <w:highlight w:val="none"/>
                      <w:lang w:val="en-US" w:eastAsia="zh-CN"/>
                    </w:rPr>
                    <w:t>0.000363</w:t>
                  </w:r>
                </w:p>
              </w:tc>
              <w:tc>
                <w:tcPr>
                  <w:tcW w:w="710" w:type="dxa"/>
                  <w:noWrap w:val="0"/>
                  <w:vAlign w:val="center"/>
                </w:tcPr>
                <w:p w14:paraId="2EB598B2">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3.63</w:t>
                  </w:r>
                </w:p>
              </w:tc>
              <w:tc>
                <w:tcPr>
                  <w:tcW w:w="1020" w:type="dxa"/>
                  <w:noWrap w:val="0"/>
                  <w:vAlign w:val="center"/>
                </w:tcPr>
                <w:p w14:paraId="0285E3E2">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0.000299</w:t>
                  </w:r>
                </w:p>
              </w:tc>
              <w:tc>
                <w:tcPr>
                  <w:tcW w:w="710" w:type="dxa"/>
                  <w:noWrap w:val="0"/>
                  <w:vAlign w:val="center"/>
                </w:tcPr>
                <w:p w14:paraId="14FC4D90">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2.99</w:t>
                  </w:r>
                </w:p>
              </w:tc>
              <w:tc>
                <w:tcPr>
                  <w:tcW w:w="1050" w:type="dxa"/>
                  <w:noWrap w:val="0"/>
                  <w:vAlign w:val="center"/>
                </w:tcPr>
                <w:p w14:paraId="41582FCF">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0.000147</w:t>
                  </w:r>
                </w:p>
              </w:tc>
              <w:tc>
                <w:tcPr>
                  <w:tcW w:w="700" w:type="dxa"/>
                  <w:noWrap w:val="0"/>
                  <w:vAlign w:val="center"/>
                </w:tcPr>
                <w:p w14:paraId="40A00BA1">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1.47</w:t>
                  </w:r>
                </w:p>
              </w:tc>
              <w:tc>
                <w:tcPr>
                  <w:tcW w:w="1030" w:type="dxa"/>
                  <w:noWrap w:val="0"/>
                  <w:vAlign w:val="center"/>
                </w:tcPr>
                <w:p w14:paraId="275BAE06">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0.0000893</w:t>
                  </w:r>
                </w:p>
              </w:tc>
              <w:tc>
                <w:tcPr>
                  <w:tcW w:w="760" w:type="dxa"/>
                  <w:noWrap w:val="0"/>
                  <w:vAlign w:val="center"/>
                </w:tcPr>
                <w:p w14:paraId="31555495">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0.89</w:t>
                  </w:r>
                </w:p>
              </w:tc>
              <w:tc>
                <w:tcPr>
                  <w:tcW w:w="1000" w:type="dxa"/>
                  <w:noWrap w:val="0"/>
                  <w:vAlign w:val="center"/>
                </w:tcPr>
                <w:p w14:paraId="0B4E9A29">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0.0000584</w:t>
                  </w:r>
                </w:p>
              </w:tc>
              <w:tc>
                <w:tcPr>
                  <w:tcW w:w="750" w:type="dxa"/>
                  <w:noWrap w:val="0"/>
                  <w:vAlign w:val="center"/>
                </w:tcPr>
                <w:p w14:paraId="221A4B7E">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0.58</w:t>
                  </w:r>
                </w:p>
              </w:tc>
              <w:tc>
                <w:tcPr>
                  <w:tcW w:w="1130" w:type="dxa"/>
                  <w:noWrap w:val="0"/>
                  <w:vAlign w:val="center"/>
                </w:tcPr>
                <w:p w14:paraId="491CF08E">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0.0000449</w:t>
                  </w:r>
                </w:p>
              </w:tc>
              <w:tc>
                <w:tcPr>
                  <w:tcW w:w="750" w:type="dxa"/>
                  <w:noWrap w:val="0"/>
                  <w:vAlign w:val="center"/>
                </w:tcPr>
                <w:p w14:paraId="41E348EF">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0.45</w:t>
                  </w:r>
                </w:p>
              </w:tc>
              <w:tc>
                <w:tcPr>
                  <w:tcW w:w="1110" w:type="dxa"/>
                  <w:noWrap w:val="0"/>
                  <w:vAlign w:val="center"/>
                </w:tcPr>
                <w:p w14:paraId="16569AE9">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0.0000432</w:t>
                  </w:r>
                </w:p>
              </w:tc>
              <w:tc>
                <w:tcPr>
                  <w:tcW w:w="716" w:type="dxa"/>
                  <w:noWrap w:val="0"/>
                  <w:vAlign w:val="center"/>
                </w:tcPr>
                <w:p w14:paraId="48A5E899">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0.43</w:t>
                  </w:r>
                </w:p>
              </w:tc>
            </w:tr>
            <w:tr w14:paraId="1FE2B1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8" w:type="dxa"/>
                  <w:vMerge w:val="restart"/>
                  <w:noWrap w:val="0"/>
                  <w:vAlign w:val="center"/>
                </w:tcPr>
                <w:p w14:paraId="04109943">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新建码头</w:t>
                  </w:r>
                </w:p>
              </w:tc>
              <w:tc>
                <w:tcPr>
                  <w:tcW w:w="870" w:type="dxa"/>
                  <w:noWrap w:val="0"/>
                  <w:vAlign w:val="center"/>
                </w:tcPr>
                <w:p w14:paraId="35F770F4">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b w:val="0"/>
                      <w:bCs w:val="0"/>
                      <w:color w:val="000000"/>
                      <w:sz w:val="18"/>
                      <w:szCs w:val="18"/>
                      <w:highlight w:val="none"/>
                      <w:lang w:val="en-US" w:eastAsia="zh-CN"/>
                    </w:rPr>
                    <w:t>NH</w:t>
                  </w:r>
                  <w:r>
                    <w:rPr>
                      <w:rFonts w:hint="default" w:ascii="Times New Roman" w:hAnsi="Times New Roman" w:cs="Times New Roman"/>
                      <w:b w:val="0"/>
                      <w:bCs w:val="0"/>
                      <w:color w:val="000000"/>
                      <w:sz w:val="18"/>
                      <w:szCs w:val="18"/>
                      <w:highlight w:val="none"/>
                      <w:vertAlign w:val="subscript"/>
                      <w:lang w:val="en-US" w:eastAsia="zh-CN"/>
                    </w:rPr>
                    <w:t>3</w:t>
                  </w:r>
                </w:p>
              </w:tc>
              <w:tc>
                <w:tcPr>
                  <w:tcW w:w="950" w:type="dxa"/>
                  <w:noWrap w:val="0"/>
                  <w:vAlign w:val="center"/>
                </w:tcPr>
                <w:p w14:paraId="1D27BDD2">
                  <w:pPr>
                    <w:pStyle w:val="31"/>
                    <w:bidi w:val="0"/>
                    <w:rPr>
                      <w:rFonts w:hint="default" w:ascii="Times New Roman" w:hAnsi="Times New Roman" w:cs="Times New Roman"/>
                      <w:color w:val="000000"/>
                      <w:sz w:val="18"/>
                      <w:szCs w:val="18"/>
                      <w:highlight w:val="none"/>
                      <w:lang w:val="en-US" w:eastAsia="zh-CN"/>
                    </w:rPr>
                  </w:pPr>
                  <w:r>
                    <w:rPr>
                      <w:rFonts w:hint="default" w:ascii="Times New Roman" w:hAnsi="Times New Roman" w:cs="Times New Roman"/>
                      <w:color w:val="000000"/>
                      <w:sz w:val="18"/>
                      <w:szCs w:val="18"/>
                      <w:highlight w:val="none"/>
                      <w:lang w:val="en-US" w:eastAsia="zh-CN"/>
                    </w:rPr>
                    <w:t>0.00145</w:t>
                  </w:r>
                </w:p>
              </w:tc>
              <w:tc>
                <w:tcPr>
                  <w:tcW w:w="710" w:type="dxa"/>
                  <w:noWrap w:val="0"/>
                  <w:vAlign w:val="center"/>
                </w:tcPr>
                <w:p w14:paraId="6DD20F98">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0.72</w:t>
                  </w:r>
                </w:p>
              </w:tc>
              <w:tc>
                <w:tcPr>
                  <w:tcW w:w="1020" w:type="dxa"/>
                  <w:noWrap w:val="0"/>
                  <w:vAlign w:val="center"/>
                </w:tcPr>
                <w:p w14:paraId="4F5411BB">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0.00112</w:t>
                  </w:r>
                </w:p>
              </w:tc>
              <w:tc>
                <w:tcPr>
                  <w:tcW w:w="710" w:type="dxa"/>
                  <w:noWrap w:val="0"/>
                  <w:vAlign w:val="center"/>
                </w:tcPr>
                <w:p w14:paraId="6F0C59A8">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0.56</w:t>
                  </w:r>
                </w:p>
              </w:tc>
              <w:tc>
                <w:tcPr>
                  <w:tcW w:w="1050" w:type="dxa"/>
                  <w:noWrap w:val="0"/>
                  <w:vAlign w:val="center"/>
                </w:tcPr>
                <w:p w14:paraId="393A6C07">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0.000499</w:t>
                  </w:r>
                </w:p>
              </w:tc>
              <w:tc>
                <w:tcPr>
                  <w:tcW w:w="700" w:type="dxa"/>
                  <w:noWrap w:val="0"/>
                  <w:vAlign w:val="center"/>
                </w:tcPr>
                <w:p w14:paraId="1E44D864">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0.25</w:t>
                  </w:r>
                </w:p>
              </w:tc>
              <w:tc>
                <w:tcPr>
                  <w:tcW w:w="1030" w:type="dxa"/>
                  <w:noWrap w:val="0"/>
                  <w:vAlign w:val="center"/>
                </w:tcPr>
                <w:p w14:paraId="110E1E86">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0.000286</w:t>
                  </w:r>
                </w:p>
              </w:tc>
              <w:tc>
                <w:tcPr>
                  <w:tcW w:w="760" w:type="dxa"/>
                  <w:noWrap w:val="0"/>
                  <w:vAlign w:val="center"/>
                </w:tcPr>
                <w:p w14:paraId="1975FD1E">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0.14</w:t>
                  </w:r>
                </w:p>
              </w:tc>
              <w:tc>
                <w:tcPr>
                  <w:tcW w:w="1000" w:type="dxa"/>
                  <w:noWrap w:val="0"/>
                  <w:vAlign w:val="center"/>
                </w:tcPr>
                <w:p w14:paraId="354F3291">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0.000187</w:t>
                  </w:r>
                </w:p>
              </w:tc>
              <w:tc>
                <w:tcPr>
                  <w:tcW w:w="750" w:type="dxa"/>
                  <w:noWrap w:val="0"/>
                  <w:vAlign w:val="center"/>
                </w:tcPr>
                <w:p w14:paraId="0EFF3589">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0.09</w:t>
                  </w:r>
                </w:p>
              </w:tc>
              <w:tc>
                <w:tcPr>
                  <w:tcW w:w="1130" w:type="dxa"/>
                  <w:noWrap w:val="0"/>
                  <w:vAlign w:val="center"/>
                </w:tcPr>
                <w:p w14:paraId="26DB1636">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0.000144</w:t>
                  </w:r>
                </w:p>
              </w:tc>
              <w:tc>
                <w:tcPr>
                  <w:tcW w:w="750" w:type="dxa"/>
                  <w:noWrap w:val="0"/>
                  <w:vAlign w:val="center"/>
                </w:tcPr>
                <w:p w14:paraId="0C3E01A5">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0.07</w:t>
                  </w:r>
                </w:p>
              </w:tc>
              <w:tc>
                <w:tcPr>
                  <w:tcW w:w="1110" w:type="dxa"/>
                  <w:noWrap w:val="0"/>
                  <w:vAlign w:val="center"/>
                </w:tcPr>
                <w:p w14:paraId="797EDFB5">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0.000138</w:t>
                  </w:r>
                </w:p>
              </w:tc>
              <w:tc>
                <w:tcPr>
                  <w:tcW w:w="716" w:type="dxa"/>
                  <w:noWrap w:val="0"/>
                  <w:vAlign w:val="center"/>
                </w:tcPr>
                <w:p w14:paraId="09559226">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0.07</w:t>
                  </w:r>
                </w:p>
              </w:tc>
            </w:tr>
            <w:tr w14:paraId="2268AE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8" w:type="dxa"/>
                  <w:vMerge w:val="continue"/>
                  <w:noWrap w:val="0"/>
                  <w:vAlign w:val="center"/>
                </w:tcPr>
                <w:p w14:paraId="33B8FE75">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p>
              </w:tc>
              <w:tc>
                <w:tcPr>
                  <w:tcW w:w="870" w:type="dxa"/>
                  <w:noWrap w:val="0"/>
                  <w:vAlign w:val="center"/>
                </w:tcPr>
                <w:p w14:paraId="061BEC3B">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b w:val="0"/>
                      <w:bCs w:val="0"/>
                      <w:color w:val="000000"/>
                      <w:sz w:val="18"/>
                      <w:szCs w:val="18"/>
                      <w:highlight w:val="none"/>
                      <w:lang w:val="en-US" w:eastAsia="zh-CN"/>
                    </w:rPr>
                    <w:t>H</w:t>
                  </w:r>
                  <w:r>
                    <w:rPr>
                      <w:rFonts w:hint="default" w:ascii="Times New Roman" w:hAnsi="Times New Roman" w:cs="Times New Roman"/>
                      <w:b w:val="0"/>
                      <w:bCs w:val="0"/>
                      <w:color w:val="000000"/>
                      <w:sz w:val="18"/>
                      <w:szCs w:val="18"/>
                      <w:highlight w:val="none"/>
                      <w:vertAlign w:val="subscript"/>
                      <w:lang w:val="en-US" w:eastAsia="zh-CN"/>
                    </w:rPr>
                    <w:t>2</w:t>
                  </w:r>
                  <w:r>
                    <w:rPr>
                      <w:rFonts w:hint="default" w:ascii="Times New Roman" w:hAnsi="Times New Roman" w:cs="Times New Roman"/>
                      <w:b w:val="0"/>
                      <w:bCs w:val="0"/>
                      <w:color w:val="000000"/>
                      <w:sz w:val="18"/>
                      <w:szCs w:val="18"/>
                      <w:highlight w:val="none"/>
                      <w:lang w:val="en-US" w:eastAsia="zh-CN"/>
                    </w:rPr>
                    <w:t>S</w:t>
                  </w:r>
                </w:p>
              </w:tc>
              <w:tc>
                <w:tcPr>
                  <w:tcW w:w="950" w:type="dxa"/>
                  <w:noWrap w:val="0"/>
                  <w:vAlign w:val="center"/>
                </w:tcPr>
                <w:p w14:paraId="40ED6171">
                  <w:pPr>
                    <w:pStyle w:val="31"/>
                    <w:bidi w:val="0"/>
                    <w:rPr>
                      <w:rFonts w:hint="default" w:ascii="Times New Roman" w:hAnsi="Times New Roman" w:cs="Times New Roman"/>
                      <w:color w:val="000000"/>
                      <w:sz w:val="18"/>
                      <w:szCs w:val="18"/>
                      <w:highlight w:val="none"/>
                      <w:lang w:val="en-US" w:eastAsia="zh-CN"/>
                    </w:rPr>
                  </w:pPr>
                  <w:r>
                    <w:rPr>
                      <w:rFonts w:hint="default" w:ascii="Times New Roman" w:hAnsi="Times New Roman" w:cs="Times New Roman"/>
                      <w:color w:val="000000"/>
                      <w:sz w:val="18"/>
                      <w:szCs w:val="18"/>
                      <w:highlight w:val="none"/>
                      <w:lang w:val="en-US" w:eastAsia="zh-CN"/>
                    </w:rPr>
                    <w:t>0.000135</w:t>
                  </w:r>
                </w:p>
              </w:tc>
              <w:tc>
                <w:tcPr>
                  <w:tcW w:w="710" w:type="dxa"/>
                  <w:noWrap w:val="0"/>
                  <w:vAlign w:val="center"/>
                </w:tcPr>
                <w:p w14:paraId="2E9C3566">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1.35</w:t>
                  </w:r>
                </w:p>
              </w:tc>
              <w:tc>
                <w:tcPr>
                  <w:tcW w:w="1020" w:type="dxa"/>
                  <w:noWrap w:val="0"/>
                  <w:vAlign w:val="center"/>
                </w:tcPr>
                <w:p w14:paraId="7FE93E4E">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0.000105</w:t>
                  </w:r>
                </w:p>
              </w:tc>
              <w:tc>
                <w:tcPr>
                  <w:tcW w:w="710" w:type="dxa"/>
                  <w:noWrap w:val="0"/>
                  <w:vAlign w:val="center"/>
                </w:tcPr>
                <w:p w14:paraId="524707C0">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1.05</w:t>
                  </w:r>
                </w:p>
              </w:tc>
              <w:tc>
                <w:tcPr>
                  <w:tcW w:w="1050" w:type="dxa"/>
                  <w:noWrap w:val="0"/>
                  <w:vAlign w:val="center"/>
                </w:tcPr>
                <w:p w14:paraId="120A0C7D">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0.0000467</w:t>
                  </w:r>
                </w:p>
              </w:tc>
              <w:tc>
                <w:tcPr>
                  <w:tcW w:w="700" w:type="dxa"/>
                  <w:noWrap w:val="0"/>
                  <w:vAlign w:val="center"/>
                </w:tcPr>
                <w:p w14:paraId="24993017">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0.47</w:t>
                  </w:r>
                </w:p>
              </w:tc>
              <w:tc>
                <w:tcPr>
                  <w:tcW w:w="1030" w:type="dxa"/>
                  <w:noWrap w:val="0"/>
                  <w:vAlign w:val="center"/>
                </w:tcPr>
                <w:p w14:paraId="490D118E">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0.0000268</w:t>
                  </w:r>
                </w:p>
              </w:tc>
              <w:tc>
                <w:tcPr>
                  <w:tcW w:w="760" w:type="dxa"/>
                  <w:noWrap w:val="0"/>
                  <w:vAlign w:val="center"/>
                </w:tcPr>
                <w:p w14:paraId="6C4870D4">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0.27</w:t>
                  </w:r>
                </w:p>
              </w:tc>
              <w:tc>
                <w:tcPr>
                  <w:tcW w:w="1000" w:type="dxa"/>
                  <w:noWrap w:val="0"/>
                  <w:vAlign w:val="center"/>
                </w:tcPr>
                <w:p w14:paraId="67AF8720">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0.0000175</w:t>
                  </w:r>
                </w:p>
              </w:tc>
              <w:tc>
                <w:tcPr>
                  <w:tcW w:w="750" w:type="dxa"/>
                  <w:noWrap w:val="0"/>
                  <w:vAlign w:val="center"/>
                </w:tcPr>
                <w:p w14:paraId="71D8741E">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0.18</w:t>
                  </w:r>
                </w:p>
              </w:tc>
              <w:tc>
                <w:tcPr>
                  <w:tcW w:w="1130" w:type="dxa"/>
                  <w:noWrap w:val="0"/>
                  <w:vAlign w:val="center"/>
                </w:tcPr>
                <w:p w14:paraId="228F9540">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0.0000135</w:t>
                  </w:r>
                </w:p>
              </w:tc>
              <w:tc>
                <w:tcPr>
                  <w:tcW w:w="750" w:type="dxa"/>
                  <w:noWrap w:val="0"/>
                  <w:vAlign w:val="center"/>
                </w:tcPr>
                <w:p w14:paraId="5525BB14">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0.13</w:t>
                  </w:r>
                </w:p>
              </w:tc>
              <w:tc>
                <w:tcPr>
                  <w:tcW w:w="1110" w:type="dxa"/>
                  <w:noWrap w:val="0"/>
                  <w:vAlign w:val="center"/>
                </w:tcPr>
                <w:p w14:paraId="0336C549">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0.0000130</w:t>
                  </w:r>
                </w:p>
              </w:tc>
              <w:tc>
                <w:tcPr>
                  <w:tcW w:w="716" w:type="dxa"/>
                  <w:noWrap w:val="0"/>
                  <w:vAlign w:val="center"/>
                </w:tcPr>
                <w:p w14:paraId="2617D98B">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0.13</w:t>
                  </w:r>
                </w:p>
              </w:tc>
            </w:tr>
            <w:tr w14:paraId="44643A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8" w:type="dxa"/>
                  <w:vMerge w:val="restart"/>
                  <w:noWrap w:val="0"/>
                  <w:vAlign w:val="center"/>
                </w:tcPr>
                <w:p w14:paraId="483FD5B1">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新建卸渔区</w:t>
                  </w:r>
                </w:p>
              </w:tc>
              <w:tc>
                <w:tcPr>
                  <w:tcW w:w="870" w:type="dxa"/>
                  <w:noWrap w:val="0"/>
                  <w:vAlign w:val="center"/>
                </w:tcPr>
                <w:p w14:paraId="449407E9">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b w:val="0"/>
                      <w:bCs w:val="0"/>
                      <w:color w:val="000000"/>
                      <w:sz w:val="18"/>
                      <w:szCs w:val="18"/>
                      <w:highlight w:val="none"/>
                      <w:lang w:val="en-US" w:eastAsia="zh-CN"/>
                    </w:rPr>
                    <w:t>NH</w:t>
                  </w:r>
                  <w:r>
                    <w:rPr>
                      <w:rFonts w:hint="default" w:ascii="Times New Roman" w:hAnsi="Times New Roman" w:cs="Times New Roman"/>
                      <w:b w:val="0"/>
                      <w:bCs w:val="0"/>
                      <w:color w:val="000000"/>
                      <w:sz w:val="18"/>
                      <w:szCs w:val="18"/>
                      <w:highlight w:val="none"/>
                      <w:vertAlign w:val="subscript"/>
                      <w:lang w:val="en-US" w:eastAsia="zh-CN"/>
                    </w:rPr>
                    <w:t>3</w:t>
                  </w:r>
                </w:p>
              </w:tc>
              <w:tc>
                <w:tcPr>
                  <w:tcW w:w="950" w:type="dxa"/>
                  <w:noWrap w:val="0"/>
                  <w:vAlign w:val="center"/>
                </w:tcPr>
                <w:p w14:paraId="6D90680F">
                  <w:pPr>
                    <w:pStyle w:val="31"/>
                    <w:bidi w:val="0"/>
                    <w:rPr>
                      <w:rFonts w:hint="default" w:ascii="Times New Roman" w:hAnsi="Times New Roman" w:cs="Times New Roman"/>
                      <w:color w:val="000000"/>
                      <w:sz w:val="18"/>
                      <w:szCs w:val="18"/>
                      <w:highlight w:val="none"/>
                      <w:lang w:val="en-US" w:eastAsia="zh-CN"/>
                    </w:rPr>
                  </w:pPr>
                  <w:r>
                    <w:rPr>
                      <w:rFonts w:hint="default" w:ascii="Times New Roman" w:hAnsi="Times New Roman" w:cs="Times New Roman"/>
                      <w:color w:val="000000"/>
                      <w:sz w:val="18"/>
                      <w:szCs w:val="18"/>
                      <w:highlight w:val="none"/>
                      <w:lang w:val="en-US" w:eastAsia="zh-CN"/>
                    </w:rPr>
                    <w:t>0.00247</w:t>
                  </w:r>
                </w:p>
              </w:tc>
              <w:tc>
                <w:tcPr>
                  <w:tcW w:w="710" w:type="dxa"/>
                  <w:noWrap w:val="0"/>
                  <w:vAlign w:val="center"/>
                </w:tcPr>
                <w:p w14:paraId="08018064">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1.24</w:t>
                  </w:r>
                </w:p>
              </w:tc>
              <w:tc>
                <w:tcPr>
                  <w:tcW w:w="1020" w:type="dxa"/>
                  <w:noWrap w:val="0"/>
                  <w:vAlign w:val="center"/>
                </w:tcPr>
                <w:p w14:paraId="5EF8F586">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0.00193</w:t>
                  </w:r>
                </w:p>
              </w:tc>
              <w:tc>
                <w:tcPr>
                  <w:tcW w:w="710" w:type="dxa"/>
                  <w:noWrap w:val="0"/>
                  <w:vAlign w:val="center"/>
                </w:tcPr>
                <w:p w14:paraId="6289269C">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0.96</w:t>
                  </w:r>
                </w:p>
              </w:tc>
              <w:tc>
                <w:tcPr>
                  <w:tcW w:w="1050" w:type="dxa"/>
                  <w:noWrap w:val="0"/>
                  <w:vAlign w:val="center"/>
                </w:tcPr>
                <w:p w14:paraId="3A59C358">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0.000870</w:t>
                  </w:r>
                </w:p>
              </w:tc>
              <w:tc>
                <w:tcPr>
                  <w:tcW w:w="700" w:type="dxa"/>
                  <w:noWrap w:val="0"/>
                  <w:vAlign w:val="center"/>
                </w:tcPr>
                <w:p w14:paraId="3C27DE27">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0.43</w:t>
                  </w:r>
                </w:p>
              </w:tc>
              <w:tc>
                <w:tcPr>
                  <w:tcW w:w="1030" w:type="dxa"/>
                  <w:noWrap w:val="0"/>
                  <w:vAlign w:val="center"/>
                </w:tcPr>
                <w:p w14:paraId="58C1EAC3">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0.000500</w:t>
                  </w:r>
                </w:p>
              </w:tc>
              <w:tc>
                <w:tcPr>
                  <w:tcW w:w="760" w:type="dxa"/>
                  <w:noWrap w:val="0"/>
                  <w:vAlign w:val="center"/>
                </w:tcPr>
                <w:p w14:paraId="5E001B23">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0.25</w:t>
                  </w:r>
                </w:p>
              </w:tc>
              <w:tc>
                <w:tcPr>
                  <w:tcW w:w="1000" w:type="dxa"/>
                  <w:noWrap w:val="0"/>
                  <w:vAlign w:val="center"/>
                </w:tcPr>
                <w:p w14:paraId="1641895A">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0.000327</w:t>
                  </w:r>
                </w:p>
              </w:tc>
              <w:tc>
                <w:tcPr>
                  <w:tcW w:w="750" w:type="dxa"/>
                  <w:noWrap w:val="0"/>
                  <w:vAlign w:val="center"/>
                </w:tcPr>
                <w:p w14:paraId="65E87B4E">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0.16</w:t>
                  </w:r>
                </w:p>
              </w:tc>
              <w:tc>
                <w:tcPr>
                  <w:tcW w:w="1130" w:type="dxa"/>
                  <w:noWrap w:val="0"/>
                  <w:vAlign w:val="center"/>
                </w:tcPr>
                <w:p w14:paraId="5FEA2F2C">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0.000251</w:t>
                  </w:r>
                </w:p>
              </w:tc>
              <w:tc>
                <w:tcPr>
                  <w:tcW w:w="750" w:type="dxa"/>
                  <w:noWrap w:val="0"/>
                  <w:vAlign w:val="center"/>
                </w:tcPr>
                <w:p w14:paraId="5A065773">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0.13</w:t>
                  </w:r>
                </w:p>
              </w:tc>
              <w:tc>
                <w:tcPr>
                  <w:tcW w:w="1110" w:type="dxa"/>
                  <w:noWrap w:val="0"/>
                  <w:vAlign w:val="center"/>
                </w:tcPr>
                <w:p w14:paraId="07102B45">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0.000242</w:t>
                  </w:r>
                </w:p>
              </w:tc>
              <w:tc>
                <w:tcPr>
                  <w:tcW w:w="716" w:type="dxa"/>
                  <w:noWrap w:val="0"/>
                  <w:vAlign w:val="center"/>
                </w:tcPr>
                <w:p w14:paraId="214EED2D">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0.12</w:t>
                  </w:r>
                </w:p>
              </w:tc>
            </w:tr>
            <w:tr w14:paraId="29E1B4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8" w:type="dxa"/>
                  <w:vMerge w:val="continue"/>
                  <w:noWrap w:val="0"/>
                  <w:vAlign w:val="center"/>
                </w:tcPr>
                <w:p w14:paraId="2ECB2D5A">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p>
              </w:tc>
              <w:tc>
                <w:tcPr>
                  <w:tcW w:w="870" w:type="dxa"/>
                  <w:noWrap w:val="0"/>
                  <w:vAlign w:val="center"/>
                </w:tcPr>
                <w:p w14:paraId="5D81AAA4">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b w:val="0"/>
                      <w:bCs w:val="0"/>
                      <w:color w:val="000000"/>
                      <w:sz w:val="18"/>
                      <w:szCs w:val="18"/>
                      <w:highlight w:val="none"/>
                      <w:lang w:val="en-US" w:eastAsia="zh-CN"/>
                    </w:rPr>
                    <w:t>H</w:t>
                  </w:r>
                  <w:r>
                    <w:rPr>
                      <w:rFonts w:hint="default" w:ascii="Times New Roman" w:hAnsi="Times New Roman" w:cs="Times New Roman"/>
                      <w:b w:val="0"/>
                      <w:bCs w:val="0"/>
                      <w:color w:val="000000"/>
                      <w:sz w:val="18"/>
                      <w:szCs w:val="18"/>
                      <w:highlight w:val="none"/>
                      <w:vertAlign w:val="subscript"/>
                      <w:lang w:val="en-US" w:eastAsia="zh-CN"/>
                    </w:rPr>
                    <w:t>2</w:t>
                  </w:r>
                  <w:r>
                    <w:rPr>
                      <w:rFonts w:hint="default" w:ascii="Times New Roman" w:hAnsi="Times New Roman" w:cs="Times New Roman"/>
                      <w:b w:val="0"/>
                      <w:bCs w:val="0"/>
                      <w:color w:val="000000"/>
                      <w:sz w:val="18"/>
                      <w:szCs w:val="18"/>
                      <w:highlight w:val="none"/>
                      <w:lang w:val="en-US" w:eastAsia="zh-CN"/>
                    </w:rPr>
                    <w:t>S</w:t>
                  </w:r>
                </w:p>
              </w:tc>
              <w:tc>
                <w:tcPr>
                  <w:tcW w:w="950" w:type="dxa"/>
                  <w:noWrap w:val="0"/>
                  <w:vAlign w:val="center"/>
                </w:tcPr>
                <w:p w14:paraId="0374D2DD">
                  <w:pPr>
                    <w:pStyle w:val="31"/>
                    <w:bidi w:val="0"/>
                    <w:rPr>
                      <w:rFonts w:hint="default" w:ascii="Times New Roman" w:hAnsi="Times New Roman" w:cs="Times New Roman"/>
                      <w:color w:val="000000"/>
                      <w:sz w:val="18"/>
                      <w:szCs w:val="18"/>
                      <w:highlight w:val="none"/>
                      <w:lang w:val="en-US" w:eastAsia="zh-CN"/>
                    </w:rPr>
                  </w:pPr>
                  <w:r>
                    <w:rPr>
                      <w:rFonts w:hint="default" w:ascii="Times New Roman" w:hAnsi="Times New Roman" w:cs="Times New Roman"/>
                      <w:color w:val="000000"/>
                      <w:sz w:val="18"/>
                      <w:szCs w:val="18"/>
                      <w:highlight w:val="none"/>
                      <w:lang w:val="en-US" w:eastAsia="zh-CN"/>
                    </w:rPr>
                    <w:t>0.000265</w:t>
                  </w:r>
                </w:p>
              </w:tc>
              <w:tc>
                <w:tcPr>
                  <w:tcW w:w="710" w:type="dxa"/>
                  <w:noWrap w:val="0"/>
                  <w:vAlign w:val="center"/>
                </w:tcPr>
                <w:p w14:paraId="3FE448C5">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2.65</w:t>
                  </w:r>
                </w:p>
              </w:tc>
              <w:tc>
                <w:tcPr>
                  <w:tcW w:w="1020" w:type="dxa"/>
                  <w:noWrap w:val="0"/>
                  <w:vAlign w:val="center"/>
                </w:tcPr>
                <w:p w14:paraId="50B9384C">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0.000207</w:t>
                  </w:r>
                </w:p>
              </w:tc>
              <w:tc>
                <w:tcPr>
                  <w:tcW w:w="710" w:type="dxa"/>
                  <w:noWrap w:val="0"/>
                  <w:vAlign w:val="center"/>
                </w:tcPr>
                <w:p w14:paraId="2796C196">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2.07</w:t>
                  </w:r>
                </w:p>
              </w:tc>
              <w:tc>
                <w:tcPr>
                  <w:tcW w:w="1050" w:type="dxa"/>
                  <w:noWrap w:val="0"/>
                  <w:vAlign w:val="center"/>
                </w:tcPr>
                <w:p w14:paraId="0D4AF9E9">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0.0000932</w:t>
                  </w:r>
                </w:p>
              </w:tc>
              <w:tc>
                <w:tcPr>
                  <w:tcW w:w="700" w:type="dxa"/>
                  <w:noWrap w:val="0"/>
                  <w:vAlign w:val="center"/>
                </w:tcPr>
                <w:p w14:paraId="420CCB67">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0.93</w:t>
                  </w:r>
                </w:p>
              </w:tc>
              <w:tc>
                <w:tcPr>
                  <w:tcW w:w="1030" w:type="dxa"/>
                  <w:noWrap w:val="0"/>
                  <w:vAlign w:val="center"/>
                </w:tcPr>
                <w:p w14:paraId="06097342">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0.0000536</w:t>
                  </w:r>
                </w:p>
              </w:tc>
              <w:tc>
                <w:tcPr>
                  <w:tcW w:w="760" w:type="dxa"/>
                  <w:noWrap w:val="0"/>
                  <w:vAlign w:val="center"/>
                </w:tcPr>
                <w:p w14:paraId="24409028">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0.54</w:t>
                  </w:r>
                </w:p>
              </w:tc>
              <w:tc>
                <w:tcPr>
                  <w:tcW w:w="1000" w:type="dxa"/>
                  <w:noWrap w:val="0"/>
                  <w:vAlign w:val="center"/>
                </w:tcPr>
                <w:p w14:paraId="0DDECB39">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0.0000351</w:t>
                  </w:r>
                </w:p>
              </w:tc>
              <w:tc>
                <w:tcPr>
                  <w:tcW w:w="750" w:type="dxa"/>
                  <w:noWrap w:val="0"/>
                  <w:vAlign w:val="center"/>
                </w:tcPr>
                <w:p w14:paraId="141C4E69">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0.35</w:t>
                  </w:r>
                </w:p>
              </w:tc>
              <w:tc>
                <w:tcPr>
                  <w:tcW w:w="1130" w:type="dxa"/>
                  <w:noWrap w:val="0"/>
                  <w:vAlign w:val="center"/>
                </w:tcPr>
                <w:p w14:paraId="4919E502">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0.0000269</w:t>
                  </w:r>
                </w:p>
              </w:tc>
              <w:tc>
                <w:tcPr>
                  <w:tcW w:w="750" w:type="dxa"/>
                  <w:noWrap w:val="0"/>
                  <w:vAlign w:val="center"/>
                </w:tcPr>
                <w:p w14:paraId="3D577EB7">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0.27</w:t>
                  </w:r>
                </w:p>
              </w:tc>
              <w:tc>
                <w:tcPr>
                  <w:tcW w:w="1110" w:type="dxa"/>
                  <w:noWrap w:val="0"/>
                  <w:vAlign w:val="center"/>
                </w:tcPr>
                <w:p w14:paraId="199A53BC">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0.0000259</w:t>
                  </w:r>
                </w:p>
              </w:tc>
              <w:tc>
                <w:tcPr>
                  <w:tcW w:w="716" w:type="dxa"/>
                  <w:noWrap w:val="0"/>
                  <w:vAlign w:val="center"/>
                </w:tcPr>
                <w:p w14:paraId="1EF1B781">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0.26</w:t>
                  </w:r>
                </w:p>
              </w:tc>
            </w:tr>
            <w:tr w14:paraId="2CB8E2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8" w:type="dxa"/>
                  <w:vMerge w:val="restart"/>
                  <w:noWrap w:val="0"/>
                  <w:vAlign w:val="center"/>
                </w:tcPr>
                <w:p w14:paraId="6639D4BE">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新建污水处理站</w:t>
                  </w:r>
                </w:p>
              </w:tc>
              <w:tc>
                <w:tcPr>
                  <w:tcW w:w="870" w:type="dxa"/>
                  <w:noWrap w:val="0"/>
                  <w:vAlign w:val="center"/>
                </w:tcPr>
                <w:p w14:paraId="624F1933">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b w:val="0"/>
                      <w:bCs w:val="0"/>
                      <w:color w:val="000000"/>
                      <w:sz w:val="18"/>
                      <w:szCs w:val="18"/>
                      <w:highlight w:val="none"/>
                      <w:lang w:val="en-US" w:eastAsia="zh-CN"/>
                    </w:rPr>
                    <w:t>NH</w:t>
                  </w:r>
                  <w:r>
                    <w:rPr>
                      <w:rFonts w:hint="default" w:ascii="Times New Roman" w:hAnsi="Times New Roman" w:cs="Times New Roman"/>
                      <w:b w:val="0"/>
                      <w:bCs w:val="0"/>
                      <w:color w:val="000000"/>
                      <w:sz w:val="18"/>
                      <w:szCs w:val="18"/>
                      <w:highlight w:val="none"/>
                      <w:vertAlign w:val="subscript"/>
                      <w:lang w:val="en-US" w:eastAsia="zh-CN"/>
                    </w:rPr>
                    <w:t>3</w:t>
                  </w:r>
                </w:p>
              </w:tc>
              <w:tc>
                <w:tcPr>
                  <w:tcW w:w="950" w:type="dxa"/>
                  <w:noWrap w:val="0"/>
                  <w:vAlign w:val="center"/>
                </w:tcPr>
                <w:p w14:paraId="5ED86194">
                  <w:pPr>
                    <w:pStyle w:val="31"/>
                    <w:bidi w:val="0"/>
                    <w:rPr>
                      <w:rFonts w:hint="default" w:ascii="Times New Roman" w:hAnsi="Times New Roman" w:cs="Times New Roman"/>
                      <w:color w:val="000000"/>
                      <w:sz w:val="18"/>
                      <w:szCs w:val="18"/>
                      <w:highlight w:val="none"/>
                      <w:lang w:val="en-US" w:eastAsia="zh-CN"/>
                    </w:rPr>
                  </w:pPr>
                  <w:r>
                    <w:rPr>
                      <w:rFonts w:hint="default" w:ascii="Times New Roman" w:hAnsi="Times New Roman" w:cs="Times New Roman"/>
                      <w:color w:val="000000"/>
                      <w:sz w:val="18"/>
                      <w:szCs w:val="18"/>
                      <w:highlight w:val="none"/>
                      <w:lang w:val="en-US" w:eastAsia="zh-CN"/>
                    </w:rPr>
                    <w:t>0.00517</w:t>
                  </w:r>
                </w:p>
              </w:tc>
              <w:tc>
                <w:tcPr>
                  <w:tcW w:w="710" w:type="dxa"/>
                  <w:noWrap w:val="0"/>
                  <w:vAlign w:val="center"/>
                </w:tcPr>
                <w:p w14:paraId="76C406F5">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2.59</w:t>
                  </w:r>
                </w:p>
              </w:tc>
              <w:tc>
                <w:tcPr>
                  <w:tcW w:w="1020" w:type="dxa"/>
                  <w:noWrap w:val="0"/>
                  <w:vAlign w:val="center"/>
                </w:tcPr>
                <w:p w14:paraId="76621D2C">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0.00389</w:t>
                  </w:r>
                </w:p>
              </w:tc>
              <w:tc>
                <w:tcPr>
                  <w:tcW w:w="710" w:type="dxa"/>
                  <w:noWrap w:val="0"/>
                  <w:vAlign w:val="center"/>
                </w:tcPr>
                <w:p w14:paraId="10A549D5">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1.95</w:t>
                  </w:r>
                </w:p>
              </w:tc>
              <w:tc>
                <w:tcPr>
                  <w:tcW w:w="1050" w:type="dxa"/>
                  <w:noWrap w:val="0"/>
                  <w:vAlign w:val="center"/>
                </w:tcPr>
                <w:p w14:paraId="2DE17202">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0.00172</w:t>
                  </w:r>
                </w:p>
              </w:tc>
              <w:tc>
                <w:tcPr>
                  <w:tcW w:w="700" w:type="dxa"/>
                  <w:noWrap w:val="0"/>
                  <w:vAlign w:val="center"/>
                </w:tcPr>
                <w:p w14:paraId="79FB5D10">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0.86</w:t>
                  </w:r>
                </w:p>
              </w:tc>
              <w:tc>
                <w:tcPr>
                  <w:tcW w:w="1030" w:type="dxa"/>
                  <w:noWrap w:val="0"/>
                  <w:vAlign w:val="center"/>
                </w:tcPr>
                <w:p w14:paraId="12FD40CA">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0.000956</w:t>
                  </w:r>
                </w:p>
              </w:tc>
              <w:tc>
                <w:tcPr>
                  <w:tcW w:w="760" w:type="dxa"/>
                  <w:noWrap w:val="0"/>
                  <w:vAlign w:val="center"/>
                </w:tcPr>
                <w:p w14:paraId="3DE93CA7">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0.48</w:t>
                  </w:r>
                </w:p>
              </w:tc>
              <w:tc>
                <w:tcPr>
                  <w:tcW w:w="1000" w:type="dxa"/>
                  <w:noWrap w:val="0"/>
                  <w:vAlign w:val="center"/>
                </w:tcPr>
                <w:p w14:paraId="3A307C3C">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0.000625</w:t>
                  </w:r>
                </w:p>
              </w:tc>
              <w:tc>
                <w:tcPr>
                  <w:tcW w:w="750" w:type="dxa"/>
                  <w:noWrap w:val="0"/>
                  <w:vAlign w:val="center"/>
                </w:tcPr>
                <w:p w14:paraId="11A70F60">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0.31</w:t>
                  </w:r>
                </w:p>
              </w:tc>
              <w:tc>
                <w:tcPr>
                  <w:tcW w:w="1130" w:type="dxa"/>
                  <w:noWrap w:val="0"/>
                  <w:vAlign w:val="center"/>
                </w:tcPr>
                <w:p w14:paraId="362D2092">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0.000480</w:t>
                  </w:r>
                </w:p>
              </w:tc>
              <w:tc>
                <w:tcPr>
                  <w:tcW w:w="750" w:type="dxa"/>
                  <w:noWrap w:val="0"/>
                  <w:vAlign w:val="center"/>
                </w:tcPr>
                <w:p w14:paraId="707E5AD9">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0.24</w:t>
                  </w:r>
                </w:p>
              </w:tc>
              <w:tc>
                <w:tcPr>
                  <w:tcW w:w="1110" w:type="dxa"/>
                  <w:noWrap w:val="0"/>
                  <w:vAlign w:val="center"/>
                </w:tcPr>
                <w:p w14:paraId="7F62C200">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0.000462</w:t>
                  </w:r>
                </w:p>
              </w:tc>
              <w:tc>
                <w:tcPr>
                  <w:tcW w:w="716" w:type="dxa"/>
                  <w:noWrap w:val="0"/>
                  <w:vAlign w:val="center"/>
                </w:tcPr>
                <w:p w14:paraId="64B3E35B">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0.23</w:t>
                  </w:r>
                </w:p>
              </w:tc>
            </w:tr>
            <w:tr w14:paraId="1B8D20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8" w:type="dxa"/>
                  <w:vMerge w:val="continue"/>
                  <w:noWrap w:val="0"/>
                  <w:vAlign w:val="center"/>
                </w:tcPr>
                <w:p w14:paraId="6D70B5C3">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p>
              </w:tc>
              <w:tc>
                <w:tcPr>
                  <w:tcW w:w="870" w:type="dxa"/>
                  <w:noWrap w:val="0"/>
                  <w:vAlign w:val="center"/>
                </w:tcPr>
                <w:p w14:paraId="484CFAFB">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b w:val="0"/>
                      <w:bCs w:val="0"/>
                      <w:color w:val="000000"/>
                      <w:sz w:val="18"/>
                      <w:szCs w:val="18"/>
                      <w:highlight w:val="none"/>
                      <w:lang w:val="en-US" w:eastAsia="zh-CN"/>
                    </w:rPr>
                    <w:t>H</w:t>
                  </w:r>
                  <w:r>
                    <w:rPr>
                      <w:rFonts w:hint="default" w:ascii="Times New Roman" w:hAnsi="Times New Roman" w:cs="Times New Roman"/>
                      <w:b w:val="0"/>
                      <w:bCs w:val="0"/>
                      <w:color w:val="000000"/>
                      <w:sz w:val="18"/>
                      <w:szCs w:val="18"/>
                      <w:highlight w:val="none"/>
                      <w:vertAlign w:val="subscript"/>
                      <w:lang w:val="en-US" w:eastAsia="zh-CN"/>
                    </w:rPr>
                    <w:t>2</w:t>
                  </w:r>
                  <w:r>
                    <w:rPr>
                      <w:rFonts w:hint="default" w:ascii="Times New Roman" w:hAnsi="Times New Roman" w:cs="Times New Roman"/>
                      <w:b w:val="0"/>
                      <w:bCs w:val="0"/>
                      <w:color w:val="000000"/>
                      <w:sz w:val="18"/>
                      <w:szCs w:val="18"/>
                      <w:highlight w:val="none"/>
                      <w:lang w:val="en-US" w:eastAsia="zh-CN"/>
                    </w:rPr>
                    <w:t>S</w:t>
                  </w:r>
                </w:p>
              </w:tc>
              <w:tc>
                <w:tcPr>
                  <w:tcW w:w="950" w:type="dxa"/>
                  <w:noWrap w:val="0"/>
                  <w:vAlign w:val="center"/>
                </w:tcPr>
                <w:p w14:paraId="472B5156">
                  <w:pPr>
                    <w:pStyle w:val="31"/>
                    <w:bidi w:val="0"/>
                    <w:rPr>
                      <w:rFonts w:hint="default" w:ascii="Times New Roman" w:hAnsi="Times New Roman" w:cs="Times New Roman"/>
                      <w:color w:val="000000"/>
                      <w:sz w:val="18"/>
                      <w:szCs w:val="18"/>
                      <w:highlight w:val="none"/>
                      <w:lang w:val="en-US" w:eastAsia="zh-CN"/>
                    </w:rPr>
                  </w:pPr>
                  <w:r>
                    <w:rPr>
                      <w:rFonts w:hint="default" w:ascii="Times New Roman" w:hAnsi="Times New Roman" w:cs="Times New Roman"/>
                      <w:color w:val="000000"/>
                      <w:sz w:val="18"/>
                      <w:szCs w:val="18"/>
                      <w:highlight w:val="none"/>
                      <w:lang w:val="en-US" w:eastAsia="zh-CN"/>
                    </w:rPr>
                    <w:t>0.000193</w:t>
                  </w:r>
                </w:p>
              </w:tc>
              <w:tc>
                <w:tcPr>
                  <w:tcW w:w="710" w:type="dxa"/>
                  <w:noWrap w:val="0"/>
                  <w:vAlign w:val="center"/>
                </w:tcPr>
                <w:p w14:paraId="16F18A8C">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1.93</w:t>
                  </w:r>
                </w:p>
              </w:tc>
              <w:tc>
                <w:tcPr>
                  <w:tcW w:w="1020" w:type="dxa"/>
                  <w:noWrap w:val="0"/>
                  <w:vAlign w:val="center"/>
                </w:tcPr>
                <w:p w14:paraId="6FC4C083">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0.000146</w:t>
                  </w:r>
                </w:p>
              </w:tc>
              <w:tc>
                <w:tcPr>
                  <w:tcW w:w="710" w:type="dxa"/>
                  <w:noWrap w:val="0"/>
                  <w:vAlign w:val="center"/>
                </w:tcPr>
                <w:p w14:paraId="64F2BE05">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1.46</w:t>
                  </w:r>
                </w:p>
              </w:tc>
              <w:tc>
                <w:tcPr>
                  <w:tcW w:w="1050" w:type="dxa"/>
                  <w:noWrap w:val="0"/>
                  <w:vAlign w:val="center"/>
                </w:tcPr>
                <w:p w14:paraId="386A07CD">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0.0000642</w:t>
                  </w:r>
                </w:p>
              </w:tc>
              <w:tc>
                <w:tcPr>
                  <w:tcW w:w="700" w:type="dxa"/>
                  <w:noWrap w:val="0"/>
                  <w:vAlign w:val="center"/>
                </w:tcPr>
                <w:p w14:paraId="477635F4">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0.64</w:t>
                  </w:r>
                </w:p>
              </w:tc>
              <w:tc>
                <w:tcPr>
                  <w:tcW w:w="1030" w:type="dxa"/>
                  <w:noWrap w:val="0"/>
                  <w:vAlign w:val="center"/>
                </w:tcPr>
                <w:p w14:paraId="453E8C70">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0.0000357</w:t>
                  </w:r>
                </w:p>
              </w:tc>
              <w:tc>
                <w:tcPr>
                  <w:tcW w:w="760" w:type="dxa"/>
                  <w:noWrap w:val="0"/>
                  <w:vAlign w:val="center"/>
                </w:tcPr>
                <w:p w14:paraId="6AE43F2C">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0.36</w:t>
                  </w:r>
                </w:p>
              </w:tc>
              <w:tc>
                <w:tcPr>
                  <w:tcW w:w="1000" w:type="dxa"/>
                  <w:noWrap w:val="0"/>
                  <w:vAlign w:val="center"/>
                </w:tcPr>
                <w:p w14:paraId="6681CA62">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0.0000234</w:t>
                  </w:r>
                </w:p>
              </w:tc>
              <w:tc>
                <w:tcPr>
                  <w:tcW w:w="750" w:type="dxa"/>
                  <w:noWrap w:val="0"/>
                  <w:vAlign w:val="center"/>
                </w:tcPr>
                <w:p w14:paraId="7A4ABC69">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0.23</w:t>
                  </w:r>
                </w:p>
              </w:tc>
              <w:tc>
                <w:tcPr>
                  <w:tcW w:w="1130" w:type="dxa"/>
                  <w:noWrap w:val="0"/>
                  <w:vAlign w:val="center"/>
                </w:tcPr>
                <w:p w14:paraId="51CF3623">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0.0000179</w:t>
                  </w:r>
                </w:p>
              </w:tc>
              <w:tc>
                <w:tcPr>
                  <w:tcW w:w="750" w:type="dxa"/>
                  <w:noWrap w:val="0"/>
                  <w:vAlign w:val="center"/>
                </w:tcPr>
                <w:p w14:paraId="54E24C8D">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0.18</w:t>
                  </w:r>
                </w:p>
              </w:tc>
              <w:tc>
                <w:tcPr>
                  <w:tcW w:w="1110" w:type="dxa"/>
                  <w:noWrap w:val="0"/>
                  <w:vAlign w:val="center"/>
                </w:tcPr>
                <w:p w14:paraId="3204C1D5">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0.0000173</w:t>
                  </w:r>
                </w:p>
              </w:tc>
              <w:tc>
                <w:tcPr>
                  <w:tcW w:w="716" w:type="dxa"/>
                  <w:noWrap w:val="0"/>
                  <w:vAlign w:val="center"/>
                </w:tcPr>
                <w:p w14:paraId="1D344193">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0.17</w:t>
                  </w:r>
                </w:p>
              </w:tc>
            </w:tr>
            <w:tr w14:paraId="6C9EF8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8" w:type="dxa"/>
                  <w:vMerge w:val="restart"/>
                  <w:noWrap w:val="0"/>
                  <w:vAlign w:val="center"/>
                </w:tcPr>
                <w:p w14:paraId="3A1DB27E">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color w:val="000000"/>
                      <w:sz w:val="18"/>
                      <w:szCs w:val="18"/>
                      <w:highlight w:val="none"/>
                      <w:lang w:val="en-US" w:eastAsia="zh-CN"/>
                    </w:rPr>
                    <w:t>贡献值叠加</w:t>
                  </w:r>
                </w:p>
              </w:tc>
              <w:tc>
                <w:tcPr>
                  <w:tcW w:w="870" w:type="dxa"/>
                  <w:noWrap w:val="0"/>
                  <w:vAlign w:val="center"/>
                </w:tcPr>
                <w:p w14:paraId="795C9631">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b w:val="0"/>
                      <w:bCs w:val="0"/>
                      <w:color w:val="000000"/>
                      <w:sz w:val="18"/>
                      <w:szCs w:val="18"/>
                      <w:highlight w:val="none"/>
                      <w:lang w:val="en-US" w:eastAsia="zh-CN"/>
                    </w:rPr>
                    <w:t>NH</w:t>
                  </w:r>
                  <w:r>
                    <w:rPr>
                      <w:rFonts w:hint="default" w:ascii="Times New Roman" w:hAnsi="Times New Roman" w:cs="Times New Roman"/>
                      <w:b w:val="0"/>
                      <w:bCs w:val="0"/>
                      <w:color w:val="000000"/>
                      <w:sz w:val="18"/>
                      <w:szCs w:val="18"/>
                      <w:highlight w:val="none"/>
                      <w:vertAlign w:val="subscript"/>
                      <w:lang w:val="en-US" w:eastAsia="zh-CN"/>
                    </w:rPr>
                    <w:t>3</w:t>
                  </w:r>
                </w:p>
              </w:tc>
              <w:tc>
                <w:tcPr>
                  <w:tcW w:w="950" w:type="dxa"/>
                  <w:noWrap w:val="0"/>
                  <w:vAlign w:val="center"/>
                </w:tcPr>
                <w:p w14:paraId="00D49A36">
                  <w:pPr>
                    <w:pStyle w:val="31"/>
                    <w:bidi w:val="0"/>
                    <w:rPr>
                      <w:rFonts w:hint="default" w:ascii="Times New Roman" w:hAnsi="Times New Roman" w:cs="Times New Roman"/>
                      <w:color w:val="000000"/>
                      <w:sz w:val="18"/>
                      <w:szCs w:val="21"/>
                      <w:highlight w:val="none"/>
                      <w:lang w:val="en-US" w:eastAsia="zh-CN"/>
                    </w:rPr>
                  </w:pPr>
                  <w:r>
                    <w:rPr>
                      <w:rFonts w:hint="default" w:ascii="Times New Roman" w:hAnsi="Times New Roman" w:cs="Times New Roman"/>
                      <w:color w:val="000000"/>
                      <w:sz w:val="18"/>
                      <w:szCs w:val="21"/>
                      <w:highlight w:val="none"/>
                      <w:lang w:val="en-US" w:eastAsia="zh-CN"/>
                    </w:rPr>
                    <w:t>0.01283</w:t>
                  </w:r>
                </w:p>
              </w:tc>
              <w:tc>
                <w:tcPr>
                  <w:tcW w:w="710" w:type="dxa"/>
                  <w:noWrap w:val="0"/>
                  <w:vAlign w:val="center"/>
                </w:tcPr>
                <w:p w14:paraId="62A54700">
                  <w:pPr>
                    <w:pStyle w:val="31"/>
                    <w:bidi w:val="0"/>
                    <w:rPr>
                      <w:rFonts w:hint="default" w:ascii="Times New Roman" w:hAnsi="Times New Roman" w:cs="Times New Roman"/>
                      <w:color w:val="000000"/>
                      <w:sz w:val="18"/>
                      <w:szCs w:val="21"/>
                      <w:highlight w:val="none"/>
                      <w:lang w:val="en-US" w:eastAsia="zh-CN"/>
                    </w:rPr>
                  </w:pPr>
                  <w:r>
                    <w:rPr>
                      <w:rFonts w:hint="default" w:ascii="Times New Roman" w:hAnsi="Times New Roman" w:cs="Times New Roman"/>
                      <w:color w:val="000000"/>
                      <w:sz w:val="18"/>
                      <w:szCs w:val="21"/>
                      <w:highlight w:val="none"/>
                      <w:lang w:val="en-US" w:eastAsia="zh-CN"/>
                    </w:rPr>
                    <w:t>6.42</w:t>
                  </w:r>
                </w:p>
              </w:tc>
              <w:tc>
                <w:tcPr>
                  <w:tcW w:w="1020" w:type="dxa"/>
                  <w:noWrap w:val="0"/>
                  <w:vAlign w:val="center"/>
                </w:tcPr>
                <w:p w14:paraId="2497A136">
                  <w:pPr>
                    <w:pStyle w:val="31"/>
                    <w:bidi w:val="0"/>
                    <w:rPr>
                      <w:rFonts w:hint="default" w:ascii="Times New Roman" w:hAnsi="Times New Roman" w:cs="Times New Roman"/>
                      <w:color w:val="000000"/>
                      <w:sz w:val="18"/>
                      <w:szCs w:val="21"/>
                      <w:highlight w:val="none"/>
                      <w:lang w:val="en-US" w:eastAsia="zh-CN"/>
                    </w:rPr>
                  </w:pPr>
                  <w:r>
                    <w:rPr>
                      <w:rFonts w:hint="default" w:ascii="Times New Roman" w:hAnsi="Times New Roman" w:cs="Times New Roman"/>
                      <w:color w:val="000000"/>
                      <w:sz w:val="18"/>
                      <w:szCs w:val="21"/>
                      <w:highlight w:val="none"/>
                      <w:lang w:val="en-US" w:eastAsia="zh-CN"/>
                    </w:rPr>
                    <w:t>0.01002</w:t>
                  </w:r>
                </w:p>
              </w:tc>
              <w:tc>
                <w:tcPr>
                  <w:tcW w:w="710" w:type="dxa"/>
                  <w:noWrap w:val="0"/>
                  <w:vAlign w:val="center"/>
                </w:tcPr>
                <w:p w14:paraId="05E7F0CC">
                  <w:pPr>
                    <w:pStyle w:val="31"/>
                    <w:bidi w:val="0"/>
                    <w:rPr>
                      <w:rFonts w:hint="default" w:ascii="Times New Roman" w:hAnsi="Times New Roman" w:cs="Times New Roman"/>
                      <w:color w:val="000000"/>
                      <w:sz w:val="18"/>
                      <w:szCs w:val="21"/>
                      <w:highlight w:val="none"/>
                      <w:lang w:val="en-US" w:eastAsia="zh-CN"/>
                    </w:rPr>
                  </w:pPr>
                  <w:r>
                    <w:rPr>
                      <w:rFonts w:hint="default" w:ascii="Times New Roman" w:hAnsi="Times New Roman" w:cs="Times New Roman"/>
                      <w:color w:val="000000"/>
                      <w:sz w:val="18"/>
                      <w:szCs w:val="21"/>
                      <w:highlight w:val="none"/>
                      <w:lang w:val="en-US" w:eastAsia="zh-CN"/>
                    </w:rPr>
                    <w:t>5.01</w:t>
                  </w:r>
                </w:p>
              </w:tc>
              <w:tc>
                <w:tcPr>
                  <w:tcW w:w="1050" w:type="dxa"/>
                  <w:noWrap w:val="0"/>
                  <w:vAlign w:val="center"/>
                </w:tcPr>
                <w:p w14:paraId="74ECD4EF">
                  <w:pPr>
                    <w:pStyle w:val="31"/>
                    <w:bidi w:val="0"/>
                    <w:rPr>
                      <w:rFonts w:hint="default" w:ascii="Times New Roman" w:hAnsi="Times New Roman" w:cs="Times New Roman"/>
                      <w:color w:val="000000"/>
                      <w:sz w:val="18"/>
                      <w:szCs w:val="21"/>
                      <w:highlight w:val="none"/>
                      <w:lang w:val="en-US" w:eastAsia="zh-CN"/>
                    </w:rPr>
                  </w:pPr>
                  <w:r>
                    <w:rPr>
                      <w:rFonts w:hint="default" w:ascii="Times New Roman" w:hAnsi="Times New Roman" w:cs="Times New Roman"/>
                      <w:color w:val="000000"/>
                      <w:sz w:val="18"/>
                      <w:szCs w:val="21"/>
                      <w:highlight w:val="none"/>
                      <w:lang w:val="en-US" w:eastAsia="zh-CN"/>
                    </w:rPr>
                    <w:t>0.004599</w:t>
                  </w:r>
                </w:p>
              </w:tc>
              <w:tc>
                <w:tcPr>
                  <w:tcW w:w="700" w:type="dxa"/>
                  <w:noWrap w:val="0"/>
                  <w:vAlign w:val="center"/>
                </w:tcPr>
                <w:p w14:paraId="2605A38F">
                  <w:pPr>
                    <w:pStyle w:val="31"/>
                    <w:bidi w:val="0"/>
                    <w:rPr>
                      <w:rFonts w:hint="default" w:ascii="Times New Roman" w:hAnsi="Times New Roman" w:cs="Times New Roman"/>
                      <w:color w:val="000000"/>
                      <w:sz w:val="18"/>
                      <w:szCs w:val="21"/>
                      <w:highlight w:val="none"/>
                      <w:lang w:val="en-US" w:eastAsia="zh-CN"/>
                    </w:rPr>
                  </w:pPr>
                  <w:r>
                    <w:rPr>
                      <w:rFonts w:hint="default" w:ascii="Times New Roman" w:hAnsi="Times New Roman" w:cs="Times New Roman"/>
                      <w:color w:val="000000"/>
                      <w:sz w:val="18"/>
                      <w:szCs w:val="21"/>
                      <w:highlight w:val="none"/>
                      <w:lang w:val="en-US" w:eastAsia="zh-CN"/>
                    </w:rPr>
                    <w:t>2.3</w:t>
                  </w:r>
                </w:p>
              </w:tc>
              <w:tc>
                <w:tcPr>
                  <w:tcW w:w="1030" w:type="dxa"/>
                  <w:noWrap w:val="0"/>
                  <w:vAlign w:val="center"/>
                </w:tcPr>
                <w:p w14:paraId="3A6C0741">
                  <w:pPr>
                    <w:pStyle w:val="31"/>
                    <w:bidi w:val="0"/>
                    <w:rPr>
                      <w:rFonts w:hint="default" w:ascii="Times New Roman" w:hAnsi="Times New Roman" w:cs="Times New Roman"/>
                      <w:color w:val="000000"/>
                      <w:sz w:val="18"/>
                      <w:szCs w:val="21"/>
                      <w:highlight w:val="none"/>
                      <w:lang w:val="en-US" w:eastAsia="zh-CN"/>
                    </w:rPr>
                  </w:pPr>
                  <w:r>
                    <w:rPr>
                      <w:rFonts w:hint="default" w:ascii="Times New Roman" w:hAnsi="Times New Roman" w:cs="Times New Roman"/>
                      <w:color w:val="000000"/>
                      <w:sz w:val="18"/>
                      <w:szCs w:val="21"/>
                      <w:highlight w:val="none"/>
                      <w:lang w:val="en-US" w:eastAsia="zh-CN"/>
                    </w:rPr>
                    <w:t>0.002662</w:t>
                  </w:r>
                </w:p>
              </w:tc>
              <w:tc>
                <w:tcPr>
                  <w:tcW w:w="760" w:type="dxa"/>
                  <w:noWrap w:val="0"/>
                  <w:vAlign w:val="center"/>
                </w:tcPr>
                <w:p w14:paraId="40DB252F">
                  <w:pPr>
                    <w:pStyle w:val="31"/>
                    <w:bidi w:val="0"/>
                    <w:rPr>
                      <w:rFonts w:hint="default" w:ascii="Times New Roman" w:hAnsi="Times New Roman" w:cs="Times New Roman"/>
                      <w:color w:val="000000"/>
                      <w:sz w:val="18"/>
                      <w:szCs w:val="21"/>
                      <w:highlight w:val="none"/>
                      <w:lang w:val="en-US" w:eastAsia="zh-CN"/>
                    </w:rPr>
                  </w:pPr>
                  <w:r>
                    <w:rPr>
                      <w:rFonts w:hint="default" w:ascii="Times New Roman" w:hAnsi="Times New Roman" w:cs="Times New Roman"/>
                      <w:color w:val="000000"/>
                      <w:sz w:val="18"/>
                      <w:szCs w:val="21"/>
                      <w:highlight w:val="none"/>
                      <w:lang w:val="en-US" w:eastAsia="zh-CN"/>
                    </w:rPr>
                    <w:t>1.33</w:t>
                  </w:r>
                </w:p>
              </w:tc>
              <w:tc>
                <w:tcPr>
                  <w:tcW w:w="1000" w:type="dxa"/>
                  <w:noWrap w:val="0"/>
                  <w:vAlign w:val="center"/>
                </w:tcPr>
                <w:p w14:paraId="256C8B07">
                  <w:pPr>
                    <w:pStyle w:val="31"/>
                    <w:bidi w:val="0"/>
                    <w:rPr>
                      <w:rFonts w:hint="default" w:ascii="Times New Roman" w:hAnsi="Times New Roman" w:cs="Times New Roman"/>
                      <w:color w:val="000000"/>
                      <w:sz w:val="18"/>
                      <w:szCs w:val="21"/>
                      <w:highlight w:val="none"/>
                      <w:lang w:val="en-US" w:eastAsia="zh-CN"/>
                    </w:rPr>
                  </w:pPr>
                  <w:r>
                    <w:rPr>
                      <w:rFonts w:hint="default" w:ascii="Times New Roman" w:hAnsi="Times New Roman" w:cs="Times New Roman"/>
                      <w:color w:val="000000"/>
                      <w:sz w:val="18"/>
                      <w:szCs w:val="21"/>
                      <w:highlight w:val="none"/>
                      <w:lang w:val="en-US" w:eastAsia="zh-CN"/>
                    </w:rPr>
                    <w:t>0.001741</w:t>
                  </w:r>
                </w:p>
              </w:tc>
              <w:tc>
                <w:tcPr>
                  <w:tcW w:w="750" w:type="dxa"/>
                  <w:noWrap w:val="0"/>
                  <w:vAlign w:val="center"/>
                </w:tcPr>
                <w:p w14:paraId="5DC5BA62">
                  <w:pPr>
                    <w:pStyle w:val="31"/>
                    <w:bidi w:val="0"/>
                    <w:rPr>
                      <w:rFonts w:hint="default" w:ascii="Times New Roman" w:hAnsi="Times New Roman" w:cs="Times New Roman"/>
                      <w:color w:val="000000"/>
                      <w:sz w:val="18"/>
                      <w:szCs w:val="21"/>
                      <w:highlight w:val="none"/>
                      <w:lang w:val="en-US" w:eastAsia="zh-CN"/>
                    </w:rPr>
                  </w:pPr>
                  <w:r>
                    <w:rPr>
                      <w:rFonts w:hint="default" w:ascii="Times New Roman" w:hAnsi="Times New Roman" w:cs="Times New Roman"/>
                      <w:color w:val="000000"/>
                      <w:sz w:val="18"/>
                      <w:szCs w:val="21"/>
                      <w:highlight w:val="none"/>
                      <w:lang w:val="en-US" w:eastAsia="zh-CN"/>
                    </w:rPr>
                    <w:t>0.86</w:t>
                  </w:r>
                </w:p>
              </w:tc>
              <w:tc>
                <w:tcPr>
                  <w:tcW w:w="1130" w:type="dxa"/>
                  <w:noWrap w:val="0"/>
                  <w:vAlign w:val="center"/>
                </w:tcPr>
                <w:p w14:paraId="0A6020F3">
                  <w:pPr>
                    <w:pStyle w:val="31"/>
                    <w:bidi w:val="0"/>
                    <w:rPr>
                      <w:rFonts w:hint="default" w:ascii="Times New Roman" w:hAnsi="Times New Roman" w:cs="Times New Roman"/>
                      <w:color w:val="000000"/>
                      <w:sz w:val="18"/>
                      <w:szCs w:val="21"/>
                      <w:highlight w:val="none"/>
                      <w:lang w:val="en-US" w:eastAsia="zh-CN"/>
                    </w:rPr>
                  </w:pPr>
                  <w:r>
                    <w:rPr>
                      <w:rFonts w:hint="default" w:ascii="Times New Roman" w:hAnsi="Times New Roman" w:cs="Times New Roman"/>
                      <w:color w:val="000000"/>
                      <w:sz w:val="18"/>
                      <w:szCs w:val="21"/>
                      <w:highlight w:val="none"/>
                      <w:lang w:val="en-US" w:eastAsia="zh-CN"/>
                    </w:rPr>
                    <w:t>0.001337</w:t>
                  </w:r>
                </w:p>
              </w:tc>
              <w:tc>
                <w:tcPr>
                  <w:tcW w:w="750" w:type="dxa"/>
                  <w:noWrap w:val="0"/>
                  <w:vAlign w:val="center"/>
                </w:tcPr>
                <w:p w14:paraId="06417D7B">
                  <w:pPr>
                    <w:pStyle w:val="31"/>
                    <w:bidi w:val="0"/>
                    <w:rPr>
                      <w:rFonts w:hint="default" w:ascii="Times New Roman" w:hAnsi="Times New Roman" w:cs="Times New Roman"/>
                      <w:color w:val="000000"/>
                      <w:sz w:val="18"/>
                      <w:szCs w:val="21"/>
                      <w:highlight w:val="none"/>
                      <w:lang w:val="en-US" w:eastAsia="zh-CN"/>
                    </w:rPr>
                  </w:pPr>
                  <w:r>
                    <w:rPr>
                      <w:rFonts w:hint="default" w:ascii="Times New Roman" w:hAnsi="Times New Roman" w:cs="Times New Roman"/>
                      <w:color w:val="000000"/>
                      <w:sz w:val="18"/>
                      <w:szCs w:val="21"/>
                      <w:highlight w:val="none"/>
                      <w:lang w:val="en-US" w:eastAsia="zh-CN"/>
                    </w:rPr>
                    <w:t>0.67</w:t>
                  </w:r>
                </w:p>
              </w:tc>
              <w:tc>
                <w:tcPr>
                  <w:tcW w:w="1110" w:type="dxa"/>
                  <w:noWrap w:val="0"/>
                  <w:vAlign w:val="center"/>
                </w:tcPr>
                <w:p w14:paraId="48BE677B">
                  <w:pPr>
                    <w:pStyle w:val="31"/>
                    <w:bidi w:val="0"/>
                    <w:rPr>
                      <w:rFonts w:hint="default" w:ascii="Times New Roman" w:hAnsi="Times New Roman" w:cs="Times New Roman"/>
                      <w:color w:val="000000"/>
                      <w:sz w:val="18"/>
                      <w:szCs w:val="21"/>
                      <w:highlight w:val="none"/>
                      <w:lang w:val="en-US" w:eastAsia="zh-CN"/>
                    </w:rPr>
                  </w:pPr>
                  <w:r>
                    <w:rPr>
                      <w:rFonts w:hint="default" w:ascii="Times New Roman" w:hAnsi="Times New Roman" w:cs="Times New Roman"/>
                      <w:color w:val="000000"/>
                      <w:sz w:val="18"/>
                      <w:szCs w:val="21"/>
                      <w:highlight w:val="none"/>
                      <w:lang w:val="en-US" w:eastAsia="zh-CN"/>
                    </w:rPr>
                    <w:t>0.001287</w:t>
                  </w:r>
                </w:p>
              </w:tc>
              <w:tc>
                <w:tcPr>
                  <w:tcW w:w="716" w:type="dxa"/>
                  <w:noWrap w:val="0"/>
                  <w:vAlign w:val="center"/>
                </w:tcPr>
                <w:p w14:paraId="2DDEC834">
                  <w:pPr>
                    <w:pStyle w:val="31"/>
                    <w:bidi w:val="0"/>
                    <w:rPr>
                      <w:rFonts w:hint="default" w:ascii="Times New Roman" w:hAnsi="Times New Roman" w:cs="Times New Roman"/>
                      <w:color w:val="000000"/>
                      <w:sz w:val="18"/>
                      <w:szCs w:val="21"/>
                      <w:highlight w:val="none"/>
                      <w:lang w:val="en-US" w:eastAsia="zh-CN"/>
                    </w:rPr>
                  </w:pPr>
                  <w:r>
                    <w:rPr>
                      <w:rFonts w:hint="default" w:ascii="Times New Roman" w:hAnsi="Times New Roman" w:cs="Times New Roman"/>
                      <w:color w:val="000000"/>
                      <w:sz w:val="18"/>
                      <w:szCs w:val="21"/>
                      <w:highlight w:val="none"/>
                      <w:lang w:val="en-US" w:eastAsia="zh-CN"/>
                    </w:rPr>
                    <w:t>0.64</w:t>
                  </w:r>
                </w:p>
              </w:tc>
            </w:tr>
            <w:tr w14:paraId="476EF5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8" w:type="dxa"/>
                  <w:vMerge w:val="continue"/>
                  <w:noWrap w:val="0"/>
                  <w:vAlign w:val="center"/>
                </w:tcPr>
                <w:p w14:paraId="683F467E">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p>
              </w:tc>
              <w:tc>
                <w:tcPr>
                  <w:tcW w:w="870" w:type="dxa"/>
                  <w:noWrap w:val="0"/>
                  <w:vAlign w:val="center"/>
                </w:tcPr>
                <w:p w14:paraId="027F5713">
                  <w:pPr>
                    <w:pStyle w:val="31"/>
                    <w:bidi w:val="0"/>
                    <w:ind w:firstLine="0" w:firstLineChars="0"/>
                    <w:jc w:val="center"/>
                    <w:rPr>
                      <w:rFonts w:hint="default" w:ascii="Times New Roman" w:hAnsi="Times New Roman" w:cs="Times New Roman"/>
                      <w:color w:val="000000"/>
                      <w:sz w:val="18"/>
                      <w:szCs w:val="18"/>
                      <w:highlight w:val="none"/>
                      <w:vertAlign w:val="baseline"/>
                      <w:lang w:val="en-US" w:eastAsia="zh-CN"/>
                    </w:rPr>
                  </w:pPr>
                  <w:r>
                    <w:rPr>
                      <w:rFonts w:hint="default" w:ascii="Times New Roman" w:hAnsi="Times New Roman" w:cs="Times New Roman"/>
                      <w:b w:val="0"/>
                      <w:bCs w:val="0"/>
                      <w:color w:val="000000"/>
                      <w:sz w:val="18"/>
                      <w:szCs w:val="18"/>
                      <w:highlight w:val="none"/>
                      <w:lang w:val="en-US" w:eastAsia="zh-CN"/>
                    </w:rPr>
                    <w:t>H</w:t>
                  </w:r>
                  <w:r>
                    <w:rPr>
                      <w:rFonts w:hint="default" w:ascii="Times New Roman" w:hAnsi="Times New Roman" w:cs="Times New Roman"/>
                      <w:b w:val="0"/>
                      <w:bCs w:val="0"/>
                      <w:color w:val="000000"/>
                      <w:sz w:val="18"/>
                      <w:szCs w:val="18"/>
                      <w:highlight w:val="none"/>
                      <w:vertAlign w:val="subscript"/>
                      <w:lang w:val="en-US" w:eastAsia="zh-CN"/>
                    </w:rPr>
                    <w:t>2</w:t>
                  </w:r>
                  <w:r>
                    <w:rPr>
                      <w:rFonts w:hint="default" w:ascii="Times New Roman" w:hAnsi="Times New Roman" w:cs="Times New Roman"/>
                      <w:b w:val="0"/>
                      <w:bCs w:val="0"/>
                      <w:color w:val="000000"/>
                      <w:sz w:val="18"/>
                      <w:szCs w:val="18"/>
                      <w:highlight w:val="none"/>
                      <w:lang w:val="en-US" w:eastAsia="zh-CN"/>
                    </w:rPr>
                    <w:t>S</w:t>
                  </w:r>
                </w:p>
              </w:tc>
              <w:tc>
                <w:tcPr>
                  <w:tcW w:w="950" w:type="dxa"/>
                  <w:noWrap w:val="0"/>
                  <w:vAlign w:val="center"/>
                </w:tcPr>
                <w:p w14:paraId="7CD69BB8">
                  <w:pPr>
                    <w:pStyle w:val="31"/>
                    <w:bidi w:val="0"/>
                    <w:rPr>
                      <w:rFonts w:hint="default" w:ascii="Times New Roman" w:hAnsi="Times New Roman" w:cs="Times New Roman"/>
                      <w:color w:val="000000"/>
                      <w:sz w:val="18"/>
                      <w:szCs w:val="21"/>
                      <w:highlight w:val="none"/>
                      <w:lang w:val="en-US" w:eastAsia="zh-CN"/>
                    </w:rPr>
                  </w:pPr>
                  <w:r>
                    <w:rPr>
                      <w:rFonts w:hint="default" w:ascii="Times New Roman" w:hAnsi="Times New Roman" w:cs="Times New Roman"/>
                      <w:color w:val="000000"/>
                      <w:sz w:val="18"/>
                      <w:szCs w:val="21"/>
                      <w:highlight w:val="none"/>
                      <w:lang w:val="en-US" w:eastAsia="zh-CN"/>
                    </w:rPr>
                    <w:t>0.000956</w:t>
                  </w:r>
                </w:p>
              </w:tc>
              <w:tc>
                <w:tcPr>
                  <w:tcW w:w="710" w:type="dxa"/>
                  <w:noWrap w:val="0"/>
                  <w:vAlign w:val="center"/>
                </w:tcPr>
                <w:p w14:paraId="4007990E">
                  <w:pPr>
                    <w:pStyle w:val="31"/>
                    <w:bidi w:val="0"/>
                    <w:rPr>
                      <w:rFonts w:hint="default" w:ascii="Times New Roman" w:hAnsi="Times New Roman" w:cs="Times New Roman"/>
                      <w:color w:val="000000"/>
                      <w:sz w:val="18"/>
                      <w:szCs w:val="21"/>
                      <w:highlight w:val="none"/>
                      <w:lang w:val="en-US" w:eastAsia="zh-CN"/>
                    </w:rPr>
                  </w:pPr>
                  <w:r>
                    <w:rPr>
                      <w:rFonts w:hint="default" w:ascii="Times New Roman" w:hAnsi="Times New Roman" w:cs="Times New Roman"/>
                      <w:color w:val="000000"/>
                      <w:sz w:val="18"/>
                      <w:szCs w:val="21"/>
                      <w:highlight w:val="none"/>
                      <w:lang w:val="en-US" w:eastAsia="zh-CN"/>
                    </w:rPr>
                    <w:t>9.56</w:t>
                  </w:r>
                </w:p>
              </w:tc>
              <w:tc>
                <w:tcPr>
                  <w:tcW w:w="1020" w:type="dxa"/>
                  <w:noWrap w:val="0"/>
                  <w:vAlign w:val="center"/>
                </w:tcPr>
                <w:p w14:paraId="596A990F">
                  <w:pPr>
                    <w:pStyle w:val="31"/>
                    <w:bidi w:val="0"/>
                    <w:rPr>
                      <w:rFonts w:hint="default" w:ascii="Times New Roman" w:hAnsi="Times New Roman" w:cs="Times New Roman"/>
                      <w:color w:val="000000"/>
                      <w:sz w:val="18"/>
                      <w:szCs w:val="21"/>
                      <w:highlight w:val="none"/>
                      <w:lang w:val="en-US" w:eastAsia="zh-CN"/>
                    </w:rPr>
                  </w:pPr>
                  <w:r>
                    <w:rPr>
                      <w:rFonts w:hint="default" w:ascii="Times New Roman" w:hAnsi="Times New Roman" w:cs="Times New Roman"/>
                      <w:color w:val="000000"/>
                      <w:sz w:val="18"/>
                      <w:szCs w:val="21"/>
                      <w:highlight w:val="none"/>
                      <w:lang w:val="en-US" w:eastAsia="zh-CN"/>
                    </w:rPr>
                    <w:t>0.000757</w:t>
                  </w:r>
                </w:p>
              </w:tc>
              <w:tc>
                <w:tcPr>
                  <w:tcW w:w="710" w:type="dxa"/>
                  <w:noWrap w:val="0"/>
                  <w:vAlign w:val="center"/>
                </w:tcPr>
                <w:p w14:paraId="6C50CE59">
                  <w:pPr>
                    <w:pStyle w:val="31"/>
                    <w:bidi w:val="0"/>
                    <w:rPr>
                      <w:rFonts w:hint="default" w:ascii="Times New Roman" w:hAnsi="Times New Roman" w:cs="Times New Roman"/>
                      <w:color w:val="000000"/>
                      <w:sz w:val="18"/>
                      <w:szCs w:val="21"/>
                      <w:highlight w:val="none"/>
                      <w:lang w:val="en-US" w:eastAsia="zh-CN"/>
                    </w:rPr>
                  </w:pPr>
                  <w:r>
                    <w:rPr>
                      <w:rFonts w:hint="default" w:ascii="Times New Roman" w:hAnsi="Times New Roman" w:cs="Times New Roman"/>
                      <w:color w:val="000000"/>
                      <w:sz w:val="18"/>
                      <w:szCs w:val="21"/>
                      <w:highlight w:val="none"/>
                      <w:lang w:val="en-US" w:eastAsia="zh-CN"/>
                    </w:rPr>
                    <w:t>7.57</w:t>
                  </w:r>
                </w:p>
              </w:tc>
              <w:tc>
                <w:tcPr>
                  <w:tcW w:w="1050" w:type="dxa"/>
                  <w:noWrap w:val="0"/>
                  <w:vAlign w:val="center"/>
                </w:tcPr>
                <w:p w14:paraId="437ABED5">
                  <w:pPr>
                    <w:pStyle w:val="31"/>
                    <w:bidi w:val="0"/>
                    <w:rPr>
                      <w:rFonts w:hint="default" w:ascii="Times New Roman" w:hAnsi="Times New Roman" w:cs="Times New Roman"/>
                      <w:color w:val="000000"/>
                      <w:sz w:val="18"/>
                      <w:szCs w:val="21"/>
                      <w:highlight w:val="none"/>
                      <w:lang w:val="en-US" w:eastAsia="zh-CN"/>
                    </w:rPr>
                  </w:pPr>
                  <w:r>
                    <w:rPr>
                      <w:rFonts w:hint="default" w:ascii="Times New Roman" w:hAnsi="Times New Roman" w:cs="Times New Roman"/>
                      <w:color w:val="000000"/>
                      <w:sz w:val="18"/>
                      <w:szCs w:val="21"/>
                      <w:highlight w:val="none"/>
                      <w:lang w:val="en-US" w:eastAsia="zh-CN"/>
                    </w:rPr>
                    <w:t>0.0003511</w:t>
                  </w:r>
                </w:p>
              </w:tc>
              <w:tc>
                <w:tcPr>
                  <w:tcW w:w="700" w:type="dxa"/>
                  <w:noWrap w:val="0"/>
                  <w:vAlign w:val="center"/>
                </w:tcPr>
                <w:p w14:paraId="0EE991AF">
                  <w:pPr>
                    <w:pStyle w:val="31"/>
                    <w:bidi w:val="0"/>
                    <w:rPr>
                      <w:rFonts w:hint="default" w:ascii="Times New Roman" w:hAnsi="Times New Roman" w:cs="Times New Roman"/>
                      <w:color w:val="000000"/>
                      <w:sz w:val="18"/>
                      <w:szCs w:val="21"/>
                      <w:highlight w:val="none"/>
                      <w:lang w:val="en-US" w:eastAsia="zh-CN"/>
                    </w:rPr>
                  </w:pPr>
                  <w:r>
                    <w:rPr>
                      <w:rFonts w:hint="default" w:ascii="Times New Roman" w:hAnsi="Times New Roman" w:cs="Times New Roman"/>
                      <w:color w:val="000000"/>
                      <w:sz w:val="18"/>
                      <w:szCs w:val="21"/>
                      <w:highlight w:val="none"/>
                      <w:lang w:val="en-US" w:eastAsia="zh-CN"/>
                    </w:rPr>
                    <w:t>3.51</w:t>
                  </w:r>
                </w:p>
              </w:tc>
              <w:tc>
                <w:tcPr>
                  <w:tcW w:w="1030" w:type="dxa"/>
                  <w:noWrap w:val="0"/>
                  <w:vAlign w:val="center"/>
                </w:tcPr>
                <w:p w14:paraId="525639E4">
                  <w:pPr>
                    <w:pStyle w:val="31"/>
                    <w:bidi w:val="0"/>
                    <w:rPr>
                      <w:rFonts w:hint="default" w:ascii="Times New Roman" w:hAnsi="Times New Roman" w:cs="Times New Roman"/>
                      <w:color w:val="000000"/>
                      <w:sz w:val="18"/>
                      <w:szCs w:val="21"/>
                      <w:highlight w:val="none"/>
                      <w:lang w:val="en-US" w:eastAsia="zh-CN"/>
                    </w:rPr>
                  </w:pPr>
                  <w:r>
                    <w:rPr>
                      <w:rFonts w:hint="default" w:ascii="Times New Roman" w:hAnsi="Times New Roman" w:cs="Times New Roman"/>
                      <w:color w:val="000000"/>
                      <w:sz w:val="18"/>
                      <w:szCs w:val="21"/>
                      <w:highlight w:val="none"/>
                      <w:lang w:val="en-US" w:eastAsia="zh-CN"/>
                    </w:rPr>
                    <w:t>0.0002054</w:t>
                  </w:r>
                </w:p>
              </w:tc>
              <w:tc>
                <w:tcPr>
                  <w:tcW w:w="760" w:type="dxa"/>
                  <w:noWrap w:val="0"/>
                  <w:vAlign w:val="center"/>
                </w:tcPr>
                <w:p w14:paraId="760F3441">
                  <w:pPr>
                    <w:pStyle w:val="31"/>
                    <w:bidi w:val="0"/>
                    <w:rPr>
                      <w:rFonts w:hint="default" w:ascii="Times New Roman" w:hAnsi="Times New Roman" w:cs="Times New Roman"/>
                      <w:color w:val="000000"/>
                      <w:sz w:val="18"/>
                      <w:szCs w:val="21"/>
                      <w:highlight w:val="none"/>
                      <w:lang w:val="en-US" w:eastAsia="zh-CN"/>
                    </w:rPr>
                  </w:pPr>
                  <w:r>
                    <w:rPr>
                      <w:rFonts w:hint="default" w:ascii="Times New Roman" w:hAnsi="Times New Roman" w:cs="Times New Roman"/>
                      <w:color w:val="000000"/>
                      <w:sz w:val="18"/>
                      <w:szCs w:val="21"/>
                      <w:highlight w:val="none"/>
                      <w:lang w:val="en-US" w:eastAsia="zh-CN"/>
                    </w:rPr>
                    <w:t>2.06</w:t>
                  </w:r>
                </w:p>
              </w:tc>
              <w:tc>
                <w:tcPr>
                  <w:tcW w:w="1000" w:type="dxa"/>
                  <w:noWrap w:val="0"/>
                  <w:vAlign w:val="center"/>
                </w:tcPr>
                <w:p w14:paraId="6F417F37">
                  <w:pPr>
                    <w:pStyle w:val="31"/>
                    <w:bidi w:val="0"/>
                    <w:rPr>
                      <w:rFonts w:hint="default" w:ascii="Times New Roman" w:hAnsi="Times New Roman" w:cs="Times New Roman"/>
                      <w:color w:val="000000"/>
                      <w:sz w:val="18"/>
                      <w:szCs w:val="21"/>
                      <w:highlight w:val="none"/>
                      <w:lang w:val="en-US" w:eastAsia="zh-CN"/>
                    </w:rPr>
                  </w:pPr>
                  <w:r>
                    <w:rPr>
                      <w:rFonts w:hint="default" w:ascii="Times New Roman" w:hAnsi="Times New Roman" w:cs="Times New Roman"/>
                      <w:color w:val="000000"/>
                      <w:sz w:val="18"/>
                      <w:szCs w:val="21"/>
                      <w:highlight w:val="none"/>
                      <w:lang w:val="en-US" w:eastAsia="zh-CN"/>
                    </w:rPr>
                    <w:t>0.0001344</w:t>
                  </w:r>
                </w:p>
              </w:tc>
              <w:tc>
                <w:tcPr>
                  <w:tcW w:w="750" w:type="dxa"/>
                  <w:noWrap w:val="0"/>
                  <w:vAlign w:val="center"/>
                </w:tcPr>
                <w:p w14:paraId="0D6E1ED9">
                  <w:pPr>
                    <w:pStyle w:val="31"/>
                    <w:bidi w:val="0"/>
                    <w:rPr>
                      <w:rFonts w:hint="default" w:ascii="Times New Roman" w:hAnsi="Times New Roman" w:cs="Times New Roman"/>
                      <w:color w:val="000000"/>
                      <w:sz w:val="18"/>
                      <w:szCs w:val="21"/>
                      <w:highlight w:val="none"/>
                      <w:lang w:val="en-US" w:eastAsia="zh-CN"/>
                    </w:rPr>
                  </w:pPr>
                  <w:r>
                    <w:rPr>
                      <w:rFonts w:hint="default" w:ascii="Times New Roman" w:hAnsi="Times New Roman" w:cs="Times New Roman"/>
                      <w:color w:val="000000"/>
                      <w:sz w:val="18"/>
                      <w:szCs w:val="21"/>
                      <w:highlight w:val="none"/>
                      <w:lang w:val="en-US" w:eastAsia="zh-CN"/>
                    </w:rPr>
                    <w:t>1.34</w:t>
                  </w:r>
                </w:p>
              </w:tc>
              <w:tc>
                <w:tcPr>
                  <w:tcW w:w="1130" w:type="dxa"/>
                  <w:noWrap w:val="0"/>
                  <w:vAlign w:val="center"/>
                </w:tcPr>
                <w:p w14:paraId="26E39FB2">
                  <w:pPr>
                    <w:pStyle w:val="31"/>
                    <w:bidi w:val="0"/>
                    <w:rPr>
                      <w:rFonts w:hint="default" w:ascii="Times New Roman" w:hAnsi="Times New Roman" w:cs="Times New Roman"/>
                      <w:color w:val="000000"/>
                      <w:sz w:val="18"/>
                      <w:szCs w:val="21"/>
                      <w:highlight w:val="none"/>
                      <w:lang w:val="en-US" w:eastAsia="zh-CN"/>
                    </w:rPr>
                  </w:pPr>
                  <w:r>
                    <w:rPr>
                      <w:rFonts w:hint="default" w:ascii="Times New Roman" w:hAnsi="Times New Roman" w:cs="Times New Roman"/>
                      <w:color w:val="000000"/>
                      <w:sz w:val="18"/>
                      <w:szCs w:val="21"/>
                      <w:highlight w:val="none"/>
                      <w:lang w:val="en-US" w:eastAsia="zh-CN"/>
                    </w:rPr>
                    <w:t>0.0001032</w:t>
                  </w:r>
                </w:p>
              </w:tc>
              <w:tc>
                <w:tcPr>
                  <w:tcW w:w="750" w:type="dxa"/>
                  <w:noWrap w:val="0"/>
                  <w:vAlign w:val="center"/>
                </w:tcPr>
                <w:p w14:paraId="48DC0EA8">
                  <w:pPr>
                    <w:pStyle w:val="31"/>
                    <w:bidi w:val="0"/>
                    <w:rPr>
                      <w:rFonts w:hint="default" w:ascii="Times New Roman" w:hAnsi="Times New Roman" w:cs="Times New Roman"/>
                      <w:color w:val="000000"/>
                      <w:sz w:val="18"/>
                      <w:szCs w:val="21"/>
                      <w:highlight w:val="none"/>
                      <w:lang w:val="en-US" w:eastAsia="zh-CN"/>
                    </w:rPr>
                  </w:pPr>
                  <w:r>
                    <w:rPr>
                      <w:rFonts w:hint="default" w:ascii="Times New Roman" w:hAnsi="Times New Roman" w:cs="Times New Roman"/>
                      <w:color w:val="000000"/>
                      <w:sz w:val="18"/>
                      <w:szCs w:val="21"/>
                      <w:highlight w:val="none"/>
                      <w:lang w:val="en-US" w:eastAsia="zh-CN"/>
                    </w:rPr>
                    <w:t>1.03</w:t>
                  </w:r>
                </w:p>
              </w:tc>
              <w:tc>
                <w:tcPr>
                  <w:tcW w:w="1110" w:type="dxa"/>
                  <w:noWrap w:val="0"/>
                  <w:vAlign w:val="center"/>
                </w:tcPr>
                <w:p w14:paraId="007BF779">
                  <w:pPr>
                    <w:pStyle w:val="31"/>
                    <w:bidi w:val="0"/>
                    <w:rPr>
                      <w:rFonts w:hint="default" w:ascii="Times New Roman" w:hAnsi="Times New Roman" w:cs="Times New Roman"/>
                      <w:color w:val="000000"/>
                      <w:sz w:val="18"/>
                      <w:szCs w:val="21"/>
                      <w:highlight w:val="none"/>
                      <w:lang w:val="en-US" w:eastAsia="zh-CN"/>
                    </w:rPr>
                  </w:pPr>
                  <w:r>
                    <w:rPr>
                      <w:rFonts w:hint="default" w:ascii="Times New Roman" w:hAnsi="Times New Roman" w:cs="Times New Roman"/>
                      <w:color w:val="000000"/>
                      <w:sz w:val="18"/>
                      <w:szCs w:val="21"/>
                      <w:highlight w:val="none"/>
                      <w:lang w:val="en-US" w:eastAsia="zh-CN"/>
                    </w:rPr>
                    <w:t>0.0000994</w:t>
                  </w:r>
                </w:p>
              </w:tc>
              <w:tc>
                <w:tcPr>
                  <w:tcW w:w="716" w:type="dxa"/>
                  <w:noWrap w:val="0"/>
                  <w:vAlign w:val="center"/>
                </w:tcPr>
                <w:p w14:paraId="2B7BA040">
                  <w:pPr>
                    <w:pStyle w:val="31"/>
                    <w:bidi w:val="0"/>
                    <w:rPr>
                      <w:rFonts w:hint="default" w:ascii="Times New Roman" w:hAnsi="Times New Roman" w:cs="Times New Roman"/>
                      <w:color w:val="000000"/>
                      <w:sz w:val="18"/>
                      <w:szCs w:val="21"/>
                      <w:highlight w:val="none"/>
                      <w:lang w:val="en-US" w:eastAsia="zh-CN"/>
                    </w:rPr>
                  </w:pPr>
                  <w:r>
                    <w:rPr>
                      <w:rFonts w:hint="default" w:ascii="Times New Roman" w:hAnsi="Times New Roman" w:cs="Times New Roman"/>
                      <w:color w:val="000000"/>
                      <w:sz w:val="18"/>
                      <w:szCs w:val="21"/>
                      <w:highlight w:val="none"/>
                      <w:lang w:val="en-US" w:eastAsia="zh-CN"/>
                    </w:rPr>
                    <w:t>0.99</w:t>
                  </w:r>
                </w:p>
              </w:tc>
            </w:tr>
          </w:tbl>
          <w:p w14:paraId="564EADB5">
            <w:pPr>
              <w:pStyle w:val="31"/>
              <w:bidi w:val="0"/>
              <w:rPr>
                <w:rFonts w:hint="default" w:ascii="Times New Roman" w:hAnsi="Times New Roman" w:cs="Times New Roman"/>
                <w:color w:val="000000"/>
                <w:highlight w:val="none"/>
                <w:lang w:val="en-US" w:eastAsia="zh-CN"/>
              </w:rPr>
            </w:pPr>
          </w:p>
          <w:p w14:paraId="2E0AD76F">
            <w:pPr>
              <w:pStyle w:val="30"/>
              <w:bidi w:val="0"/>
              <w:rPr>
                <w:rFonts w:hint="default"/>
                <w:color w:val="000000"/>
                <w:highlight w:val="none"/>
                <w:lang w:val="en-US" w:eastAsia="zh-CN"/>
              </w:rPr>
            </w:pPr>
          </w:p>
        </w:tc>
      </w:tr>
    </w:tbl>
    <w:p w14:paraId="32915BFA">
      <w:pPr>
        <w:jc w:val="center"/>
        <w:rPr>
          <w:rFonts w:hint="default" w:ascii="Times New Roman" w:hAnsi="Times New Roman" w:eastAsia="黑体" w:cs="Times New Roman"/>
          <w:snapToGrid w:val="0"/>
          <w:color w:val="000000"/>
          <w:sz w:val="36"/>
          <w:szCs w:val="36"/>
          <w:u w:val="none"/>
        </w:rPr>
        <w:sectPr>
          <w:pgSz w:w="16838" w:h="11906" w:orient="landscape"/>
          <w:pgMar w:top="1531" w:right="1701" w:bottom="1531" w:left="1701" w:header="851" w:footer="1077" w:gutter="0"/>
          <w:pgNumType w:fmt="decimal"/>
          <w:cols w:space="720" w:num="1"/>
          <w:docGrid w:linePitch="312" w:charSpace="0"/>
        </w:sectPr>
      </w:pPr>
    </w:p>
    <w:tbl>
      <w:tblPr>
        <w:tblStyle w:val="21"/>
        <w:tblW w:w="924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8" w:type="dxa"/>
          <w:left w:w="108" w:type="dxa"/>
          <w:bottom w:w="108" w:type="dxa"/>
          <w:right w:w="108" w:type="dxa"/>
        </w:tblCellMar>
      </w:tblPr>
      <w:tblGrid>
        <w:gridCol w:w="783"/>
        <w:gridCol w:w="8459"/>
      </w:tblGrid>
      <w:tr w14:paraId="0A3615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8" w:type="dxa"/>
            <w:left w:w="108" w:type="dxa"/>
            <w:bottom w:w="108" w:type="dxa"/>
            <w:right w:w="108" w:type="dxa"/>
          </w:tblCellMar>
        </w:tblPrEx>
        <w:trPr>
          <w:trHeight w:val="3931" w:hRule="atLeast"/>
          <w:jc w:val="center"/>
        </w:trPr>
        <w:tc>
          <w:tcPr>
            <w:tcW w:w="783" w:type="dxa"/>
            <w:noWrap w:val="0"/>
            <w:vAlign w:val="center"/>
          </w:tcPr>
          <w:p w14:paraId="7B8F389D">
            <w:pPr>
              <w:adjustRightInd w:val="0"/>
              <w:snapToGrid w:val="0"/>
              <w:spacing w:before="0" w:beforeAutospacing="0" w:after="0" w:afterAutospacing="0" w:line="360" w:lineRule="auto"/>
              <w:jc w:val="center"/>
              <w:rPr>
                <w:rFonts w:hint="default" w:ascii="Times New Roman" w:hAnsi="Times New Roman" w:cs="Times New Roman"/>
                <w:bCs/>
                <w:color w:val="000000"/>
                <w:kern w:val="2"/>
                <w:sz w:val="24"/>
                <w:szCs w:val="24"/>
                <w:u w:val="none"/>
              </w:rPr>
            </w:pPr>
            <w:r>
              <w:rPr>
                <w:rFonts w:hint="default" w:ascii="Times New Roman" w:hAnsi="Times New Roman" w:cs="Times New Roman"/>
                <w:bCs/>
                <w:color w:val="000000"/>
                <w:spacing w:val="10"/>
                <w:kern w:val="2"/>
                <w:sz w:val="24"/>
                <w:szCs w:val="24"/>
                <w:u w:val="none"/>
              </w:rPr>
              <w:t>运营期生态环境影响分析</w:t>
            </w:r>
          </w:p>
        </w:tc>
        <w:tc>
          <w:tcPr>
            <w:tcW w:w="8459" w:type="dxa"/>
            <w:noWrap w:val="0"/>
            <w:vAlign w:val="top"/>
          </w:tcPr>
          <w:p w14:paraId="101B017A">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④大气环境影响评价结论</w:t>
            </w:r>
          </w:p>
          <w:p w14:paraId="3FE8A422">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项目建成后，项目排放的废气对周边大气环境影响最大的为新建污水处理站无组织排放的</w:t>
            </w:r>
            <w:r>
              <w:rPr>
                <w:rFonts w:hint="default" w:ascii="Times New Roman" w:hAnsi="Times New Roman" w:cs="Times New Roman"/>
                <w:color w:val="000000"/>
                <w:highlight w:val="none"/>
                <w:lang w:val="en-US" w:eastAsia="zh-CN"/>
              </w:rPr>
              <w:t>NH</w:t>
            </w:r>
            <w:r>
              <w:rPr>
                <w:rFonts w:hint="default" w:ascii="Times New Roman" w:hAnsi="Times New Roman" w:cs="Times New Roman"/>
                <w:color w:val="000000"/>
                <w:highlight w:val="none"/>
                <w:vertAlign w:val="subscript"/>
                <w:lang w:val="en-US" w:eastAsia="zh-CN"/>
              </w:rPr>
              <w:t>3</w:t>
            </w:r>
            <w:r>
              <w:rPr>
                <w:rFonts w:hint="default" w:ascii="Times New Roman" w:hAnsi="Times New Roman" w:cs="Times New Roman"/>
                <w:color w:val="000000"/>
                <w:highlight w:val="none"/>
                <w:lang w:eastAsia="zh-CN"/>
              </w:rPr>
              <w:t>，最大地面落地浓度为</w:t>
            </w:r>
            <w:r>
              <w:rPr>
                <w:rFonts w:hint="default" w:ascii="Times New Roman" w:hAnsi="Times New Roman" w:cs="Times New Roman"/>
                <w:color w:val="000000"/>
                <w:highlight w:val="none"/>
                <w:lang w:val="en-US" w:eastAsia="zh-CN"/>
              </w:rPr>
              <w:t>0.0148</w:t>
            </w:r>
            <w:r>
              <w:rPr>
                <w:rFonts w:hint="default" w:ascii="Times New Roman" w:hAnsi="Times New Roman" w:cs="Times New Roman"/>
                <w:color w:val="000000"/>
                <w:highlight w:val="none"/>
                <w:lang w:eastAsia="zh-CN"/>
              </w:rPr>
              <w:t>mg/m</w:t>
            </w:r>
            <w:r>
              <w:rPr>
                <w:rFonts w:hint="default" w:ascii="Times New Roman" w:hAnsi="Times New Roman" w:cs="Times New Roman"/>
                <w:color w:val="000000"/>
                <w:highlight w:val="none"/>
                <w:vertAlign w:val="superscript"/>
                <w:lang w:eastAsia="zh-CN"/>
              </w:rPr>
              <w:t>3</w:t>
            </w:r>
            <w:r>
              <w:rPr>
                <w:rFonts w:hint="default" w:ascii="Times New Roman" w:hAnsi="Times New Roman" w:cs="Times New Roman"/>
                <w:color w:val="000000"/>
                <w:highlight w:val="none"/>
                <w:lang w:eastAsia="zh-CN"/>
              </w:rPr>
              <w:t>，占标率为</w:t>
            </w:r>
            <w:r>
              <w:rPr>
                <w:rFonts w:hint="default" w:ascii="Times New Roman" w:hAnsi="Times New Roman" w:cs="Times New Roman"/>
                <w:color w:val="000000"/>
                <w:highlight w:val="none"/>
                <w:lang w:val="en-US" w:eastAsia="zh-CN"/>
              </w:rPr>
              <w:t>7.39</w:t>
            </w:r>
            <w:r>
              <w:rPr>
                <w:rFonts w:hint="default" w:ascii="Times New Roman" w:hAnsi="Times New Roman" w:cs="Times New Roman"/>
                <w:color w:val="000000"/>
                <w:highlight w:val="none"/>
                <w:lang w:eastAsia="zh-CN"/>
              </w:rPr>
              <w:t>%，污染物最大落地浓度占标率小于10%，参照HJ2.2-2018评价等级的划分原则，确定本项目的大气环境影响评价工作等级为二级。因此项目不进行进一步预测与评价，只对污染物排放量进行核算。</w:t>
            </w:r>
          </w:p>
          <w:p w14:paraId="31C23BA1">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由</w:t>
            </w:r>
            <w:r>
              <w:rPr>
                <w:rFonts w:hint="default" w:ascii="Times New Roman" w:hAnsi="Times New Roman" w:cs="Times New Roman"/>
                <w:b w:val="0"/>
                <w:bCs w:val="0"/>
                <w:color w:val="000000"/>
                <w:highlight w:val="none"/>
                <w:lang w:val="en-US" w:eastAsia="zh-CN"/>
              </w:rPr>
              <w:fldChar w:fldCharType="begin"/>
            </w:r>
            <w:r>
              <w:rPr>
                <w:rFonts w:hint="default" w:ascii="Times New Roman" w:hAnsi="Times New Roman" w:cs="Times New Roman"/>
                <w:b w:val="0"/>
                <w:bCs w:val="0"/>
                <w:color w:val="000000"/>
                <w:highlight w:val="none"/>
                <w:lang w:val="en-US" w:eastAsia="zh-CN"/>
              </w:rPr>
              <w:instrText xml:space="preserve"> REF _Ref27082 \h </w:instrText>
            </w:r>
            <w:r>
              <w:rPr>
                <w:rFonts w:hint="default" w:ascii="Times New Roman" w:hAnsi="Times New Roman" w:cs="Times New Roman"/>
                <w:b w:val="0"/>
                <w:bCs w:val="0"/>
                <w:color w:val="000000"/>
                <w:highlight w:val="none"/>
                <w:lang w:val="en-US" w:eastAsia="zh-CN"/>
              </w:rPr>
              <w:fldChar w:fldCharType="separate"/>
            </w:r>
            <w:r>
              <w:rPr>
                <w:rFonts w:hint="default" w:ascii="Times New Roman" w:hAnsi="Times New Roman" w:eastAsia="宋体" w:cs="Times New Roman"/>
                <w:b w:val="0"/>
                <w:bCs w:val="0"/>
                <w:color w:val="000000"/>
                <w:kern w:val="2"/>
                <w:sz w:val="24"/>
                <w:szCs w:val="24"/>
                <w:highlight w:val="none"/>
                <w:lang w:val="en-US" w:eastAsia="zh-CN" w:bidi="ar-SA"/>
              </w:rPr>
              <w:t>表</w:t>
            </w:r>
            <w:r>
              <w:rPr>
                <w:rFonts w:hint="default" w:ascii="Times New Roman" w:hAnsi="Times New Roman" w:eastAsia="宋体" w:cs="Times New Roman"/>
                <w:b w:val="0"/>
                <w:bCs w:val="0"/>
                <w:color w:val="000000"/>
                <w:kern w:val="2"/>
                <w:sz w:val="24"/>
                <w:szCs w:val="24"/>
                <w:highlight w:val="none"/>
                <w:lang w:val="en-US" w:eastAsia="zh-CN" w:bidi="ar-SA"/>
              </w:rPr>
              <w:fldChar w:fldCharType="begin"/>
            </w:r>
            <w:r>
              <w:rPr>
                <w:rFonts w:hint="default" w:ascii="Times New Roman" w:hAnsi="Times New Roman" w:eastAsia="宋体" w:cs="Times New Roman"/>
                <w:b w:val="0"/>
                <w:bCs w:val="0"/>
                <w:color w:val="000000"/>
                <w:kern w:val="2"/>
                <w:sz w:val="24"/>
                <w:szCs w:val="24"/>
                <w:highlight w:val="none"/>
                <w:lang w:val="en-US" w:eastAsia="zh-CN" w:bidi="ar-SA"/>
              </w:rPr>
              <w:instrText xml:space="preserve"> STYLEREF 2 \s </w:instrText>
            </w:r>
            <w:r>
              <w:rPr>
                <w:rFonts w:hint="default" w:ascii="Times New Roman" w:hAnsi="Times New Roman" w:eastAsia="宋体" w:cs="Times New Roman"/>
                <w:b w:val="0"/>
                <w:bCs w:val="0"/>
                <w:color w:val="000000"/>
                <w:kern w:val="2"/>
                <w:sz w:val="24"/>
                <w:szCs w:val="24"/>
                <w:highlight w:val="none"/>
                <w:lang w:val="en-US" w:eastAsia="zh-CN" w:bidi="ar-SA"/>
              </w:rPr>
              <w:fldChar w:fldCharType="separate"/>
            </w:r>
            <w:r>
              <w:rPr>
                <w:rFonts w:hint="default" w:ascii="Times New Roman" w:hAnsi="Times New Roman" w:eastAsia="宋体" w:cs="Times New Roman"/>
                <w:b w:val="0"/>
                <w:bCs w:val="0"/>
                <w:color w:val="000000"/>
                <w:kern w:val="2"/>
                <w:sz w:val="24"/>
                <w:szCs w:val="24"/>
                <w:highlight w:val="none"/>
                <w:lang w:val="en-US" w:eastAsia="zh-CN" w:bidi="ar-SA"/>
              </w:rPr>
              <w:t>4.6</w:t>
            </w:r>
            <w:r>
              <w:rPr>
                <w:rFonts w:hint="default" w:ascii="Times New Roman" w:hAnsi="Times New Roman" w:eastAsia="宋体" w:cs="Times New Roman"/>
                <w:b w:val="0"/>
                <w:bCs w:val="0"/>
                <w:color w:val="000000"/>
                <w:kern w:val="2"/>
                <w:sz w:val="24"/>
                <w:szCs w:val="24"/>
                <w:highlight w:val="none"/>
                <w:lang w:val="en-US" w:eastAsia="zh-CN" w:bidi="ar-SA"/>
              </w:rPr>
              <w:fldChar w:fldCharType="end"/>
            </w:r>
            <w:r>
              <w:rPr>
                <w:rFonts w:hint="default" w:ascii="Times New Roman" w:hAnsi="Times New Roman" w:eastAsia="宋体" w:cs="Times New Roman"/>
                <w:b w:val="0"/>
                <w:bCs w:val="0"/>
                <w:color w:val="000000"/>
                <w:kern w:val="2"/>
                <w:sz w:val="24"/>
                <w:szCs w:val="24"/>
                <w:highlight w:val="none"/>
                <w:lang w:val="en-US" w:eastAsia="zh-CN" w:bidi="ar-SA"/>
              </w:rPr>
              <w:t>-3</w:t>
            </w:r>
            <w:r>
              <w:rPr>
                <w:rFonts w:hint="default" w:ascii="Times New Roman" w:hAnsi="Times New Roman" w:cs="Times New Roman"/>
                <w:b w:val="0"/>
                <w:bCs w:val="0"/>
                <w:color w:val="000000"/>
                <w:highlight w:val="none"/>
                <w:lang w:val="en-US" w:eastAsia="zh-CN"/>
              </w:rPr>
              <w:fldChar w:fldCharType="end"/>
            </w:r>
            <w:r>
              <w:rPr>
                <w:rFonts w:hint="default" w:ascii="Times New Roman" w:hAnsi="Times New Roman" w:cs="Times New Roman"/>
                <w:color w:val="000000"/>
                <w:highlight w:val="none"/>
                <w:lang w:eastAsia="zh-CN"/>
              </w:rPr>
              <w:t>可知，项目排放的废气在厂界外</w:t>
            </w:r>
            <w:r>
              <w:rPr>
                <w:rFonts w:hint="default" w:ascii="Times New Roman" w:hAnsi="Times New Roman" w:cs="Times New Roman"/>
                <w:color w:val="000000"/>
                <w:highlight w:val="none"/>
                <w:lang w:val="en-US" w:eastAsia="zh-CN"/>
              </w:rPr>
              <w:t>2.5k</w:t>
            </w:r>
            <w:r>
              <w:rPr>
                <w:rFonts w:hint="default" w:ascii="Times New Roman" w:hAnsi="Times New Roman" w:cs="Times New Roman"/>
                <w:color w:val="000000"/>
                <w:highlight w:val="none"/>
                <w:lang w:eastAsia="zh-CN"/>
              </w:rPr>
              <w:t>m范围内敏感目标处累计落地浓度值较小，远低于环境标准</w:t>
            </w:r>
            <w:r>
              <w:rPr>
                <w:rFonts w:hint="default" w:ascii="Times New Roman" w:hAnsi="Times New Roman" w:cs="Times New Roman"/>
                <w:color w:val="000000"/>
                <w:highlight w:val="none"/>
                <w:lang w:val="en-US" w:eastAsia="zh-CN"/>
              </w:rPr>
              <w:t>限值</w:t>
            </w:r>
            <w:r>
              <w:rPr>
                <w:rFonts w:hint="default" w:ascii="Times New Roman" w:hAnsi="Times New Roman" w:cs="Times New Roman"/>
                <w:color w:val="000000"/>
                <w:highlight w:val="none"/>
                <w:lang w:eastAsia="zh-CN"/>
              </w:rPr>
              <w:t>，因此项目运营期产生的大气污染物对周边敏感目标产生的污染增量很小，对周边环境影响在可接受范围。</w:t>
            </w:r>
          </w:p>
          <w:p w14:paraId="041647C8">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渔产品废弃物极易腐烂，散发出氨、硫化氢、硫醇类气体，具有恶臭和毒性，影响周围生态环境和人群健康。由于恶臭气体主要产生在渔产品</w:t>
            </w:r>
            <w:r>
              <w:rPr>
                <w:rFonts w:hint="default" w:ascii="Times New Roman" w:hAnsi="Times New Roman" w:cs="Times New Roman"/>
                <w:color w:val="000000"/>
                <w:highlight w:val="none"/>
                <w:lang w:val="en-US" w:eastAsia="zh-CN"/>
              </w:rPr>
              <w:t>装卸区和临时堆存点</w:t>
            </w:r>
            <w:r>
              <w:rPr>
                <w:rFonts w:hint="default" w:ascii="Times New Roman" w:hAnsi="Times New Roman" w:cs="Times New Roman"/>
                <w:color w:val="000000"/>
                <w:highlight w:val="none"/>
                <w:lang w:eastAsia="zh-CN"/>
              </w:rPr>
              <w:t>，首先应做到</w:t>
            </w:r>
            <w:r>
              <w:rPr>
                <w:rFonts w:hint="default" w:ascii="Times New Roman" w:hAnsi="Times New Roman" w:cs="Times New Roman"/>
                <w:color w:val="000000"/>
                <w:highlight w:val="none"/>
                <w:lang w:val="en-US" w:eastAsia="zh-CN"/>
              </w:rPr>
              <w:t>渔货</w:t>
            </w:r>
            <w:r>
              <w:rPr>
                <w:rFonts w:hint="default" w:ascii="Times New Roman" w:hAnsi="Times New Roman" w:cs="Times New Roman"/>
                <w:color w:val="000000"/>
                <w:highlight w:val="none"/>
                <w:lang w:eastAsia="zh-CN"/>
              </w:rPr>
              <w:t>集散地每天进行清洗，渔产品废弃临时堆存点应定期清运，及时灭菌消毒，避免长时间堆存产生恶臭污染；渔产品废弃物收集垃圾桶应加盖密封，减少恶臭气体逸散。渔产品在运输过程中尽量避免海水滴漏，并做好盖板密封运输。</w:t>
            </w:r>
          </w:p>
          <w:p w14:paraId="60341B19">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总体来看，项目区周边地势较低，位于岸边大气流动性较好，排放的恶臭气体很快被扩散稀释，距离居民区较远，对周边居民的影响较小。因此，在采取上述大气污染防治措施后，本项目运营期对周边大气环境影响较小。</w:t>
            </w:r>
          </w:p>
          <w:p w14:paraId="1A0AF951">
            <w:pPr>
              <w:pStyle w:val="18"/>
              <w:ind w:firstLine="480" w:firstLineChars="20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⑤污染物排放量核算</w:t>
            </w:r>
          </w:p>
          <w:p w14:paraId="36392FC4">
            <w:pPr>
              <w:ind w:firstLine="480" w:firstLineChars="20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本项目大气污染物无组织排放量见</w:t>
            </w:r>
            <w:r>
              <w:rPr>
                <w:rFonts w:hint="default" w:ascii="Times New Roman" w:hAnsi="Times New Roman" w:cs="Times New Roman"/>
                <w:b w:val="0"/>
                <w:bCs w:val="0"/>
                <w:color w:val="000000"/>
                <w:highlight w:val="none"/>
                <w:lang w:val="en-US" w:eastAsia="zh-CN"/>
              </w:rPr>
              <w:fldChar w:fldCharType="begin"/>
            </w:r>
            <w:r>
              <w:rPr>
                <w:rFonts w:hint="default" w:ascii="Times New Roman" w:hAnsi="Times New Roman" w:cs="Times New Roman"/>
                <w:b w:val="0"/>
                <w:bCs w:val="0"/>
                <w:color w:val="000000"/>
                <w:highlight w:val="none"/>
                <w:lang w:val="en-US" w:eastAsia="zh-CN"/>
              </w:rPr>
              <w:instrText xml:space="preserve"> REF _Ref32708 \h </w:instrText>
            </w:r>
            <w:r>
              <w:rPr>
                <w:rFonts w:hint="default" w:ascii="Times New Roman" w:hAnsi="Times New Roman" w:cs="Times New Roman"/>
                <w:b w:val="0"/>
                <w:bCs w:val="0"/>
                <w:color w:val="000000"/>
                <w:highlight w:val="none"/>
                <w:lang w:val="en-US" w:eastAsia="zh-CN"/>
              </w:rPr>
              <w:fldChar w:fldCharType="separate"/>
            </w:r>
            <w:r>
              <w:rPr>
                <w:rFonts w:hint="default" w:ascii="Times New Roman" w:hAnsi="Times New Roman" w:eastAsia="宋体" w:cs="Times New Roman"/>
                <w:b w:val="0"/>
                <w:bCs w:val="0"/>
                <w:color w:val="000000"/>
                <w:kern w:val="2"/>
                <w:sz w:val="24"/>
                <w:szCs w:val="24"/>
                <w:highlight w:val="none"/>
                <w:lang w:val="en-US" w:eastAsia="zh-CN" w:bidi="ar-SA"/>
              </w:rPr>
              <w:t>表</w:t>
            </w:r>
            <w:r>
              <w:rPr>
                <w:rFonts w:hint="default" w:ascii="Times New Roman" w:hAnsi="Times New Roman" w:eastAsia="宋体" w:cs="Times New Roman"/>
                <w:b w:val="0"/>
                <w:bCs w:val="0"/>
                <w:color w:val="000000"/>
                <w:kern w:val="2"/>
                <w:sz w:val="24"/>
                <w:szCs w:val="24"/>
                <w:highlight w:val="none"/>
                <w:lang w:val="en-US" w:eastAsia="zh-CN" w:bidi="ar-SA"/>
              </w:rPr>
              <w:fldChar w:fldCharType="begin"/>
            </w:r>
            <w:r>
              <w:rPr>
                <w:rFonts w:hint="default" w:ascii="Times New Roman" w:hAnsi="Times New Roman" w:eastAsia="宋体" w:cs="Times New Roman"/>
                <w:b w:val="0"/>
                <w:bCs w:val="0"/>
                <w:color w:val="000000"/>
                <w:kern w:val="2"/>
                <w:sz w:val="24"/>
                <w:szCs w:val="24"/>
                <w:highlight w:val="none"/>
                <w:lang w:val="en-US" w:eastAsia="zh-CN" w:bidi="ar-SA"/>
              </w:rPr>
              <w:instrText xml:space="preserve"> STYLEREF 2 \s </w:instrText>
            </w:r>
            <w:r>
              <w:rPr>
                <w:rFonts w:hint="default" w:ascii="Times New Roman" w:hAnsi="Times New Roman" w:eastAsia="宋体" w:cs="Times New Roman"/>
                <w:b w:val="0"/>
                <w:bCs w:val="0"/>
                <w:color w:val="000000"/>
                <w:kern w:val="2"/>
                <w:sz w:val="24"/>
                <w:szCs w:val="24"/>
                <w:highlight w:val="none"/>
                <w:lang w:val="en-US" w:eastAsia="zh-CN" w:bidi="ar-SA"/>
              </w:rPr>
              <w:fldChar w:fldCharType="separate"/>
            </w:r>
            <w:r>
              <w:rPr>
                <w:rFonts w:hint="default" w:ascii="Times New Roman" w:hAnsi="Times New Roman" w:eastAsia="宋体" w:cs="Times New Roman"/>
                <w:b w:val="0"/>
                <w:bCs w:val="0"/>
                <w:color w:val="000000"/>
                <w:kern w:val="2"/>
                <w:sz w:val="24"/>
                <w:szCs w:val="24"/>
                <w:highlight w:val="none"/>
                <w:lang w:val="en-US" w:eastAsia="zh-CN" w:bidi="ar-SA"/>
              </w:rPr>
              <w:t>4.6</w:t>
            </w:r>
            <w:r>
              <w:rPr>
                <w:rFonts w:hint="default" w:ascii="Times New Roman" w:hAnsi="Times New Roman" w:eastAsia="宋体" w:cs="Times New Roman"/>
                <w:b w:val="0"/>
                <w:bCs w:val="0"/>
                <w:color w:val="000000"/>
                <w:kern w:val="2"/>
                <w:sz w:val="24"/>
                <w:szCs w:val="24"/>
                <w:highlight w:val="none"/>
                <w:lang w:val="en-US" w:eastAsia="zh-CN" w:bidi="ar-SA"/>
              </w:rPr>
              <w:fldChar w:fldCharType="end"/>
            </w:r>
            <w:r>
              <w:rPr>
                <w:rFonts w:hint="default" w:ascii="Times New Roman" w:hAnsi="Times New Roman" w:eastAsia="宋体" w:cs="Times New Roman"/>
                <w:b w:val="0"/>
                <w:bCs w:val="0"/>
                <w:color w:val="000000"/>
                <w:kern w:val="2"/>
                <w:sz w:val="24"/>
                <w:szCs w:val="24"/>
                <w:highlight w:val="none"/>
                <w:lang w:val="en-US" w:eastAsia="zh-CN" w:bidi="ar-SA"/>
              </w:rPr>
              <w:t>-4</w:t>
            </w:r>
            <w:r>
              <w:rPr>
                <w:rFonts w:hint="default" w:ascii="Times New Roman" w:hAnsi="Times New Roman" w:cs="Times New Roman"/>
                <w:b w:val="0"/>
                <w:bCs w:val="0"/>
                <w:color w:val="000000"/>
                <w:highlight w:val="none"/>
                <w:lang w:val="en-US" w:eastAsia="zh-CN"/>
              </w:rPr>
              <w:fldChar w:fldCharType="end"/>
            </w:r>
            <w:r>
              <w:rPr>
                <w:rFonts w:hint="eastAsia" w:cs="Times New Roman"/>
                <w:b w:val="0"/>
                <w:bCs w:val="0"/>
                <w:color w:val="000000"/>
                <w:highlight w:val="none"/>
                <w:lang w:val="en-US" w:eastAsia="zh-CN"/>
              </w:rPr>
              <w:t>。</w:t>
            </w:r>
          </w:p>
          <w:p w14:paraId="51063E3D">
            <w:pPr>
              <w:widowControl w:val="0"/>
              <w:spacing w:line="240" w:lineRule="auto"/>
              <w:ind w:firstLine="0" w:firstLineChars="0"/>
              <w:jc w:val="center"/>
              <w:rPr>
                <w:rFonts w:hint="default" w:ascii="Times New Roman" w:hAnsi="Times New Roman" w:cs="Times New Roman"/>
                <w:b/>
                <w:color w:val="000000"/>
                <w:kern w:val="2"/>
                <w:sz w:val="24"/>
                <w:szCs w:val="24"/>
                <w:highlight w:val="none"/>
                <w:lang w:val="en-US" w:eastAsia="zh-CN" w:bidi="ar-SA"/>
              </w:rPr>
            </w:pPr>
            <w:bookmarkStart w:id="396" w:name="_Ref32708"/>
            <w:r>
              <w:rPr>
                <w:rFonts w:hint="default" w:ascii="Times New Roman" w:hAnsi="Times New Roman" w:eastAsia="宋体" w:cs="Times New Roman"/>
                <w:b/>
                <w:color w:val="000000"/>
                <w:kern w:val="2"/>
                <w:sz w:val="24"/>
                <w:szCs w:val="24"/>
                <w:highlight w:val="none"/>
                <w:lang w:val="en-US" w:eastAsia="zh-CN" w:bidi="ar-SA"/>
              </w:rPr>
              <w:t>表</w:t>
            </w:r>
            <w:r>
              <w:rPr>
                <w:rFonts w:hint="default" w:ascii="Times New Roman" w:hAnsi="Times New Roman" w:eastAsia="宋体" w:cs="Times New Roman"/>
                <w:b/>
                <w:color w:val="000000"/>
                <w:kern w:val="2"/>
                <w:sz w:val="24"/>
                <w:szCs w:val="24"/>
                <w:highlight w:val="none"/>
                <w:lang w:val="en-US" w:eastAsia="zh-CN" w:bidi="ar-SA"/>
              </w:rPr>
              <w:fldChar w:fldCharType="begin"/>
            </w:r>
            <w:r>
              <w:rPr>
                <w:rFonts w:hint="default" w:ascii="Times New Roman" w:hAnsi="Times New Roman" w:eastAsia="宋体" w:cs="Times New Roman"/>
                <w:b/>
                <w:color w:val="000000"/>
                <w:kern w:val="2"/>
                <w:sz w:val="24"/>
                <w:szCs w:val="24"/>
                <w:highlight w:val="none"/>
                <w:lang w:val="en-US" w:eastAsia="zh-CN" w:bidi="ar-SA"/>
              </w:rPr>
              <w:instrText xml:space="preserve"> STYLEREF 2 \s </w:instrText>
            </w:r>
            <w:r>
              <w:rPr>
                <w:rFonts w:hint="default" w:ascii="Times New Roman" w:hAnsi="Times New Roman" w:eastAsia="宋体" w:cs="Times New Roman"/>
                <w:b/>
                <w:color w:val="000000"/>
                <w:kern w:val="2"/>
                <w:sz w:val="24"/>
                <w:szCs w:val="24"/>
                <w:highlight w:val="none"/>
                <w:lang w:val="en-US" w:eastAsia="zh-CN" w:bidi="ar-SA"/>
              </w:rPr>
              <w:fldChar w:fldCharType="separate"/>
            </w:r>
            <w:r>
              <w:rPr>
                <w:rFonts w:hint="default" w:ascii="Times New Roman" w:hAnsi="Times New Roman" w:eastAsia="宋体" w:cs="Times New Roman"/>
                <w:b/>
                <w:color w:val="000000"/>
                <w:kern w:val="2"/>
                <w:sz w:val="24"/>
                <w:szCs w:val="24"/>
                <w:highlight w:val="none"/>
                <w:lang w:val="en-US" w:eastAsia="zh-CN" w:bidi="ar-SA"/>
              </w:rPr>
              <w:t>4.6</w:t>
            </w:r>
            <w:r>
              <w:rPr>
                <w:rFonts w:hint="default" w:ascii="Times New Roman" w:hAnsi="Times New Roman" w:eastAsia="宋体" w:cs="Times New Roman"/>
                <w:b/>
                <w:color w:val="000000"/>
                <w:kern w:val="2"/>
                <w:sz w:val="24"/>
                <w:szCs w:val="24"/>
                <w:highlight w:val="none"/>
                <w:lang w:val="en-US" w:eastAsia="zh-CN" w:bidi="ar-SA"/>
              </w:rPr>
              <w:fldChar w:fldCharType="end"/>
            </w:r>
            <w:r>
              <w:rPr>
                <w:rFonts w:hint="default" w:ascii="Times New Roman" w:hAnsi="Times New Roman" w:eastAsia="宋体" w:cs="Times New Roman"/>
                <w:b/>
                <w:color w:val="000000"/>
                <w:kern w:val="2"/>
                <w:sz w:val="24"/>
                <w:szCs w:val="24"/>
                <w:highlight w:val="none"/>
                <w:lang w:val="en-US" w:eastAsia="zh-CN" w:bidi="ar-SA"/>
              </w:rPr>
              <w:t>-</w:t>
            </w:r>
            <w:r>
              <w:rPr>
                <w:rFonts w:hint="default" w:ascii="Times New Roman" w:hAnsi="Times New Roman" w:eastAsia="宋体" w:cs="Times New Roman"/>
                <w:b/>
                <w:color w:val="000000"/>
                <w:kern w:val="2"/>
                <w:sz w:val="24"/>
                <w:szCs w:val="24"/>
                <w:highlight w:val="none"/>
                <w:lang w:val="en-US" w:eastAsia="zh-CN" w:bidi="ar-SA"/>
              </w:rPr>
              <w:fldChar w:fldCharType="begin"/>
            </w:r>
            <w:r>
              <w:rPr>
                <w:rFonts w:hint="default" w:ascii="Times New Roman" w:hAnsi="Times New Roman" w:eastAsia="宋体" w:cs="Times New Roman"/>
                <w:b/>
                <w:color w:val="000000"/>
                <w:kern w:val="2"/>
                <w:sz w:val="24"/>
                <w:szCs w:val="24"/>
                <w:highlight w:val="none"/>
                <w:lang w:val="en-US" w:eastAsia="zh-CN" w:bidi="ar-SA"/>
              </w:rPr>
              <w:instrText xml:space="preserve"> SEQ 表 \* ARABIC \s 2 </w:instrText>
            </w:r>
            <w:r>
              <w:rPr>
                <w:rFonts w:hint="default" w:ascii="Times New Roman" w:hAnsi="Times New Roman" w:eastAsia="宋体" w:cs="Times New Roman"/>
                <w:b/>
                <w:color w:val="000000"/>
                <w:kern w:val="2"/>
                <w:sz w:val="24"/>
                <w:szCs w:val="24"/>
                <w:highlight w:val="none"/>
                <w:lang w:val="en-US" w:eastAsia="zh-CN" w:bidi="ar-SA"/>
              </w:rPr>
              <w:fldChar w:fldCharType="separate"/>
            </w:r>
            <w:r>
              <w:rPr>
                <w:rFonts w:hint="default" w:ascii="Times New Roman" w:hAnsi="Times New Roman" w:eastAsia="宋体" w:cs="Times New Roman"/>
                <w:b/>
                <w:color w:val="000000"/>
                <w:kern w:val="2"/>
                <w:sz w:val="24"/>
                <w:szCs w:val="24"/>
                <w:highlight w:val="none"/>
                <w:lang w:val="en-US" w:eastAsia="zh-CN" w:bidi="ar-SA"/>
              </w:rPr>
              <w:t>4</w:t>
            </w:r>
            <w:r>
              <w:rPr>
                <w:rFonts w:hint="default" w:ascii="Times New Roman" w:hAnsi="Times New Roman" w:eastAsia="宋体" w:cs="Times New Roman"/>
                <w:b/>
                <w:color w:val="000000"/>
                <w:kern w:val="2"/>
                <w:sz w:val="24"/>
                <w:szCs w:val="24"/>
                <w:highlight w:val="none"/>
                <w:lang w:val="en-US" w:eastAsia="zh-CN" w:bidi="ar-SA"/>
              </w:rPr>
              <w:fldChar w:fldCharType="end"/>
            </w:r>
            <w:bookmarkEnd w:id="396"/>
            <w:r>
              <w:rPr>
                <w:rFonts w:hint="default" w:ascii="Times New Roman" w:hAnsi="Times New Roman" w:cs="Times New Roman"/>
                <w:b/>
                <w:color w:val="000000"/>
                <w:kern w:val="2"/>
                <w:sz w:val="24"/>
                <w:szCs w:val="24"/>
                <w:highlight w:val="none"/>
                <w:lang w:val="en-US" w:eastAsia="zh-CN" w:bidi="ar-SA"/>
              </w:rPr>
              <w:t xml:space="preserve"> 大气污染物无组织排放量核算表</w:t>
            </w:r>
          </w:p>
          <w:tbl>
            <w:tblPr>
              <w:tblStyle w:val="22"/>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82"/>
              <w:gridCol w:w="1173"/>
              <w:gridCol w:w="711"/>
              <w:gridCol w:w="1338"/>
              <w:gridCol w:w="1979"/>
              <w:gridCol w:w="1231"/>
              <w:gridCol w:w="1412"/>
            </w:tblGrid>
            <w:tr w14:paraId="3DD205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233" w:type="pct"/>
                  <w:vMerge w:val="restart"/>
                  <w:noWrap w:val="0"/>
                  <w:vAlign w:val="center"/>
                </w:tcPr>
                <w:p w14:paraId="06EC362A">
                  <w:pPr>
                    <w:pStyle w:val="31"/>
                    <w:bidi w:val="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序号</w:t>
                  </w:r>
                </w:p>
              </w:tc>
              <w:tc>
                <w:tcPr>
                  <w:tcW w:w="713" w:type="pct"/>
                  <w:vMerge w:val="restart"/>
                  <w:noWrap w:val="0"/>
                  <w:vAlign w:val="center"/>
                </w:tcPr>
                <w:p w14:paraId="52A481A7">
                  <w:pPr>
                    <w:pStyle w:val="31"/>
                    <w:bidi w:val="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产物环节</w:t>
                  </w:r>
                </w:p>
              </w:tc>
              <w:tc>
                <w:tcPr>
                  <w:tcW w:w="432" w:type="pct"/>
                  <w:vMerge w:val="restart"/>
                  <w:noWrap w:val="0"/>
                  <w:vAlign w:val="center"/>
                </w:tcPr>
                <w:p w14:paraId="5D955B3C">
                  <w:pPr>
                    <w:pStyle w:val="31"/>
                    <w:bidi w:val="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污染物</w:t>
                  </w:r>
                </w:p>
              </w:tc>
              <w:tc>
                <w:tcPr>
                  <w:tcW w:w="813" w:type="pct"/>
                  <w:vMerge w:val="restart"/>
                  <w:noWrap w:val="0"/>
                  <w:vAlign w:val="center"/>
                </w:tcPr>
                <w:p w14:paraId="109F8E6C">
                  <w:pPr>
                    <w:pStyle w:val="31"/>
                    <w:bidi w:val="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主要污染防治措施</w:t>
                  </w:r>
                </w:p>
              </w:tc>
              <w:tc>
                <w:tcPr>
                  <w:tcW w:w="1951" w:type="pct"/>
                  <w:gridSpan w:val="2"/>
                  <w:noWrap w:val="0"/>
                  <w:vAlign w:val="center"/>
                </w:tcPr>
                <w:p w14:paraId="1B035FEC">
                  <w:pPr>
                    <w:pStyle w:val="31"/>
                    <w:bidi w:val="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国家或地方污染物排放标准</w:t>
                  </w:r>
                </w:p>
              </w:tc>
              <w:tc>
                <w:tcPr>
                  <w:tcW w:w="857" w:type="pct"/>
                  <w:vMerge w:val="restart"/>
                  <w:noWrap w:val="0"/>
                  <w:vAlign w:val="center"/>
                </w:tcPr>
                <w:p w14:paraId="31F28E62">
                  <w:pPr>
                    <w:pStyle w:val="31"/>
                    <w:bidi w:val="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排放量（t/a）</w:t>
                  </w:r>
                </w:p>
              </w:tc>
            </w:tr>
            <w:tr w14:paraId="4E3D57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233" w:type="pct"/>
                  <w:vMerge w:val="continue"/>
                  <w:noWrap w:val="0"/>
                  <w:vAlign w:val="center"/>
                </w:tcPr>
                <w:p w14:paraId="7BFB01B5">
                  <w:pPr>
                    <w:pStyle w:val="31"/>
                    <w:bidi w:val="0"/>
                    <w:rPr>
                      <w:rFonts w:hint="default" w:ascii="Times New Roman" w:hAnsi="Times New Roman" w:cs="Times New Roman"/>
                      <w:color w:val="000000"/>
                      <w:highlight w:val="none"/>
                      <w:lang w:val="en-US" w:eastAsia="zh-CN"/>
                    </w:rPr>
                  </w:pPr>
                </w:p>
              </w:tc>
              <w:tc>
                <w:tcPr>
                  <w:tcW w:w="713" w:type="pct"/>
                  <w:vMerge w:val="continue"/>
                  <w:noWrap w:val="0"/>
                  <w:vAlign w:val="center"/>
                </w:tcPr>
                <w:p w14:paraId="79F97F31">
                  <w:pPr>
                    <w:pStyle w:val="31"/>
                    <w:bidi w:val="0"/>
                    <w:rPr>
                      <w:rFonts w:hint="default" w:ascii="Times New Roman" w:hAnsi="Times New Roman" w:cs="Times New Roman"/>
                      <w:color w:val="000000"/>
                      <w:highlight w:val="none"/>
                      <w:lang w:val="en-US" w:eastAsia="zh-CN"/>
                    </w:rPr>
                  </w:pPr>
                </w:p>
              </w:tc>
              <w:tc>
                <w:tcPr>
                  <w:tcW w:w="432" w:type="pct"/>
                  <w:vMerge w:val="continue"/>
                  <w:noWrap w:val="0"/>
                  <w:vAlign w:val="center"/>
                </w:tcPr>
                <w:p w14:paraId="79C22300">
                  <w:pPr>
                    <w:pStyle w:val="31"/>
                    <w:bidi w:val="0"/>
                    <w:rPr>
                      <w:rFonts w:hint="default" w:ascii="Times New Roman" w:hAnsi="Times New Roman" w:cs="Times New Roman"/>
                      <w:color w:val="000000"/>
                      <w:highlight w:val="none"/>
                      <w:lang w:val="en-US" w:eastAsia="zh-CN"/>
                    </w:rPr>
                  </w:pPr>
                </w:p>
              </w:tc>
              <w:tc>
                <w:tcPr>
                  <w:tcW w:w="813" w:type="pct"/>
                  <w:vMerge w:val="continue"/>
                  <w:noWrap w:val="0"/>
                  <w:vAlign w:val="center"/>
                </w:tcPr>
                <w:p w14:paraId="76939FC1">
                  <w:pPr>
                    <w:pStyle w:val="31"/>
                    <w:bidi w:val="0"/>
                    <w:rPr>
                      <w:rFonts w:hint="default" w:ascii="Times New Roman" w:hAnsi="Times New Roman" w:cs="Times New Roman"/>
                      <w:color w:val="000000"/>
                      <w:highlight w:val="none"/>
                      <w:lang w:val="en-US" w:eastAsia="zh-CN"/>
                    </w:rPr>
                  </w:pPr>
                </w:p>
              </w:tc>
              <w:tc>
                <w:tcPr>
                  <w:tcW w:w="1203" w:type="pct"/>
                  <w:noWrap w:val="0"/>
                  <w:vAlign w:val="center"/>
                </w:tcPr>
                <w:p w14:paraId="42C26704">
                  <w:pPr>
                    <w:pStyle w:val="31"/>
                    <w:bidi w:val="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标准名称</w:t>
                  </w:r>
                </w:p>
              </w:tc>
              <w:tc>
                <w:tcPr>
                  <w:tcW w:w="748" w:type="pct"/>
                  <w:noWrap w:val="0"/>
                  <w:vAlign w:val="center"/>
                </w:tcPr>
                <w:p w14:paraId="4B848DAB">
                  <w:pPr>
                    <w:pStyle w:val="31"/>
                    <w:bidi w:val="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浓度限值（mg/m</w:t>
                  </w:r>
                  <w:r>
                    <w:rPr>
                      <w:rFonts w:hint="default" w:ascii="Times New Roman" w:hAnsi="Times New Roman" w:cs="Times New Roman"/>
                      <w:b/>
                      <w:bCs/>
                      <w:color w:val="000000"/>
                      <w:highlight w:val="none"/>
                      <w:vertAlign w:val="superscript"/>
                      <w:lang w:val="en-US" w:eastAsia="zh-CN"/>
                    </w:rPr>
                    <w:t>3</w:t>
                  </w:r>
                  <w:r>
                    <w:rPr>
                      <w:rFonts w:hint="default" w:ascii="Times New Roman" w:hAnsi="Times New Roman" w:cs="Times New Roman"/>
                      <w:b/>
                      <w:bCs/>
                      <w:color w:val="000000"/>
                      <w:highlight w:val="none"/>
                      <w:lang w:val="en-US" w:eastAsia="zh-CN"/>
                    </w:rPr>
                    <w:t>）</w:t>
                  </w:r>
                </w:p>
              </w:tc>
              <w:tc>
                <w:tcPr>
                  <w:tcW w:w="857" w:type="pct"/>
                  <w:vMerge w:val="continue"/>
                  <w:noWrap w:val="0"/>
                  <w:vAlign w:val="center"/>
                </w:tcPr>
                <w:p w14:paraId="1496DD78">
                  <w:pPr>
                    <w:pStyle w:val="31"/>
                    <w:bidi w:val="0"/>
                    <w:rPr>
                      <w:rFonts w:hint="default" w:ascii="Times New Roman" w:hAnsi="Times New Roman" w:cs="Times New Roman"/>
                      <w:color w:val="000000"/>
                      <w:highlight w:val="none"/>
                      <w:lang w:val="en-US" w:eastAsia="zh-CN"/>
                    </w:rPr>
                  </w:pPr>
                </w:p>
              </w:tc>
            </w:tr>
            <w:tr w14:paraId="49BA27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33" w:type="pct"/>
                  <w:vMerge w:val="restart"/>
                  <w:noWrap w:val="0"/>
                  <w:vAlign w:val="center"/>
                </w:tcPr>
                <w:p w14:paraId="2DED30C9">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w:t>
                  </w:r>
                </w:p>
              </w:tc>
              <w:tc>
                <w:tcPr>
                  <w:tcW w:w="713" w:type="pct"/>
                  <w:vMerge w:val="restart"/>
                  <w:noWrap w:val="0"/>
                  <w:vAlign w:val="center"/>
                </w:tcPr>
                <w:p w14:paraId="3766A7DF">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现有二级渔港码头卸渔区</w:t>
                  </w:r>
                </w:p>
              </w:tc>
              <w:tc>
                <w:tcPr>
                  <w:tcW w:w="432" w:type="pct"/>
                  <w:noWrap w:val="0"/>
                  <w:vAlign w:val="center"/>
                </w:tcPr>
                <w:p w14:paraId="1F5F3FA7">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b w:val="0"/>
                      <w:bCs w:val="0"/>
                      <w:color w:val="000000"/>
                      <w:sz w:val="20"/>
                      <w:szCs w:val="22"/>
                      <w:highlight w:val="none"/>
                      <w:lang w:val="en-US" w:eastAsia="zh-CN"/>
                    </w:rPr>
                    <w:t>NH</w:t>
                  </w:r>
                  <w:r>
                    <w:rPr>
                      <w:rFonts w:hint="default" w:ascii="Times New Roman" w:hAnsi="Times New Roman" w:cs="Times New Roman"/>
                      <w:b w:val="0"/>
                      <w:bCs w:val="0"/>
                      <w:color w:val="000000"/>
                      <w:sz w:val="20"/>
                      <w:szCs w:val="22"/>
                      <w:highlight w:val="none"/>
                      <w:vertAlign w:val="subscript"/>
                      <w:lang w:val="en-US" w:eastAsia="zh-CN"/>
                    </w:rPr>
                    <w:t>3</w:t>
                  </w:r>
                </w:p>
              </w:tc>
              <w:tc>
                <w:tcPr>
                  <w:tcW w:w="813" w:type="pct"/>
                  <w:vMerge w:val="restart"/>
                  <w:noWrap w:val="0"/>
                  <w:vAlign w:val="center"/>
                </w:tcPr>
                <w:p w14:paraId="37AB17E8">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每日冲洗地面，垃圾桶加盖密闭，渔产品废弃物及时清运</w:t>
                  </w:r>
                </w:p>
              </w:tc>
              <w:tc>
                <w:tcPr>
                  <w:tcW w:w="1203" w:type="pct"/>
                  <w:vMerge w:val="restart"/>
                  <w:noWrap w:val="0"/>
                  <w:vAlign w:val="center"/>
                </w:tcPr>
                <w:p w14:paraId="4551761A">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《恶臭污染物排放标准》（GB14554-1993）</w:t>
                  </w:r>
                </w:p>
              </w:tc>
              <w:tc>
                <w:tcPr>
                  <w:tcW w:w="748" w:type="pct"/>
                  <w:noWrap w:val="0"/>
                  <w:vAlign w:val="center"/>
                </w:tcPr>
                <w:p w14:paraId="46396647">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1.5</w:t>
                  </w:r>
                </w:p>
              </w:tc>
              <w:tc>
                <w:tcPr>
                  <w:tcW w:w="1583" w:type="dxa"/>
                  <w:noWrap w:val="0"/>
                  <w:vAlign w:val="center"/>
                </w:tcPr>
                <w:p w14:paraId="5BC16EFA">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 xml:space="preserve">0.0056 </w:t>
                  </w:r>
                </w:p>
              </w:tc>
            </w:tr>
            <w:tr w14:paraId="12B229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33" w:type="pct"/>
                  <w:vMerge w:val="continue"/>
                  <w:noWrap w:val="0"/>
                  <w:vAlign w:val="center"/>
                </w:tcPr>
                <w:p w14:paraId="79AEDD09">
                  <w:pPr>
                    <w:pStyle w:val="31"/>
                    <w:bidi w:val="0"/>
                    <w:rPr>
                      <w:rFonts w:hint="default" w:ascii="Times New Roman" w:hAnsi="Times New Roman" w:cs="Times New Roman"/>
                      <w:color w:val="000000"/>
                      <w:highlight w:val="none"/>
                      <w:lang w:val="en-US" w:eastAsia="zh-CN"/>
                    </w:rPr>
                  </w:pPr>
                </w:p>
              </w:tc>
              <w:tc>
                <w:tcPr>
                  <w:tcW w:w="713" w:type="pct"/>
                  <w:vMerge w:val="continue"/>
                  <w:noWrap w:val="0"/>
                  <w:vAlign w:val="center"/>
                </w:tcPr>
                <w:p w14:paraId="0A0AE20F">
                  <w:pPr>
                    <w:pStyle w:val="31"/>
                    <w:bidi w:val="0"/>
                    <w:rPr>
                      <w:rFonts w:hint="default" w:ascii="Times New Roman" w:hAnsi="Times New Roman" w:cs="Times New Roman"/>
                      <w:color w:val="000000"/>
                      <w:highlight w:val="none"/>
                      <w:lang w:val="en-US" w:eastAsia="zh-CN"/>
                    </w:rPr>
                  </w:pPr>
                </w:p>
              </w:tc>
              <w:tc>
                <w:tcPr>
                  <w:tcW w:w="432" w:type="pct"/>
                  <w:noWrap w:val="0"/>
                  <w:vAlign w:val="center"/>
                </w:tcPr>
                <w:p w14:paraId="4B925E0F">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b w:val="0"/>
                      <w:bCs w:val="0"/>
                      <w:color w:val="000000"/>
                      <w:sz w:val="20"/>
                      <w:szCs w:val="22"/>
                      <w:highlight w:val="none"/>
                      <w:lang w:val="en-US" w:eastAsia="zh-CN"/>
                    </w:rPr>
                    <w:t>H</w:t>
                  </w:r>
                  <w:r>
                    <w:rPr>
                      <w:rFonts w:hint="default" w:ascii="Times New Roman" w:hAnsi="Times New Roman" w:cs="Times New Roman"/>
                      <w:b w:val="0"/>
                      <w:bCs w:val="0"/>
                      <w:color w:val="000000"/>
                      <w:sz w:val="20"/>
                      <w:szCs w:val="22"/>
                      <w:highlight w:val="none"/>
                      <w:vertAlign w:val="subscript"/>
                      <w:lang w:val="en-US" w:eastAsia="zh-CN"/>
                    </w:rPr>
                    <w:t>2</w:t>
                  </w:r>
                  <w:r>
                    <w:rPr>
                      <w:rFonts w:hint="default" w:ascii="Times New Roman" w:hAnsi="Times New Roman" w:cs="Times New Roman"/>
                      <w:b w:val="0"/>
                      <w:bCs w:val="0"/>
                      <w:color w:val="000000"/>
                      <w:sz w:val="20"/>
                      <w:szCs w:val="22"/>
                      <w:highlight w:val="none"/>
                      <w:lang w:val="en-US" w:eastAsia="zh-CN"/>
                    </w:rPr>
                    <w:t>S</w:t>
                  </w:r>
                </w:p>
              </w:tc>
              <w:tc>
                <w:tcPr>
                  <w:tcW w:w="813" w:type="pct"/>
                  <w:vMerge w:val="continue"/>
                  <w:noWrap w:val="0"/>
                  <w:vAlign w:val="center"/>
                </w:tcPr>
                <w:p w14:paraId="0E677A9D">
                  <w:pPr>
                    <w:pStyle w:val="31"/>
                    <w:bidi w:val="0"/>
                    <w:rPr>
                      <w:rFonts w:hint="default" w:ascii="Times New Roman" w:hAnsi="Times New Roman" w:cs="Times New Roman"/>
                      <w:color w:val="000000"/>
                      <w:highlight w:val="none"/>
                      <w:lang w:val="en-US" w:eastAsia="zh-CN"/>
                    </w:rPr>
                  </w:pPr>
                </w:p>
              </w:tc>
              <w:tc>
                <w:tcPr>
                  <w:tcW w:w="1203" w:type="pct"/>
                  <w:vMerge w:val="continue"/>
                  <w:noWrap w:val="0"/>
                  <w:vAlign w:val="center"/>
                </w:tcPr>
                <w:p w14:paraId="75C0D414">
                  <w:pPr>
                    <w:pStyle w:val="31"/>
                    <w:bidi w:val="0"/>
                    <w:rPr>
                      <w:rFonts w:hint="default" w:ascii="Times New Roman" w:hAnsi="Times New Roman" w:cs="Times New Roman"/>
                      <w:color w:val="000000"/>
                      <w:highlight w:val="none"/>
                      <w:lang w:val="en-US" w:eastAsia="zh-CN"/>
                    </w:rPr>
                  </w:pPr>
                </w:p>
              </w:tc>
              <w:tc>
                <w:tcPr>
                  <w:tcW w:w="748" w:type="pct"/>
                  <w:noWrap w:val="0"/>
                  <w:vAlign w:val="center"/>
                </w:tcPr>
                <w:p w14:paraId="5B1567CB">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0.06</w:t>
                  </w:r>
                </w:p>
              </w:tc>
              <w:tc>
                <w:tcPr>
                  <w:tcW w:w="1583" w:type="dxa"/>
                  <w:noWrap w:val="0"/>
                  <w:vAlign w:val="center"/>
                </w:tcPr>
                <w:p w14:paraId="5555ACD1">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 xml:space="preserve">0.0006 </w:t>
                  </w:r>
                </w:p>
              </w:tc>
            </w:tr>
            <w:tr w14:paraId="4DC378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33" w:type="pct"/>
                  <w:vMerge w:val="restart"/>
                  <w:noWrap w:val="0"/>
                  <w:vAlign w:val="center"/>
                </w:tcPr>
                <w:p w14:paraId="35BD42E8">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w:t>
                  </w:r>
                </w:p>
              </w:tc>
              <w:tc>
                <w:tcPr>
                  <w:tcW w:w="713" w:type="pct"/>
                  <w:vMerge w:val="restart"/>
                  <w:noWrap w:val="0"/>
                  <w:vAlign w:val="center"/>
                </w:tcPr>
                <w:p w14:paraId="6459888C">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新建码头</w:t>
                  </w:r>
                </w:p>
              </w:tc>
              <w:tc>
                <w:tcPr>
                  <w:tcW w:w="432" w:type="pct"/>
                  <w:noWrap w:val="0"/>
                  <w:vAlign w:val="center"/>
                </w:tcPr>
                <w:p w14:paraId="05168AF1">
                  <w:pPr>
                    <w:pStyle w:val="31"/>
                    <w:bidi w:val="0"/>
                    <w:rPr>
                      <w:rFonts w:hint="default" w:ascii="Times New Roman" w:hAnsi="Times New Roman" w:cs="Times New Roman"/>
                      <w:b w:val="0"/>
                      <w:bCs w:val="0"/>
                      <w:color w:val="000000"/>
                      <w:sz w:val="20"/>
                      <w:szCs w:val="22"/>
                      <w:highlight w:val="none"/>
                      <w:lang w:val="en-US" w:eastAsia="zh-CN"/>
                    </w:rPr>
                  </w:pPr>
                  <w:r>
                    <w:rPr>
                      <w:rFonts w:hint="default" w:ascii="Times New Roman" w:hAnsi="Times New Roman" w:cs="Times New Roman"/>
                      <w:b w:val="0"/>
                      <w:bCs w:val="0"/>
                      <w:color w:val="000000"/>
                      <w:sz w:val="20"/>
                      <w:szCs w:val="22"/>
                      <w:highlight w:val="none"/>
                      <w:lang w:val="en-US" w:eastAsia="zh-CN"/>
                    </w:rPr>
                    <w:t>NH</w:t>
                  </w:r>
                  <w:r>
                    <w:rPr>
                      <w:rFonts w:hint="default" w:ascii="Times New Roman" w:hAnsi="Times New Roman" w:cs="Times New Roman"/>
                      <w:b w:val="0"/>
                      <w:bCs w:val="0"/>
                      <w:color w:val="000000"/>
                      <w:sz w:val="20"/>
                      <w:szCs w:val="22"/>
                      <w:highlight w:val="none"/>
                      <w:vertAlign w:val="subscript"/>
                      <w:lang w:val="en-US" w:eastAsia="zh-CN"/>
                    </w:rPr>
                    <w:t>3</w:t>
                  </w:r>
                </w:p>
              </w:tc>
              <w:tc>
                <w:tcPr>
                  <w:tcW w:w="813" w:type="pct"/>
                  <w:vMerge w:val="continue"/>
                  <w:noWrap w:val="0"/>
                  <w:vAlign w:val="center"/>
                </w:tcPr>
                <w:p w14:paraId="24FA2C7C">
                  <w:pPr>
                    <w:pStyle w:val="31"/>
                    <w:bidi w:val="0"/>
                    <w:rPr>
                      <w:rFonts w:hint="default" w:ascii="Times New Roman" w:hAnsi="Times New Roman" w:cs="Times New Roman"/>
                      <w:color w:val="000000"/>
                      <w:highlight w:val="none"/>
                      <w:lang w:val="en-US" w:eastAsia="zh-CN"/>
                    </w:rPr>
                  </w:pPr>
                </w:p>
              </w:tc>
              <w:tc>
                <w:tcPr>
                  <w:tcW w:w="1203" w:type="pct"/>
                  <w:vMerge w:val="restart"/>
                  <w:noWrap w:val="0"/>
                  <w:vAlign w:val="center"/>
                </w:tcPr>
                <w:p w14:paraId="272533DB">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《恶臭污染物排放标准》（GB14554-1993）</w:t>
                  </w:r>
                </w:p>
              </w:tc>
              <w:tc>
                <w:tcPr>
                  <w:tcW w:w="748" w:type="pct"/>
                  <w:noWrap w:val="0"/>
                  <w:vAlign w:val="center"/>
                </w:tcPr>
                <w:p w14:paraId="260D0DB1">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1.5</w:t>
                  </w:r>
                </w:p>
              </w:tc>
              <w:tc>
                <w:tcPr>
                  <w:tcW w:w="1583" w:type="dxa"/>
                  <w:noWrap w:val="0"/>
                  <w:vAlign w:val="center"/>
                </w:tcPr>
                <w:p w14:paraId="4191491C">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 xml:space="preserve">0.0017 </w:t>
                  </w:r>
                </w:p>
              </w:tc>
            </w:tr>
            <w:tr w14:paraId="08151C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33" w:type="pct"/>
                  <w:vMerge w:val="continue"/>
                  <w:noWrap w:val="0"/>
                  <w:vAlign w:val="center"/>
                </w:tcPr>
                <w:p w14:paraId="1307AC11">
                  <w:pPr>
                    <w:pStyle w:val="31"/>
                    <w:bidi w:val="0"/>
                    <w:rPr>
                      <w:rFonts w:hint="default" w:ascii="Times New Roman" w:hAnsi="Times New Roman" w:cs="Times New Roman"/>
                      <w:color w:val="000000"/>
                      <w:highlight w:val="none"/>
                      <w:lang w:val="en-US" w:eastAsia="zh-CN"/>
                    </w:rPr>
                  </w:pPr>
                </w:p>
              </w:tc>
              <w:tc>
                <w:tcPr>
                  <w:tcW w:w="713" w:type="pct"/>
                  <w:vMerge w:val="continue"/>
                  <w:noWrap w:val="0"/>
                  <w:vAlign w:val="center"/>
                </w:tcPr>
                <w:p w14:paraId="42E3220D">
                  <w:pPr>
                    <w:pStyle w:val="31"/>
                    <w:bidi w:val="0"/>
                    <w:rPr>
                      <w:rFonts w:hint="default" w:ascii="Times New Roman" w:hAnsi="Times New Roman" w:cs="Times New Roman"/>
                      <w:color w:val="000000"/>
                      <w:highlight w:val="none"/>
                      <w:lang w:val="en-US" w:eastAsia="zh-CN"/>
                    </w:rPr>
                  </w:pPr>
                </w:p>
              </w:tc>
              <w:tc>
                <w:tcPr>
                  <w:tcW w:w="432" w:type="pct"/>
                  <w:noWrap w:val="0"/>
                  <w:vAlign w:val="center"/>
                </w:tcPr>
                <w:p w14:paraId="0456E24D">
                  <w:pPr>
                    <w:pStyle w:val="31"/>
                    <w:bidi w:val="0"/>
                    <w:rPr>
                      <w:rFonts w:hint="default" w:ascii="Times New Roman" w:hAnsi="Times New Roman" w:cs="Times New Roman"/>
                      <w:b w:val="0"/>
                      <w:bCs w:val="0"/>
                      <w:color w:val="000000"/>
                      <w:sz w:val="20"/>
                      <w:szCs w:val="22"/>
                      <w:highlight w:val="none"/>
                      <w:lang w:val="en-US" w:eastAsia="zh-CN"/>
                    </w:rPr>
                  </w:pPr>
                  <w:r>
                    <w:rPr>
                      <w:rFonts w:hint="default" w:ascii="Times New Roman" w:hAnsi="Times New Roman" w:cs="Times New Roman"/>
                      <w:b w:val="0"/>
                      <w:bCs w:val="0"/>
                      <w:color w:val="000000"/>
                      <w:sz w:val="20"/>
                      <w:szCs w:val="22"/>
                      <w:highlight w:val="none"/>
                      <w:lang w:val="en-US" w:eastAsia="zh-CN"/>
                    </w:rPr>
                    <w:t>H</w:t>
                  </w:r>
                  <w:r>
                    <w:rPr>
                      <w:rFonts w:hint="default" w:ascii="Times New Roman" w:hAnsi="Times New Roman" w:cs="Times New Roman"/>
                      <w:b w:val="0"/>
                      <w:bCs w:val="0"/>
                      <w:color w:val="000000"/>
                      <w:sz w:val="20"/>
                      <w:szCs w:val="22"/>
                      <w:highlight w:val="none"/>
                      <w:vertAlign w:val="subscript"/>
                      <w:lang w:val="en-US" w:eastAsia="zh-CN"/>
                    </w:rPr>
                    <w:t>2</w:t>
                  </w:r>
                  <w:r>
                    <w:rPr>
                      <w:rFonts w:hint="default" w:ascii="Times New Roman" w:hAnsi="Times New Roman" w:cs="Times New Roman"/>
                      <w:b w:val="0"/>
                      <w:bCs w:val="0"/>
                      <w:color w:val="000000"/>
                      <w:sz w:val="20"/>
                      <w:szCs w:val="22"/>
                      <w:highlight w:val="none"/>
                      <w:lang w:val="en-US" w:eastAsia="zh-CN"/>
                    </w:rPr>
                    <w:t>S</w:t>
                  </w:r>
                </w:p>
              </w:tc>
              <w:tc>
                <w:tcPr>
                  <w:tcW w:w="813" w:type="pct"/>
                  <w:vMerge w:val="continue"/>
                  <w:noWrap w:val="0"/>
                  <w:vAlign w:val="center"/>
                </w:tcPr>
                <w:p w14:paraId="338556A2">
                  <w:pPr>
                    <w:pStyle w:val="31"/>
                    <w:bidi w:val="0"/>
                    <w:rPr>
                      <w:rFonts w:hint="default" w:ascii="Times New Roman" w:hAnsi="Times New Roman" w:cs="Times New Roman"/>
                      <w:color w:val="000000"/>
                      <w:highlight w:val="none"/>
                      <w:lang w:val="en-US" w:eastAsia="zh-CN"/>
                    </w:rPr>
                  </w:pPr>
                </w:p>
              </w:tc>
              <w:tc>
                <w:tcPr>
                  <w:tcW w:w="1203" w:type="pct"/>
                  <w:vMerge w:val="continue"/>
                  <w:noWrap w:val="0"/>
                  <w:vAlign w:val="center"/>
                </w:tcPr>
                <w:p w14:paraId="37563791">
                  <w:pPr>
                    <w:pStyle w:val="31"/>
                    <w:bidi w:val="0"/>
                    <w:rPr>
                      <w:rFonts w:hint="default" w:ascii="Times New Roman" w:hAnsi="Times New Roman" w:cs="Times New Roman"/>
                      <w:color w:val="000000"/>
                      <w:highlight w:val="none"/>
                      <w:lang w:val="en-US" w:eastAsia="zh-CN"/>
                    </w:rPr>
                  </w:pPr>
                </w:p>
              </w:tc>
              <w:tc>
                <w:tcPr>
                  <w:tcW w:w="748" w:type="pct"/>
                  <w:noWrap w:val="0"/>
                  <w:vAlign w:val="center"/>
                </w:tcPr>
                <w:p w14:paraId="041C586E">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0.06</w:t>
                  </w:r>
                </w:p>
              </w:tc>
              <w:tc>
                <w:tcPr>
                  <w:tcW w:w="1583" w:type="dxa"/>
                  <w:noWrap w:val="0"/>
                  <w:vAlign w:val="center"/>
                </w:tcPr>
                <w:p w14:paraId="6D8CE268">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 xml:space="preserve">0.0002 </w:t>
                  </w:r>
                </w:p>
              </w:tc>
            </w:tr>
            <w:tr w14:paraId="294042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33" w:type="pct"/>
                  <w:vMerge w:val="restart"/>
                  <w:noWrap w:val="0"/>
                  <w:vAlign w:val="center"/>
                </w:tcPr>
                <w:p w14:paraId="2FF964DB">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3</w:t>
                  </w:r>
                </w:p>
              </w:tc>
              <w:tc>
                <w:tcPr>
                  <w:tcW w:w="713" w:type="pct"/>
                  <w:vMerge w:val="restart"/>
                  <w:noWrap w:val="0"/>
                  <w:vAlign w:val="center"/>
                </w:tcPr>
                <w:p w14:paraId="5DF88C93">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新建卸渔区</w:t>
                  </w:r>
                </w:p>
              </w:tc>
              <w:tc>
                <w:tcPr>
                  <w:tcW w:w="432" w:type="pct"/>
                  <w:noWrap w:val="0"/>
                  <w:vAlign w:val="center"/>
                </w:tcPr>
                <w:p w14:paraId="087C3DB1">
                  <w:pPr>
                    <w:pStyle w:val="31"/>
                    <w:bidi w:val="0"/>
                    <w:rPr>
                      <w:rFonts w:hint="default" w:ascii="Times New Roman" w:hAnsi="Times New Roman" w:cs="Times New Roman"/>
                      <w:b w:val="0"/>
                      <w:bCs w:val="0"/>
                      <w:color w:val="000000"/>
                      <w:sz w:val="20"/>
                      <w:szCs w:val="22"/>
                      <w:highlight w:val="none"/>
                      <w:lang w:val="en-US" w:eastAsia="zh-CN"/>
                    </w:rPr>
                  </w:pPr>
                  <w:r>
                    <w:rPr>
                      <w:rFonts w:hint="default" w:ascii="Times New Roman" w:hAnsi="Times New Roman" w:cs="Times New Roman"/>
                      <w:b w:val="0"/>
                      <w:bCs w:val="0"/>
                      <w:color w:val="000000"/>
                      <w:sz w:val="20"/>
                      <w:szCs w:val="22"/>
                      <w:highlight w:val="none"/>
                      <w:lang w:val="en-US" w:eastAsia="zh-CN"/>
                    </w:rPr>
                    <w:t>NH</w:t>
                  </w:r>
                  <w:r>
                    <w:rPr>
                      <w:rFonts w:hint="default" w:ascii="Times New Roman" w:hAnsi="Times New Roman" w:cs="Times New Roman"/>
                      <w:b w:val="0"/>
                      <w:bCs w:val="0"/>
                      <w:color w:val="000000"/>
                      <w:sz w:val="20"/>
                      <w:szCs w:val="22"/>
                      <w:highlight w:val="none"/>
                      <w:vertAlign w:val="subscript"/>
                      <w:lang w:val="en-US" w:eastAsia="zh-CN"/>
                    </w:rPr>
                    <w:t>3</w:t>
                  </w:r>
                </w:p>
              </w:tc>
              <w:tc>
                <w:tcPr>
                  <w:tcW w:w="813" w:type="pct"/>
                  <w:vMerge w:val="continue"/>
                  <w:noWrap w:val="0"/>
                  <w:vAlign w:val="center"/>
                </w:tcPr>
                <w:p w14:paraId="4931ED7D">
                  <w:pPr>
                    <w:pStyle w:val="31"/>
                    <w:bidi w:val="0"/>
                    <w:rPr>
                      <w:rFonts w:hint="default" w:ascii="Times New Roman" w:hAnsi="Times New Roman" w:cs="Times New Roman"/>
                      <w:color w:val="000000"/>
                      <w:highlight w:val="none"/>
                      <w:lang w:val="en-US" w:eastAsia="zh-CN"/>
                    </w:rPr>
                  </w:pPr>
                </w:p>
              </w:tc>
              <w:tc>
                <w:tcPr>
                  <w:tcW w:w="1203" w:type="pct"/>
                  <w:vMerge w:val="restart"/>
                  <w:noWrap w:val="0"/>
                  <w:vAlign w:val="center"/>
                </w:tcPr>
                <w:p w14:paraId="7D132226">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《恶臭污染物排放标准》（GB14554-1993）</w:t>
                  </w:r>
                </w:p>
              </w:tc>
              <w:tc>
                <w:tcPr>
                  <w:tcW w:w="748" w:type="pct"/>
                  <w:noWrap w:val="0"/>
                  <w:vAlign w:val="center"/>
                </w:tcPr>
                <w:p w14:paraId="1134139B">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1.5</w:t>
                  </w:r>
                </w:p>
              </w:tc>
              <w:tc>
                <w:tcPr>
                  <w:tcW w:w="1583" w:type="dxa"/>
                  <w:noWrap w:val="0"/>
                  <w:vAlign w:val="center"/>
                </w:tcPr>
                <w:p w14:paraId="2C8A601D">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 xml:space="preserve">0.0030 </w:t>
                  </w:r>
                </w:p>
              </w:tc>
            </w:tr>
            <w:tr w14:paraId="3D9085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33" w:type="pct"/>
                  <w:vMerge w:val="continue"/>
                  <w:noWrap w:val="0"/>
                  <w:vAlign w:val="center"/>
                </w:tcPr>
                <w:p w14:paraId="725A0F88">
                  <w:pPr>
                    <w:pStyle w:val="31"/>
                    <w:bidi w:val="0"/>
                    <w:rPr>
                      <w:rFonts w:hint="default" w:ascii="Times New Roman" w:hAnsi="Times New Roman" w:cs="Times New Roman"/>
                      <w:color w:val="000000"/>
                      <w:highlight w:val="none"/>
                      <w:lang w:val="en-US" w:eastAsia="zh-CN"/>
                    </w:rPr>
                  </w:pPr>
                </w:p>
              </w:tc>
              <w:tc>
                <w:tcPr>
                  <w:tcW w:w="713" w:type="pct"/>
                  <w:vMerge w:val="continue"/>
                  <w:noWrap w:val="0"/>
                  <w:vAlign w:val="center"/>
                </w:tcPr>
                <w:p w14:paraId="72F14076">
                  <w:pPr>
                    <w:pStyle w:val="31"/>
                    <w:bidi w:val="0"/>
                    <w:rPr>
                      <w:rFonts w:hint="default" w:ascii="Times New Roman" w:hAnsi="Times New Roman" w:cs="Times New Roman"/>
                      <w:color w:val="000000"/>
                      <w:highlight w:val="none"/>
                      <w:lang w:val="en-US" w:eastAsia="zh-CN"/>
                    </w:rPr>
                  </w:pPr>
                </w:p>
              </w:tc>
              <w:tc>
                <w:tcPr>
                  <w:tcW w:w="432" w:type="pct"/>
                  <w:noWrap w:val="0"/>
                  <w:vAlign w:val="center"/>
                </w:tcPr>
                <w:p w14:paraId="0017AA04">
                  <w:pPr>
                    <w:pStyle w:val="31"/>
                    <w:bidi w:val="0"/>
                    <w:rPr>
                      <w:rFonts w:hint="default" w:ascii="Times New Roman" w:hAnsi="Times New Roman" w:cs="Times New Roman"/>
                      <w:b w:val="0"/>
                      <w:bCs w:val="0"/>
                      <w:color w:val="000000"/>
                      <w:sz w:val="20"/>
                      <w:szCs w:val="22"/>
                      <w:highlight w:val="none"/>
                      <w:lang w:val="en-US" w:eastAsia="zh-CN"/>
                    </w:rPr>
                  </w:pPr>
                  <w:r>
                    <w:rPr>
                      <w:rFonts w:hint="default" w:ascii="Times New Roman" w:hAnsi="Times New Roman" w:cs="Times New Roman"/>
                      <w:b w:val="0"/>
                      <w:bCs w:val="0"/>
                      <w:color w:val="000000"/>
                      <w:sz w:val="20"/>
                      <w:szCs w:val="22"/>
                      <w:highlight w:val="none"/>
                      <w:lang w:val="en-US" w:eastAsia="zh-CN"/>
                    </w:rPr>
                    <w:t>H</w:t>
                  </w:r>
                  <w:r>
                    <w:rPr>
                      <w:rFonts w:hint="default" w:ascii="Times New Roman" w:hAnsi="Times New Roman" w:cs="Times New Roman"/>
                      <w:b w:val="0"/>
                      <w:bCs w:val="0"/>
                      <w:color w:val="000000"/>
                      <w:sz w:val="20"/>
                      <w:szCs w:val="22"/>
                      <w:highlight w:val="none"/>
                      <w:vertAlign w:val="subscript"/>
                      <w:lang w:val="en-US" w:eastAsia="zh-CN"/>
                    </w:rPr>
                    <w:t>2</w:t>
                  </w:r>
                  <w:r>
                    <w:rPr>
                      <w:rFonts w:hint="default" w:ascii="Times New Roman" w:hAnsi="Times New Roman" w:cs="Times New Roman"/>
                      <w:b w:val="0"/>
                      <w:bCs w:val="0"/>
                      <w:color w:val="000000"/>
                      <w:sz w:val="20"/>
                      <w:szCs w:val="22"/>
                      <w:highlight w:val="none"/>
                      <w:lang w:val="en-US" w:eastAsia="zh-CN"/>
                    </w:rPr>
                    <w:t>S</w:t>
                  </w:r>
                </w:p>
              </w:tc>
              <w:tc>
                <w:tcPr>
                  <w:tcW w:w="813" w:type="pct"/>
                  <w:vMerge w:val="continue"/>
                  <w:noWrap w:val="0"/>
                  <w:vAlign w:val="center"/>
                </w:tcPr>
                <w:p w14:paraId="651170F9">
                  <w:pPr>
                    <w:pStyle w:val="31"/>
                    <w:bidi w:val="0"/>
                    <w:rPr>
                      <w:rFonts w:hint="default" w:ascii="Times New Roman" w:hAnsi="Times New Roman" w:cs="Times New Roman"/>
                      <w:color w:val="000000"/>
                      <w:highlight w:val="none"/>
                      <w:lang w:val="en-US" w:eastAsia="zh-CN"/>
                    </w:rPr>
                  </w:pPr>
                </w:p>
              </w:tc>
              <w:tc>
                <w:tcPr>
                  <w:tcW w:w="1203" w:type="pct"/>
                  <w:vMerge w:val="continue"/>
                  <w:noWrap w:val="0"/>
                  <w:vAlign w:val="center"/>
                </w:tcPr>
                <w:p w14:paraId="607AEE44">
                  <w:pPr>
                    <w:pStyle w:val="31"/>
                    <w:bidi w:val="0"/>
                    <w:rPr>
                      <w:rFonts w:hint="default" w:ascii="Times New Roman" w:hAnsi="Times New Roman" w:cs="Times New Roman"/>
                      <w:color w:val="000000"/>
                      <w:highlight w:val="none"/>
                      <w:lang w:val="en-US" w:eastAsia="zh-CN"/>
                    </w:rPr>
                  </w:pPr>
                </w:p>
              </w:tc>
              <w:tc>
                <w:tcPr>
                  <w:tcW w:w="748" w:type="pct"/>
                  <w:noWrap w:val="0"/>
                  <w:vAlign w:val="center"/>
                </w:tcPr>
                <w:p w14:paraId="2D0DFF28">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0.06</w:t>
                  </w:r>
                </w:p>
              </w:tc>
              <w:tc>
                <w:tcPr>
                  <w:tcW w:w="1583" w:type="dxa"/>
                  <w:noWrap w:val="0"/>
                  <w:vAlign w:val="center"/>
                </w:tcPr>
                <w:p w14:paraId="3721C273">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 xml:space="preserve">0.0003 </w:t>
                  </w:r>
                </w:p>
              </w:tc>
            </w:tr>
            <w:tr w14:paraId="0B7A1F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33" w:type="pct"/>
                  <w:vMerge w:val="restart"/>
                  <w:noWrap w:val="0"/>
                  <w:vAlign w:val="center"/>
                </w:tcPr>
                <w:p w14:paraId="207D2529">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4</w:t>
                  </w:r>
                </w:p>
              </w:tc>
              <w:tc>
                <w:tcPr>
                  <w:tcW w:w="713" w:type="pct"/>
                  <w:vMerge w:val="restart"/>
                  <w:noWrap w:val="0"/>
                  <w:vAlign w:val="center"/>
                </w:tcPr>
                <w:p w14:paraId="47D47598">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新建污水处理站</w:t>
                  </w:r>
                </w:p>
              </w:tc>
              <w:tc>
                <w:tcPr>
                  <w:tcW w:w="432" w:type="pct"/>
                  <w:noWrap w:val="0"/>
                  <w:vAlign w:val="center"/>
                </w:tcPr>
                <w:p w14:paraId="1758EB7F">
                  <w:pPr>
                    <w:pStyle w:val="31"/>
                    <w:bidi w:val="0"/>
                    <w:rPr>
                      <w:rFonts w:hint="default" w:ascii="Times New Roman" w:hAnsi="Times New Roman" w:cs="Times New Roman"/>
                      <w:b w:val="0"/>
                      <w:bCs w:val="0"/>
                      <w:color w:val="000000"/>
                      <w:sz w:val="20"/>
                      <w:szCs w:val="22"/>
                      <w:highlight w:val="none"/>
                      <w:lang w:val="en-US" w:eastAsia="zh-CN"/>
                    </w:rPr>
                  </w:pPr>
                  <w:r>
                    <w:rPr>
                      <w:rFonts w:hint="default" w:ascii="Times New Roman" w:hAnsi="Times New Roman" w:cs="Times New Roman"/>
                      <w:b w:val="0"/>
                      <w:bCs w:val="0"/>
                      <w:color w:val="000000"/>
                      <w:sz w:val="20"/>
                      <w:szCs w:val="22"/>
                      <w:highlight w:val="none"/>
                      <w:lang w:val="en-US" w:eastAsia="zh-CN"/>
                    </w:rPr>
                    <w:t>NH</w:t>
                  </w:r>
                  <w:r>
                    <w:rPr>
                      <w:rFonts w:hint="default" w:ascii="Times New Roman" w:hAnsi="Times New Roman" w:cs="Times New Roman"/>
                      <w:b w:val="0"/>
                      <w:bCs w:val="0"/>
                      <w:color w:val="000000"/>
                      <w:sz w:val="20"/>
                      <w:szCs w:val="22"/>
                      <w:highlight w:val="none"/>
                      <w:vertAlign w:val="subscript"/>
                      <w:lang w:val="en-US" w:eastAsia="zh-CN"/>
                    </w:rPr>
                    <w:t>3</w:t>
                  </w:r>
                </w:p>
              </w:tc>
              <w:tc>
                <w:tcPr>
                  <w:tcW w:w="813" w:type="pct"/>
                  <w:vMerge w:val="restart"/>
                  <w:noWrap w:val="0"/>
                  <w:vAlign w:val="center"/>
                </w:tcPr>
                <w:p w14:paraId="74E149F2">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采用地埋式，周边种植绿化</w:t>
                  </w:r>
                </w:p>
              </w:tc>
              <w:tc>
                <w:tcPr>
                  <w:tcW w:w="1203" w:type="pct"/>
                  <w:vMerge w:val="restart"/>
                  <w:noWrap w:val="0"/>
                  <w:vAlign w:val="center"/>
                </w:tcPr>
                <w:p w14:paraId="0D83897E">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《恶臭污染物排放标准》（GB14554-1993）</w:t>
                  </w:r>
                </w:p>
              </w:tc>
              <w:tc>
                <w:tcPr>
                  <w:tcW w:w="748" w:type="pct"/>
                  <w:noWrap w:val="0"/>
                  <w:vAlign w:val="center"/>
                </w:tcPr>
                <w:p w14:paraId="303A2C7D">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1.5</w:t>
                  </w:r>
                </w:p>
              </w:tc>
              <w:tc>
                <w:tcPr>
                  <w:tcW w:w="1583" w:type="dxa"/>
                  <w:noWrap w:val="0"/>
                  <w:vAlign w:val="center"/>
                </w:tcPr>
                <w:p w14:paraId="125306A1">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 xml:space="preserve">0.0094 </w:t>
                  </w:r>
                </w:p>
              </w:tc>
            </w:tr>
            <w:tr w14:paraId="7F07D6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33" w:type="pct"/>
                  <w:vMerge w:val="continue"/>
                  <w:noWrap w:val="0"/>
                  <w:vAlign w:val="center"/>
                </w:tcPr>
                <w:p w14:paraId="504429BE">
                  <w:pPr>
                    <w:pStyle w:val="31"/>
                    <w:bidi w:val="0"/>
                    <w:rPr>
                      <w:rFonts w:hint="default" w:ascii="Times New Roman" w:hAnsi="Times New Roman" w:cs="Times New Roman"/>
                      <w:color w:val="000000"/>
                      <w:highlight w:val="none"/>
                      <w:lang w:val="en-US" w:eastAsia="zh-CN"/>
                    </w:rPr>
                  </w:pPr>
                </w:p>
              </w:tc>
              <w:tc>
                <w:tcPr>
                  <w:tcW w:w="713" w:type="pct"/>
                  <w:vMerge w:val="continue"/>
                  <w:noWrap w:val="0"/>
                  <w:vAlign w:val="center"/>
                </w:tcPr>
                <w:p w14:paraId="4391D929">
                  <w:pPr>
                    <w:pStyle w:val="31"/>
                    <w:bidi w:val="0"/>
                    <w:rPr>
                      <w:rFonts w:hint="default" w:ascii="Times New Roman" w:hAnsi="Times New Roman" w:cs="Times New Roman"/>
                      <w:color w:val="000000"/>
                      <w:highlight w:val="none"/>
                      <w:lang w:val="en-US" w:eastAsia="zh-CN"/>
                    </w:rPr>
                  </w:pPr>
                </w:p>
              </w:tc>
              <w:tc>
                <w:tcPr>
                  <w:tcW w:w="432" w:type="pct"/>
                  <w:noWrap w:val="0"/>
                  <w:vAlign w:val="center"/>
                </w:tcPr>
                <w:p w14:paraId="795DB70B">
                  <w:pPr>
                    <w:pStyle w:val="31"/>
                    <w:bidi w:val="0"/>
                    <w:rPr>
                      <w:rFonts w:hint="default" w:ascii="Times New Roman" w:hAnsi="Times New Roman" w:cs="Times New Roman"/>
                      <w:b w:val="0"/>
                      <w:bCs w:val="0"/>
                      <w:color w:val="000000"/>
                      <w:sz w:val="20"/>
                      <w:szCs w:val="22"/>
                      <w:highlight w:val="none"/>
                      <w:lang w:val="en-US" w:eastAsia="zh-CN"/>
                    </w:rPr>
                  </w:pPr>
                  <w:r>
                    <w:rPr>
                      <w:rFonts w:hint="default" w:ascii="Times New Roman" w:hAnsi="Times New Roman" w:cs="Times New Roman"/>
                      <w:b w:val="0"/>
                      <w:bCs w:val="0"/>
                      <w:color w:val="000000"/>
                      <w:sz w:val="20"/>
                      <w:szCs w:val="22"/>
                      <w:highlight w:val="none"/>
                      <w:lang w:val="en-US" w:eastAsia="zh-CN"/>
                    </w:rPr>
                    <w:t>H</w:t>
                  </w:r>
                  <w:r>
                    <w:rPr>
                      <w:rFonts w:hint="default" w:ascii="Times New Roman" w:hAnsi="Times New Roman" w:cs="Times New Roman"/>
                      <w:b w:val="0"/>
                      <w:bCs w:val="0"/>
                      <w:color w:val="000000"/>
                      <w:sz w:val="20"/>
                      <w:szCs w:val="22"/>
                      <w:highlight w:val="none"/>
                      <w:vertAlign w:val="subscript"/>
                      <w:lang w:val="en-US" w:eastAsia="zh-CN"/>
                    </w:rPr>
                    <w:t>2</w:t>
                  </w:r>
                  <w:r>
                    <w:rPr>
                      <w:rFonts w:hint="default" w:ascii="Times New Roman" w:hAnsi="Times New Roman" w:cs="Times New Roman"/>
                      <w:b w:val="0"/>
                      <w:bCs w:val="0"/>
                      <w:color w:val="000000"/>
                      <w:sz w:val="20"/>
                      <w:szCs w:val="22"/>
                      <w:highlight w:val="none"/>
                      <w:lang w:val="en-US" w:eastAsia="zh-CN"/>
                    </w:rPr>
                    <w:t>S</w:t>
                  </w:r>
                </w:p>
              </w:tc>
              <w:tc>
                <w:tcPr>
                  <w:tcW w:w="813" w:type="pct"/>
                  <w:vMerge w:val="continue"/>
                  <w:noWrap w:val="0"/>
                  <w:vAlign w:val="center"/>
                </w:tcPr>
                <w:p w14:paraId="3D764B3A">
                  <w:pPr>
                    <w:pStyle w:val="31"/>
                    <w:bidi w:val="0"/>
                    <w:rPr>
                      <w:rFonts w:hint="default" w:ascii="Times New Roman" w:hAnsi="Times New Roman" w:cs="Times New Roman"/>
                      <w:color w:val="000000"/>
                      <w:highlight w:val="none"/>
                      <w:lang w:val="en-US" w:eastAsia="zh-CN"/>
                    </w:rPr>
                  </w:pPr>
                </w:p>
              </w:tc>
              <w:tc>
                <w:tcPr>
                  <w:tcW w:w="1203" w:type="pct"/>
                  <w:vMerge w:val="continue"/>
                  <w:noWrap w:val="0"/>
                  <w:vAlign w:val="center"/>
                </w:tcPr>
                <w:p w14:paraId="01C0B946">
                  <w:pPr>
                    <w:pStyle w:val="31"/>
                    <w:bidi w:val="0"/>
                    <w:rPr>
                      <w:rFonts w:hint="default" w:ascii="Times New Roman" w:hAnsi="Times New Roman" w:cs="Times New Roman"/>
                      <w:color w:val="000000"/>
                      <w:highlight w:val="none"/>
                      <w:lang w:val="en-US" w:eastAsia="zh-CN"/>
                    </w:rPr>
                  </w:pPr>
                </w:p>
              </w:tc>
              <w:tc>
                <w:tcPr>
                  <w:tcW w:w="748" w:type="pct"/>
                  <w:noWrap w:val="0"/>
                  <w:vAlign w:val="center"/>
                </w:tcPr>
                <w:p w14:paraId="357A901C">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0.06</w:t>
                  </w:r>
                </w:p>
              </w:tc>
              <w:tc>
                <w:tcPr>
                  <w:tcW w:w="1583" w:type="dxa"/>
                  <w:noWrap w:val="0"/>
                  <w:vAlign w:val="center"/>
                </w:tcPr>
                <w:p w14:paraId="27B385A0">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 xml:space="preserve">0.0004 </w:t>
                  </w:r>
                </w:p>
              </w:tc>
            </w:tr>
            <w:tr w14:paraId="48DAE8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00" w:type="pct"/>
                  <w:gridSpan w:val="7"/>
                  <w:noWrap w:val="0"/>
                  <w:vAlign w:val="center"/>
                </w:tcPr>
                <w:p w14:paraId="4446DE21">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无组织排放总计</w:t>
                  </w:r>
                </w:p>
              </w:tc>
            </w:tr>
            <w:tr w14:paraId="725645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91" w:type="pct"/>
                  <w:gridSpan w:val="4"/>
                  <w:vMerge w:val="restart"/>
                  <w:noWrap w:val="0"/>
                  <w:vAlign w:val="center"/>
                </w:tcPr>
                <w:p w14:paraId="03D8746A">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无组织排放总计</w:t>
                  </w:r>
                </w:p>
              </w:tc>
              <w:tc>
                <w:tcPr>
                  <w:tcW w:w="1951" w:type="pct"/>
                  <w:gridSpan w:val="2"/>
                  <w:noWrap w:val="0"/>
                  <w:vAlign w:val="center"/>
                </w:tcPr>
                <w:p w14:paraId="4F0617A4">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b w:val="0"/>
                      <w:bCs w:val="0"/>
                      <w:color w:val="000000"/>
                      <w:sz w:val="20"/>
                      <w:szCs w:val="22"/>
                      <w:highlight w:val="none"/>
                      <w:lang w:val="en-US" w:eastAsia="zh-CN"/>
                    </w:rPr>
                    <w:t>NH</w:t>
                  </w:r>
                  <w:r>
                    <w:rPr>
                      <w:rFonts w:hint="default" w:ascii="Times New Roman" w:hAnsi="Times New Roman" w:cs="Times New Roman"/>
                      <w:b w:val="0"/>
                      <w:bCs w:val="0"/>
                      <w:color w:val="000000"/>
                      <w:sz w:val="20"/>
                      <w:szCs w:val="22"/>
                      <w:highlight w:val="none"/>
                      <w:vertAlign w:val="subscript"/>
                      <w:lang w:val="en-US" w:eastAsia="zh-CN"/>
                    </w:rPr>
                    <w:t>3</w:t>
                  </w:r>
                </w:p>
              </w:tc>
              <w:tc>
                <w:tcPr>
                  <w:tcW w:w="1583" w:type="dxa"/>
                  <w:noWrap w:val="0"/>
                  <w:vAlign w:val="center"/>
                </w:tcPr>
                <w:p w14:paraId="56FD6FE7">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 xml:space="preserve">0.0197 </w:t>
                  </w:r>
                </w:p>
              </w:tc>
            </w:tr>
            <w:tr w14:paraId="04F2A8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91" w:type="pct"/>
                  <w:gridSpan w:val="4"/>
                  <w:vMerge w:val="continue"/>
                  <w:noWrap w:val="0"/>
                  <w:vAlign w:val="center"/>
                </w:tcPr>
                <w:p w14:paraId="6DCE76F7">
                  <w:pPr>
                    <w:pStyle w:val="31"/>
                    <w:bidi w:val="0"/>
                    <w:rPr>
                      <w:rFonts w:hint="default" w:ascii="Times New Roman" w:hAnsi="Times New Roman" w:cs="Times New Roman"/>
                      <w:color w:val="000000"/>
                      <w:highlight w:val="none"/>
                      <w:lang w:val="en-US" w:eastAsia="zh-CN"/>
                    </w:rPr>
                  </w:pPr>
                </w:p>
              </w:tc>
              <w:tc>
                <w:tcPr>
                  <w:tcW w:w="1951" w:type="pct"/>
                  <w:gridSpan w:val="2"/>
                  <w:noWrap w:val="0"/>
                  <w:vAlign w:val="center"/>
                </w:tcPr>
                <w:p w14:paraId="5A1BDEB7">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b w:val="0"/>
                      <w:bCs w:val="0"/>
                      <w:color w:val="000000"/>
                      <w:sz w:val="20"/>
                      <w:szCs w:val="22"/>
                      <w:highlight w:val="none"/>
                      <w:lang w:val="en-US" w:eastAsia="zh-CN"/>
                    </w:rPr>
                    <w:t>H</w:t>
                  </w:r>
                  <w:r>
                    <w:rPr>
                      <w:rFonts w:hint="default" w:ascii="Times New Roman" w:hAnsi="Times New Roman" w:cs="Times New Roman"/>
                      <w:b w:val="0"/>
                      <w:bCs w:val="0"/>
                      <w:color w:val="000000"/>
                      <w:sz w:val="20"/>
                      <w:szCs w:val="22"/>
                      <w:highlight w:val="none"/>
                      <w:vertAlign w:val="subscript"/>
                      <w:lang w:val="en-US" w:eastAsia="zh-CN"/>
                    </w:rPr>
                    <w:t>2</w:t>
                  </w:r>
                  <w:r>
                    <w:rPr>
                      <w:rFonts w:hint="default" w:ascii="Times New Roman" w:hAnsi="Times New Roman" w:cs="Times New Roman"/>
                      <w:b w:val="0"/>
                      <w:bCs w:val="0"/>
                      <w:color w:val="000000"/>
                      <w:sz w:val="20"/>
                      <w:szCs w:val="22"/>
                      <w:highlight w:val="none"/>
                      <w:lang w:val="en-US" w:eastAsia="zh-CN"/>
                    </w:rPr>
                    <w:t>S</w:t>
                  </w:r>
                </w:p>
              </w:tc>
              <w:tc>
                <w:tcPr>
                  <w:tcW w:w="1583" w:type="dxa"/>
                  <w:noWrap w:val="0"/>
                  <w:vAlign w:val="center"/>
                </w:tcPr>
                <w:p w14:paraId="5A5A75F4">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0.0015</w:t>
                  </w:r>
                </w:p>
              </w:tc>
            </w:tr>
          </w:tbl>
          <w:p w14:paraId="4B35516F">
            <w:pPr>
              <w:bidi w:val="0"/>
              <w:ind w:firstLine="480" w:firstLineChars="20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⑥大气环境防护距离</w:t>
            </w:r>
          </w:p>
          <w:p w14:paraId="7DD662D5">
            <w:pPr>
              <w:bidi w:val="0"/>
              <w:ind w:firstLine="480" w:firstLineChars="20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根据《环境影响评价技术导则 大气环境》（HJ2.2-2018）的要求，厂界浓度满足大气污染物厂界浓度限值，但厂界外大气污染物短期贡献浓度超过环境质量浓度限值的，可以自厂界向外设置一定范围的大气环境防护区域，以确保大气环境防护区域外的污染物贡献浓度满足环境质量标准。</w:t>
            </w:r>
          </w:p>
          <w:p w14:paraId="33EEB554">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rPr>
            </w:pPr>
            <w:r>
              <w:rPr>
                <w:rFonts w:hint="default" w:ascii="Times New Roman" w:hAnsi="Times New Roman" w:cs="Times New Roman"/>
                <w:color w:val="000000"/>
                <w:highlight w:val="none"/>
                <w:lang w:eastAsia="zh-CN"/>
              </w:rPr>
              <w:t>根据预测，本项目正常情况下污染物最大落地浓度均满足环境质量标准，无需设置大气环境防护距离。</w:t>
            </w:r>
          </w:p>
          <w:p w14:paraId="33D29043">
            <w:pPr>
              <w:pStyle w:val="4"/>
              <w:bidi w:val="0"/>
              <w:rPr>
                <w:rFonts w:hint="default" w:ascii="Times New Roman" w:hAnsi="Times New Roman" w:cs="Times New Roman"/>
                <w:color w:val="000000"/>
                <w:highlight w:val="none"/>
              </w:rPr>
            </w:pPr>
            <w:bookmarkStart w:id="397" w:name="_Toc8248"/>
            <w:r>
              <w:rPr>
                <w:rFonts w:hint="default" w:ascii="Times New Roman" w:hAnsi="Times New Roman" w:cs="Times New Roman"/>
                <w:color w:val="000000"/>
                <w:highlight w:val="none"/>
                <w:lang w:val="en-US" w:eastAsia="zh-CN"/>
              </w:rPr>
              <w:t>运营</w:t>
            </w:r>
            <w:r>
              <w:rPr>
                <w:rFonts w:hint="default" w:ascii="Times New Roman" w:hAnsi="Times New Roman" w:cs="Times New Roman"/>
                <w:color w:val="000000"/>
                <w:highlight w:val="none"/>
              </w:rPr>
              <w:t>期声环境影响</w:t>
            </w:r>
            <w:r>
              <w:rPr>
                <w:rFonts w:hint="default" w:ascii="Times New Roman" w:hAnsi="Times New Roman" w:cs="Times New Roman"/>
                <w:color w:val="000000"/>
                <w:highlight w:val="none"/>
                <w:lang w:val="en-US" w:eastAsia="zh-CN"/>
              </w:rPr>
              <w:t>分析</w:t>
            </w:r>
            <w:bookmarkEnd w:id="397"/>
          </w:p>
          <w:p w14:paraId="0832778B">
            <w:pPr>
              <w:ind w:firstLine="480" w:firstLineChars="200"/>
              <w:rPr>
                <w:rFonts w:hint="default" w:ascii="Times New Roman" w:hAnsi="Times New Roman" w:cs="Times New Roman"/>
                <w:color w:val="000000"/>
                <w:highlight w:val="none"/>
              </w:rPr>
            </w:pPr>
            <w:r>
              <w:rPr>
                <w:rFonts w:hint="default" w:ascii="Times New Roman" w:hAnsi="Times New Roman" w:cs="Times New Roman"/>
                <w:color w:val="000000"/>
                <w:highlight w:val="none"/>
              </w:rPr>
              <w:t>项目</w:t>
            </w:r>
            <w:r>
              <w:rPr>
                <w:rFonts w:hint="default" w:ascii="Times New Roman" w:hAnsi="Times New Roman" w:cs="Times New Roman"/>
                <w:color w:val="000000"/>
                <w:highlight w:val="none"/>
                <w:lang w:val="en-US" w:eastAsia="zh-CN"/>
              </w:rPr>
              <w:t>运营期</w:t>
            </w:r>
            <w:r>
              <w:rPr>
                <w:rFonts w:hint="default" w:ascii="Times New Roman" w:hAnsi="Times New Roman" w:cs="Times New Roman"/>
                <w:color w:val="000000"/>
                <w:highlight w:val="none"/>
              </w:rPr>
              <w:t>噪声主要为船舶噪声、渔船装卸噪声、港内道路来往车辆产生的交通噪声，根据类比调查，装卸机械噪声源强为70~85dB(A)，车船交通噪声源强为80~85dB(A)。冷藏船装卸区包含制冷机组、柴油动力起重机、货物装卸冲击与碰撞噪声等，冷藏船装卸噪声可到</w:t>
            </w:r>
            <w:r>
              <w:rPr>
                <w:rFonts w:hint="default" w:ascii="Times New Roman" w:hAnsi="Times New Roman" w:cs="Times New Roman"/>
                <w:color w:val="000000"/>
                <w:highlight w:val="none"/>
                <w:lang w:val="en-US" w:eastAsia="zh-CN"/>
              </w:rPr>
              <w:t>90</w:t>
            </w:r>
            <w:r>
              <w:rPr>
                <w:rFonts w:hint="default" w:ascii="Times New Roman" w:hAnsi="Times New Roman" w:cs="Times New Roman"/>
                <w:color w:val="000000"/>
                <w:highlight w:val="none"/>
              </w:rPr>
              <w:t>dB(A)。</w:t>
            </w:r>
          </w:p>
          <w:p w14:paraId="29CA2416">
            <w:pPr>
              <w:pStyle w:val="5"/>
              <w:shd w:val="clear" w:color="auto" w:fill="auto"/>
              <w:tabs>
                <w:tab w:val="left" w:pos="0"/>
              </w:tabs>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码头装卸机械噪声影响分析</w:t>
            </w:r>
          </w:p>
          <w:p w14:paraId="2B471F71">
            <w:pPr>
              <w:keepNext w:val="0"/>
              <w:keepLines w:val="0"/>
              <w:pageBreakBefore w:val="0"/>
              <w:widowControl w:val="0"/>
              <w:kinsoku/>
              <w:wordWrap/>
              <w:overflowPunct/>
              <w:topLinePunct w:val="0"/>
              <w:autoSpaceDE/>
              <w:autoSpaceDN/>
              <w:bidi w:val="0"/>
              <w:ind w:firstLine="480" w:firstLineChars="200"/>
              <w:textAlignment w:val="auto"/>
              <w:rPr>
                <w:rFonts w:hint="default" w:ascii="Times New Roman" w:hAnsi="Times New Roman" w:cs="Times New Roman"/>
                <w:b w:val="0"/>
                <w:bCs w:val="0"/>
                <w:color w:val="000000"/>
                <w:highlight w:val="none"/>
                <w:lang w:val="en-US" w:eastAsia="zh-CN"/>
              </w:rPr>
            </w:pPr>
            <w:r>
              <w:rPr>
                <w:rFonts w:hint="default" w:ascii="Times New Roman" w:hAnsi="Times New Roman" w:cs="Times New Roman"/>
                <w:b w:val="0"/>
                <w:bCs w:val="0"/>
                <w:color w:val="000000"/>
                <w:highlight w:val="none"/>
                <w:lang w:val="en-US" w:eastAsia="zh-CN"/>
              </w:rPr>
              <w:t>本工程新建码头有</w:t>
            </w:r>
            <w:r>
              <w:rPr>
                <w:rFonts w:hint="default" w:ascii="Times New Roman" w:hAnsi="Times New Roman" w:cs="Times New Roman"/>
                <w:color w:val="000000"/>
                <w:highlight w:val="none"/>
                <w:lang w:val="en-US" w:eastAsia="zh-CN"/>
              </w:rPr>
              <w:t>4个200HP渔船泊位、3个600HP渔船泊位（兼靠1艘3000吨冷藏船），卸渔码头按每泊位配置1台装卸设备。现有二级渔港码头有4个150HP渔船泊位，采用人力作业上岸，泊位未设置装卸设备。</w:t>
            </w:r>
            <w:r>
              <w:rPr>
                <w:rFonts w:hint="default" w:ascii="Times New Roman" w:hAnsi="Times New Roman" w:cs="Times New Roman"/>
                <w:b w:val="0"/>
                <w:bCs w:val="0"/>
                <w:color w:val="000000"/>
                <w:highlight w:val="none"/>
                <w:lang w:val="en-US" w:eastAsia="zh-CN"/>
              </w:rPr>
              <w:t>本次模拟预测最不利工况，即新建码头</w:t>
            </w:r>
            <w:r>
              <w:rPr>
                <w:rFonts w:hint="default" w:ascii="Times New Roman" w:hAnsi="Times New Roman" w:cs="Times New Roman"/>
                <w:color w:val="000000"/>
                <w:highlight w:val="none"/>
                <w:lang w:val="en-US" w:eastAsia="zh-CN"/>
              </w:rPr>
              <w:t>4个200HP渔船泊位，600HP渔船泊位停靠1艘3000吨冷藏船，同时进行装卸作业，</w:t>
            </w:r>
            <w:r>
              <w:rPr>
                <w:rFonts w:hint="default" w:ascii="Times New Roman" w:hAnsi="Times New Roman" w:cs="Times New Roman"/>
                <w:b w:val="0"/>
                <w:bCs w:val="0"/>
                <w:color w:val="000000"/>
                <w:highlight w:val="none"/>
                <w:lang w:val="en-US" w:eastAsia="zh-CN"/>
              </w:rPr>
              <w:t>叠加多台产噪设备对厂界的影响，计算各厂界的噪声贡献值。</w:t>
            </w:r>
          </w:p>
          <w:p w14:paraId="39632B02">
            <w:pPr>
              <w:keepNext w:val="0"/>
              <w:keepLines w:val="0"/>
              <w:pageBreakBefore w:val="0"/>
              <w:widowControl w:val="0"/>
              <w:kinsoku/>
              <w:wordWrap/>
              <w:overflowPunct/>
              <w:topLinePunct w:val="0"/>
              <w:autoSpaceDE/>
              <w:autoSpaceDN/>
              <w:bidi w:val="0"/>
              <w:ind w:firstLine="482" w:firstLineChars="200"/>
              <w:textAlignment w:val="auto"/>
              <w:rPr>
                <w:rFonts w:hint="default" w:ascii="Times New Roman" w:hAnsi="Times New Roman" w:eastAsia="宋体" w:cs="Times New Roman"/>
                <w:b/>
                <w:bCs/>
                <w:color w:val="000000"/>
                <w:highlight w:val="none"/>
                <w:lang w:val="en-US" w:eastAsia="zh-CN"/>
              </w:rPr>
            </w:pP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1</w:t>
            </w: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预测模型</w:t>
            </w:r>
          </w:p>
          <w:p w14:paraId="4F17BDD7">
            <w:pPr>
              <w:keepNext w:val="0"/>
              <w:keepLines w:val="0"/>
              <w:pageBreakBefore w:val="0"/>
              <w:widowControl w:val="0"/>
              <w:kinsoku/>
              <w:wordWrap/>
              <w:overflowPunct/>
              <w:topLinePunct w:val="0"/>
              <w:autoSpaceDE/>
              <w:autoSpaceDN/>
              <w:bidi w:val="0"/>
              <w:ind w:firstLine="480" w:firstLineChars="200"/>
              <w:textAlignment w:val="auto"/>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采用的预测模型为《环境影响评价技术导则 声环境》（HJ 2.4-2021）附录A（规范性附录）户外声传播的衰减和附录B（规范性附录）中“B.1工业噪声预测计算模型”。</w:t>
            </w:r>
          </w:p>
          <w:p w14:paraId="75DB5730">
            <w:pPr>
              <w:keepNext w:val="0"/>
              <w:keepLines w:val="0"/>
              <w:pageBreakBefore w:val="0"/>
              <w:widowControl w:val="0"/>
              <w:kinsoku/>
              <w:wordWrap/>
              <w:overflowPunct/>
              <w:topLinePunct w:val="0"/>
              <w:autoSpaceDE/>
              <w:autoSpaceDN/>
              <w:bidi w:val="0"/>
              <w:ind w:firstLine="480" w:firstLineChars="200"/>
              <w:textAlignment w:val="auto"/>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①户外声传播衰减包括几何发散（A</w:t>
            </w:r>
            <w:r>
              <w:rPr>
                <w:rFonts w:hint="default" w:ascii="Times New Roman" w:hAnsi="Times New Roman" w:cs="Times New Roman"/>
                <w:color w:val="000000"/>
                <w:highlight w:val="none"/>
                <w:vertAlign w:val="subscript"/>
                <w:lang w:val="en-US" w:eastAsia="zh-CN"/>
              </w:rPr>
              <w:t>div</w:t>
            </w:r>
            <w:r>
              <w:rPr>
                <w:rFonts w:hint="default" w:ascii="Times New Roman" w:hAnsi="Times New Roman" w:cs="Times New Roman"/>
                <w:color w:val="000000"/>
                <w:highlight w:val="none"/>
                <w:lang w:val="en-US" w:eastAsia="zh-CN"/>
              </w:rPr>
              <w:t>）、大气吸收（A</w:t>
            </w:r>
            <w:r>
              <w:rPr>
                <w:rFonts w:hint="default" w:ascii="Times New Roman" w:hAnsi="Times New Roman" w:cs="Times New Roman"/>
                <w:color w:val="000000"/>
                <w:highlight w:val="none"/>
                <w:vertAlign w:val="subscript"/>
                <w:lang w:val="en-US" w:eastAsia="zh-CN"/>
              </w:rPr>
              <w:t>atm</w:t>
            </w:r>
            <w:r>
              <w:rPr>
                <w:rFonts w:hint="default" w:ascii="Times New Roman" w:hAnsi="Times New Roman" w:cs="Times New Roman"/>
                <w:color w:val="000000"/>
                <w:highlight w:val="none"/>
                <w:lang w:val="en-US" w:eastAsia="zh-CN"/>
              </w:rPr>
              <w:t>）、地面效应（A</w:t>
            </w:r>
            <w:r>
              <w:rPr>
                <w:rFonts w:hint="default" w:ascii="Times New Roman" w:hAnsi="Times New Roman" w:cs="Times New Roman"/>
                <w:color w:val="000000"/>
                <w:highlight w:val="none"/>
                <w:vertAlign w:val="subscript"/>
                <w:lang w:val="en-US" w:eastAsia="zh-CN"/>
              </w:rPr>
              <w:t>gr</w:t>
            </w:r>
            <w:r>
              <w:rPr>
                <w:rFonts w:hint="default" w:ascii="Times New Roman" w:hAnsi="Times New Roman" w:cs="Times New Roman"/>
                <w:color w:val="000000"/>
                <w:highlight w:val="none"/>
                <w:lang w:val="en-US" w:eastAsia="zh-CN"/>
              </w:rPr>
              <w:t>）、障碍物屏蔽（A</w:t>
            </w:r>
            <w:r>
              <w:rPr>
                <w:rFonts w:hint="default" w:ascii="Times New Roman" w:hAnsi="Times New Roman" w:cs="Times New Roman"/>
                <w:color w:val="000000"/>
                <w:highlight w:val="none"/>
                <w:vertAlign w:val="subscript"/>
                <w:lang w:val="en-US" w:eastAsia="zh-CN"/>
              </w:rPr>
              <w:t>bar</w:t>
            </w:r>
            <w:r>
              <w:rPr>
                <w:rFonts w:hint="default" w:ascii="Times New Roman" w:hAnsi="Times New Roman" w:cs="Times New Roman"/>
                <w:color w:val="000000"/>
                <w:highlight w:val="none"/>
                <w:lang w:val="en-US" w:eastAsia="zh-CN"/>
              </w:rPr>
              <w:t>）、其他多方面效应（A</w:t>
            </w:r>
            <w:r>
              <w:rPr>
                <w:rFonts w:hint="default" w:ascii="Times New Roman" w:hAnsi="Times New Roman" w:cs="Times New Roman"/>
                <w:color w:val="000000"/>
                <w:highlight w:val="none"/>
                <w:vertAlign w:val="subscript"/>
                <w:lang w:val="en-US" w:eastAsia="zh-CN"/>
              </w:rPr>
              <w:t>misc</w:t>
            </w:r>
            <w:r>
              <w:rPr>
                <w:rFonts w:hint="default" w:ascii="Times New Roman" w:hAnsi="Times New Roman" w:cs="Times New Roman"/>
                <w:color w:val="000000"/>
                <w:highlight w:val="none"/>
                <w:lang w:val="en-US" w:eastAsia="zh-CN"/>
              </w:rPr>
              <w:t>）引起的衰减。</w:t>
            </w:r>
          </w:p>
          <w:p w14:paraId="6370E186">
            <w:pPr>
              <w:keepNext w:val="0"/>
              <w:keepLines w:val="0"/>
              <w:pageBreakBefore w:val="0"/>
              <w:widowControl w:val="0"/>
              <w:kinsoku/>
              <w:wordWrap/>
              <w:overflowPunct/>
              <w:topLinePunct w:val="0"/>
              <w:autoSpaceDE/>
              <w:autoSpaceDN/>
              <w:bidi w:val="0"/>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在只考虑几何发散衰减时，可按下式计算。</w:t>
            </w:r>
          </w:p>
          <w:p w14:paraId="35EBA14A">
            <w:pPr>
              <w:keepNext w:val="0"/>
              <w:keepLines w:val="0"/>
              <w:pageBreakBefore w:val="0"/>
              <w:widowControl w:val="0"/>
              <w:kinsoku/>
              <w:wordWrap/>
              <w:overflowPunct/>
              <w:topLinePunct w:val="0"/>
              <w:autoSpaceDE/>
              <w:autoSpaceDN/>
              <w:bidi w:val="0"/>
              <w:adjustRightInd w:val="0"/>
              <w:snapToGrid w:val="0"/>
              <w:ind w:firstLine="480" w:firstLineChars="200"/>
              <w:jc w:val="center"/>
              <w:textAlignment w:val="auto"/>
              <w:rPr>
                <w:rFonts w:hint="default" w:ascii="Times New Roman" w:hAnsi="Times New Roman" w:cs="Times New Roman"/>
                <w:color w:val="000000"/>
                <w:highlight w:val="none"/>
              </w:rPr>
            </w:pPr>
            <w:r>
              <w:rPr>
                <w:rFonts w:hint="default" w:ascii="Times New Roman" w:hAnsi="Times New Roman" w:cs="Times New Roman"/>
                <w:color w:val="000000"/>
                <w:position w:val="-12"/>
                <w:highlight w:val="none"/>
              </w:rPr>
              <w:object>
                <v:shape id="_x0000_i1078" o:spt="75" type="#_x0000_t75" style="height:18pt;width:96.95pt;" o:ole="t" filled="f" o:preferrelative="t" stroked="f" coordsize="21600,21600">
                  <v:path/>
                  <v:fill on="f" focussize="0,0"/>
                  <v:stroke on="f"/>
                  <v:imagedata r:id="rId140" o:title=""/>
                  <o:lock v:ext="edit" aspectratio="t"/>
                  <w10:wrap type="none"/>
                  <w10:anchorlock/>
                </v:shape>
                <o:OLEObject Type="Embed" ProgID="Equation.KSEE3" ShapeID="_x0000_i1078" DrawAspect="Content" ObjectID="_1468075779" r:id="rId139">
                  <o:LockedField>false</o:LockedField>
                </o:OLEObject>
              </w:object>
            </w:r>
          </w:p>
          <w:p w14:paraId="79903F6C">
            <w:pPr>
              <w:keepNext w:val="0"/>
              <w:keepLines w:val="0"/>
              <w:pageBreakBefore w:val="0"/>
              <w:widowControl w:val="0"/>
              <w:kinsoku/>
              <w:wordWrap/>
              <w:overflowPunct/>
              <w:topLinePunct w:val="0"/>
              <w:autoSpaceDE/>
              <w:autoSpaceDN/>
              <w:bidi w:val="0"/>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式中：</w:t>
            </w:r>
            <w:r>
              <w:rPr>
                <w:rFonts w:hint="default" w:ascii="Times New Roman" w:hAnsi="Times New Roman" w:cs="Times New Roman"/>
                <w:color w:val="000000"/>
                <w:position w:val="-10"/>
                <w:highlight w:val="none"/>
              </w:rPr>
              <w:object>
                <v:shape id="_x0000_i1079" o:spt="75" type="#_x0000_t75" style="height:17pt;width:29pt;" o:ole="t" filled="f" o:preferrelative="t" stroked="f" coordsize="21600,21600">
                  <v:path/>
                  <v:fill on="f" focussize="0,0"/>
                  <v:stroke on="f"/>
                  <v:imagedata r:id="rId142" o:title=""/>
                  <o:lock v:ext="edit" aspectratio="t"/>
                  <w10:wrap type="none"/>
                  <w10:anchorlock/>
                </v:shape>
                <o:OLEObject Type="Embed" ProgID="Equation.KSEE3" ShapeID="_x0000_i1079" DrawAspect="Content" ObjectID="_1468075780" r:id="rId141">
                  <o:LockedField>false</o:LockedField>
                </o:OLEObject>
              </w:object>
            </w:r>
            <w:r>
              <w:rPr>
                <w:rFonts w:hint="default" w:ascii="Times New Roman" w:hAnsi="Times New Roman" w:cs="Times New Roman"/>
                <w:color w:val="000000"/>
                <w:highlight w:val="none"/>
                <w:lang w:eastAsia="zh-CN"/>
              </w:rPr>
              <w:t>——距声源r处的A声级，dB(A)；</w:t>
            </w:r>
          </w:p>
          <w:p w14:paraId="4BDD869B">
            <w:pPr>
              <w:keepNext w:val="0"/>
              <w:keepLines w:val="0"/>
              <w:pageBreakBefore w:val="0"/>
              <w:widowControl w:val="0"/>
              <w:kinsoku/>
              <w:wordWrap/>
              <w:overflowPunct/>
              <w:topLinePunct w:val="0"/>
              <w:autoSpaceDE/>
              <w:autoSpaceDN/>
              <w:bidi w:val="0"/>
              <w:adjustRightInd/>
              <w:snapToGrid/>
              <w:ind w:firstLine="1200" w:firstLineChars="500"/>
              <w:textAlignment w:val="auto"/>
              <w:rPr>
                <w:rFonts w:hint="default" w:ascii="Times New Roman" w:hAnsi="Times New Roman" w:cs="Times New Roman"/>
                <w:color w:val="000000"/>
                <w:highlight w:val="none"/>
                <w:lang w:eastAsia="zh-CN"/>
              </w:rPr>
            </w:pPr>
            <w:r>
              <w:rPr>
                <w:rFonts w:hint="default" w:ascii="Times New Roman" w:hAnsi="Times New Roman" w:cs="Times New Roman"/>
                <w:color w:val="000000"/>
                <w:position w:val="-12"/>
                <w:highlight w:val="none"/>
              </w:rPr>
              <w:object>
                <v:shape id="_x0000_i1080" o:spt="75" type="#_x0000_t75" style="height:18pt;width:31.95pt;" o:ole="t" filled="f" o:preferrelative="t" stroked="f" coordsize="21600,21600">
                  <v:path/>
                  <v:fill on="f" focussize="0,0"/>
                  <v:stroke on="f"/>
                  <v:imagedata r:id="rId144" o:title=""/>
                  <o:lock v:ext="edit" aspectratio="t"/>
                  <w10:wrap type="none"/>
                  <w10:anchorlock/>
                </v:shape>
                <o:OLEObject Type="Embed" ProgID="Equation.KSEE3" ShapeID="_x0000_i1080" DrawAspect="Content" ObjectID="_1468075781" r:id="rId143">
                  <o:LockedField>false</o:LockedField>
                </o:OLEObject>
              </w:object>
            </w:r>
            <w:r>
              <w:rPr>
                <w:rFonts w:hint="default" w:ascii="Times New Roman" w:hAnsi="Times New Roman" w:cs="Times New Roman"/>
                <w:color w:val="000000"/>
                <w:highlight w:val="none"/>
                <w:lang w:eastAsia="zh-CN"/>
              </w:rPr>
              <w:t>——参考位置r</w:t>
            </w:r>
            <w:r>
              <w:rPr>
                <w:rFonts w:hint="default" w:ascii="Times New Roman" w:hAnsi="Times New Roman" w:cs="Times New Roman"/>
                <w:color w:val="000000"/>
                <w:highlight w:val="none"/>
                <w:vertAlign w:val="subscript"/>
                <w:lang w:eastAsia="zh-CN"/>
              </w:rPr>
              <w:t>0</w:t>
            </w:r>
            <w:r>
              <w:rPr>
                <w:rFonts w:hint="default" w:ascii="Times New Roman" w:hAnsi="Times New Roman" w:cs="Times New Roman"/>
                <w:color w:val="000000"/>
                <w:highlight w:val="none"/>
                <w:lang w:eastAsia="zh-CN"/>
              </w:rPr>
              <w:t>处的A声级，dB(A)；</w:t>
            </w:r>
          </w:p>
          <w:p w14:paraId="5DE7217E">
            <w:pPr>
              <w:keepNext w:val="0"/>
              <w:keepLines w:val="0"/>
              <w:pageBreakBefore w:val="0"/>
              <w:widowControl w:val="0"/>
              <w:kinsoku/>
              <w:wordWrap/>
              <w:overflowPunct/>
              <w:topLinePunct w:val="0"/>
              <w:autoSpaceDE/>
              <w:autoSpaceDN/>
              <w:bidi w:val="0"/>
              <w:adjustRightInd/>
              <w:snapToGrid/>
              <w:ind w:firstLine="1200" w:firstLineChars="500"/>
              <w:textAlignment w:val="auto"/>
              <w:rPr>
                <w:rFonts w:hint="default" w:ascii="Times New Roman" w:hAnsi="Times New Roman" w:eastAsia="宋体" w:cs="Times New Roman"/>
                <w:color w:val="000000"/>
                <w:highlight w:val="none"/>
                <w:lang w:eastAsia="zh-CN"/>
              </w:rPr>
            </w:pPr>
            <w:r>
              <w:rPr>
                <w:rFonts w:hint="default" w:ascii="Times New Roman" w:hAnsi="Times New Roman" w:cs="Times New Roman"/>
                <w:color w:val="000000"/>
                <w:position w:val="-12"/>
                <w:highlight w:val="none"/>
              </w:rPr>
              <w:object>
                <v:shape id="_x0000_i1081" o:spt="75" type="#_x0000_t75" style="height:18pt;width:20pt;" o:ole="t" filled="f" o:preferrelative="t" stroked="f" coordsize="21600,21600">
                  <v:path/>
                  <v:fill on="f" focussize="0,0"/>
                  <v:stroke on="f"/>
                  <v:imagedata r:id="rId146" o:title=""/>
                  <o:lock v:ext="edit" aspectratio="t"/>
                  <w10:wrap type="none"/>
                  <w10:anchorlock/>
                </v:shape>
                <o:OLEObject Type="Embed" ProgID="Equation.KSEE3" ShapeID="_x0000_i1081" DrawAspect="Content" ObjectID="_1468075782" r:id="rId145">
                  <o:LockedField>false</o:LockedField>
                </o:OLEObject>
              </w:object>
            </w:r>
            <w:r>
              <w:rPr>
                <w:rFonts w:hint="default" w:ascii="Times New Roman" w:hAnsi="Times New Roman" w:cs="Times New Roman"/>
                <w:color w:val="000000"/>
                <w:highlight w:val="none"/>
                <w:lang w:eastAsia="zh-CN"/>
              </w:rPr>
              <w:t>——几何发散引起的衰减，dB。</w:t>
            </w:r>
          </w:p>
          <w:p w14:paraId="19525EF9">
            <w:pPr>
              <w:keepNext w:val="0"/>
              <w:keepLines w:val="0"/>
              <w:pageBreakBefore w:val="0"/>
              <w:widowControl w:val="0"/>
              <w:kinsoku/>
              <w:wordWrap/>
              <w:overflowPunct/>
              <w:topLinePunct w:val="0"/>
              <w:autoSpaceDE/>
              <w:autoSpaceDN/>
              <w:bidi w:val="0"/>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②无指向性点声源几何发散衰减</w:t>
            </w:r>
          </w:p>
          <w:p w14:paraId="58D6F0C1">
            <w:pPr>
              <w:keepNext w:val="0"/>
              <w:keepLines w:val="0"/>
              <w:pageBreakBefore w:val="0"/>
              <w:widowControl w:val="0"/>
              <w:kinsoku/>
              <w:wordWrap/>
              <w:overflowPunct/>
              <w:topLinePunct w:val="0"/>
              <w:autoSpaceDE/>
              <w:autoSpaceDN/>
              <w:bidi w:val="0"/>
              <w:ind w:firstLine="480" w:firstLineChars="200"/>
              <w:textAlignment w:val="auto"/>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无指向性点声源几何发散衰减的基本公式是：</w:t>
            </w:r>
          </w:p>
          <w:p w14:paraId="06028C7B">
            <w:pPr>
              <w:keepNext w:val="0"/>
              <w:keepLines w:val="0"/>
              <w:pageBreakBefore w:val="0"/>
              <w:widowControl w:val="0"/>
              <w:kinsoku/>
              <w:wordWrap/>
              <w:overflowPunct/>
              <w:topLinePunct w:val="0"/>
              <w:autoSpaceDE/>
              <w:autoSpaceDN/>
              <w:bidi w:val="0"/>
              <w:adjustRightInd w:val="0"/>
              <w:snapToGrid w:val="0"/>
              <w:ind w:firstLine="480" w:firstLineChars="200"/>
              <w:jc w:val="center"/>
              <w:textAlignment w:val="auto"/>
              <w:rPr>
                <w:rFonts w:hint="default" w:ascii="Times New Roman" w:hAnsi="Times New Roman" w:cs="Times New Roman"/>
                <w:color w:val="000000"/>
                <w:highlight w:val="none"/>
              </w:rPr>
            </w:pPr>
            <w:r>
              <w:rPr>
                <w:rFonts w:hint="default" w:ascii="Times New Roman" w:hAnsi="Times New Roman" w:cs="Times New Roman"/>
                <w:color w:val="000000"/>
                <w:position w:val="-14"/>
                <w:highlight w:val="none"/>
              </w:rPr>
              <w:object>
                <v:shape id="_x0000_i1082" o:spt="75" type="#_x0000_t75" style="height:19pt;width:131pt;" o:ole="t" filled="f" o:preferrelative="t" stroked="f" coordsize="21600,21600">
                  <v:path/>
                  <v:fill on="f" focussize="0,0"/>
                  <v:stroke on="f"/>
                  <v:imagedata r:id="rId148" o:title=""/>
                  <o:lock v:ext="edit" aspectratio="t"/>
                  <w10:wrap type="none"/>
                  <w10:anchorlock/>
                </v:shape>
                <o:OLEObject Type="Embed" ProgID="Equation.KSEE3" ShapeID="_x0000_i1082" DrawAspect="Content" ObjectID="_1468075783" r:id="rId147">
                  <o:LockedField>false</o:LockedField>
                </o:OLEObject>
              </w:object>
            </w:r>
          </w:p>
          <w:p w14:paraId="657B6759">
            <w:pPr>
              <w:keepNext w:val="0"/>
              <w:keepLines w:val="0"/>
              <w:pageBreakBefore w:val="0"/>
              <w:widowControl w:val="0"/>
              <w:kinsoku/>
              <w:wordWrap/>
              <w:overflowPunct/>
              <w:topLinePunct w:val="0"/>
              <w:autoSpaceDE/>
              <w:autoSpaceDN/>
              <w:bidi w:val="0"/>
              <w:ind w:firstLine="480" w:firstLineChars="200"/>
              <w:textAlignment w:val="auto"/>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式中：</w:t>
            </w:r>
            <w:r>
              <w:rPr>
                <w:rFonts w:hint="default" w:ascii="Times New Roman" w:hAnsi="Times New Roman" w:cs="Times New Roman"/>
                <w:color w:val="000000"/>
                <w:position w:val="-14"/>
                <w:highlight w:val="none"/>
              </w:rPr>
              <w:object>
                <v:shape id="_x0000_i1083" o:spt="75" type="#_x0000_t75" style="height:19pt;width:29pt;" o:ole="t" filled="f" o:preferrelative="t" stroked="f" coordsize="21600,21600">
                  <v:path/>
                  <v:fill on="f" focussize="0,0"/>
                  <v:stroke on="f"/>
                  <v:imagedata r:id="rId150" o:title=""/>
                  <o:lock v:ext="edit" aspectratio="t"/>
                  <w10:wrap type="none"/>
                  <w10:anchorlock/>
                </v:shape>
                <o:OLEObject Type="Embed" ProgID="Equation.KSEE3" ShapeID="_x0000_i1083" DrawAspect="Content" ObjectID="_1468075784" r:id="rId149">
                  <o:LockedField>false</o:LockedField>
                </o:OLEObject>
              </w:object>
            </w:r>
            <w:r>
              <w:rPr>
                <w:rFonts w:hint="default" w:ascii="Times New Roman" w:hAnsi="Times New Roman" w:cs="Times New Roman"/>
                <w:color w:val="000000"/>
                <w:highlight w:val="none"/>
                <w:lang w:eastAsia="zh-CN"/>
              </w:rPr>
              <w:t>——预测点处声压级，dB；</w:t>
            </w:r>
          </w:p>
          <w:p w14:paraId="334976D3">
            <w:pPr>
              <w:keepNext w:val="0"/>
              <w:keepLines w:val="0"/>
              <w:pageBreakBefore w:val="0"/>
              <w:widowControl w:val="0"/>
              <w:kinsoku/>
              <w:wordWrap/>
              <w:overflowPunct/>
              <w:topLinePunct w:val="0"/>
              <w:autoSpaceDE/>
              <w:autoSpaceDN/>
              <w:bidi w:val="0"/>
              <w:adjustRightInd/>
              <w:snapToGrid/>
              <w:ind w:firstLine="1200" w:firstLineChars="500"/>
              <w:textAlignment w:val="auto"/>
              <w:rPr>
                <w:rFonts w:hint="default" w:ascii="Times New Roman" w:hAnsi="Times New Roman" w:cs="Times New Roman"/>
                <w:color w:val="000000"/>
                <w:highlight w:val="none"/>
                <w:lang w:eastAsia="zh-CN"/>
              </w:rPr>
            </w:pPr>
            <w:r>
              <w:rPr>
                <w:rFonts w:hint="default" w:ascii="Times New Roman" w:hAnsi="Times New Roman" w:cs="Times New Roman"/>
                <w:color w:val="000000"/>
                <w:position w:val="-14"/>
                <w:highlight w:val="none"/>
              </w:rPr>
              <w:object>
                <v:shape id="_x0000_i1084" o:spt="75" type="#_x0000_t75" style="height:19pt;width:31.95pt;" o:ole="t" filled="f" o:preferrelative="t" stroked="f" coordsize="21600,21600">
                  <v:path/>
                  <v:fill on="f" focussize="0,0"/>
                  <v:stroke on="f"/>
                  <v:imagedata r:id="rId152" o:title=""/>
                  <o:lock v:ext="edit" aspectratio="t"/>
                  <w10:wrap type="none"/>
                  <w10:anchorlock/>
                </v:shape>
                <o:OLEObject Type="Embed" ProgID="Equation.KSEE3" ShapeID="_x0000_i1084" DrawAspect="Content" ObjectID="_1468075785" r:id="rId151">
                  <o:LockedField>false</o:LockedField>
                </o:OLEObject>
              </w:object>
            </w:r>
            <w:r>
              <w:rPr>
                <w:rFonts w:hint="default" w:ascii="Times New Roman" w:hAnsi="Times New Roman" w:cs="Times New Roman"/>
                <w:color w:val="000000"/>
                <w:highlight w:val="none"/>
                <w:lang w:eastAsia="zh-CN"/>
              </w:rPr>
              <w:t>——参考位置r</w:t>
            </w:r>
            <w:r>
              <w:rPr>
                <w:rFonts w:hint="default" w:ascii="Times New Roman" w:hAnsi="Times New Roman" w:cs="Times New Roman"/>
                <w:color w:val="000000"/>
                <w:highlight w:val="none"/>
                <w:vertAlign w:val="subscript"/>
                <w:lang w:eastAsia="zh-CN"/>
              </w:rPr>
              <w:t>0</w:t>
            </w:r>
            <w:r>
              <w:rPr>
                <w:rFonts w:hint="default" w:ascii="Times New Roman" w:hAnsi="Times New Roman" w:cs="Times New Roman"/>
                <w:color w:val="000000"/>
                <w:highlight w:val="none"/>
                <w:lang w:eastAsia="zh-CN"/>
              </w:rPr>
              <w:t>处的声压级，dB；</w:t>
            </w:r>
          </w:p>
          <w:p w14:paraId="31795EE0">
            <w:pPr>
              <w:keepNext w:val="0"/>
              <w:keepLines w:val="0"/>
              <w:pageBreakBefore w:val="0"/>
              <w:widowControl w:val="0"/>
              <w:kinsoku/>
              <w:wordWrap/>
              <w:overflowPunct/>
              <w:topLinePunct w:val="0"/>
              <w:autoSpaceDE/>
              <w:autoSpaceDN/>
              <w:bidi w:val="0"/>
              <w:adjustRightInd/>
              <w:snapToGrid/>
              <w:ind w:firstLine="1200" w:firstLineChars="500"/>
              <w:textAlignment w:val="auto"/>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r</w:t>
            </w:r>
            <w:r>
              <w:rPr>
                <w:rFonts w:hint="default" w:ascii="Times New Roman" w:hAnsi="Times New Roman" w:cs="Times New Roman"/>
                <w:color w:val="000000"/>
                <w:highlight w:val="none"/>
                <w:lang w:eastAsia="zh-CN"/>
              </w:rPr>
              <w:t>——预测点距声源的距离；</w:t>
            </w:r>
          </w:p>
          <w:p w14:paraId="6A887380">
            <w:pPr>
              <w:keepNext w:val="0"/>
              <w:keepLines w:val="0"/>
              <w:pageBreakBefore w:val="0"/>
              <w:widowControl w:val="0"/>
              <w:kinsoku/>
              <w:wordWrap/>
              <w:overflowPunct/>
              <w:topLinePunct w:val="0"/>
              <w:autoSpaceDE/>
              <w:autoSpaceDN/>
              <w:bidi w:val="0"/>
              <w:adjustRightInd/>
              <w:snapToGrid/>
              <w:ind w:firstLine="1200" w:firstLineChars="5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r</w:t>
            </w:r>
            <w:r>
              <w:rPr>
                <w:rFonts w:hint="default" w:ascii="Times New Roman" w:hAnsi="Times New Roman" w:cs="Times New Roman"/>
                <w:color w:val="000000"/>
                <w:highlight w:val="none"/>
                <w:vertAlign w:val="subscript"/>
                <w:lang w:val="en-US" w:eastAsia="zh-CN"/>
              </w:rPr>
              <w:t>0</w:t>
            </w:r>
            <w:r>
              <w:rPr>
                <w:rFonts w:hint="default" w:ascii="Times New Roman" w:hAnsi="Times New Roman" w:cs="Times New Roman"/>
                <w:color w:val="000000"/>
                <w:highlight w:val="none"/>
                <w:lang w:eastAsia="zh-CN"/>
              </w:rPr>
              <w:t>——参考位置距声源的距离。</w:t>
            </w:r>
          </w:p>
          <w:p w14:paraId="40141B32">
            <w:pPr>
              <w:keepNext w:val="0"/>
              <w:keepLines w:val="0"/>
              <w:pageBreakBefore w:val="0"/>
              <w:widowControl w:val="0"/>
              <w:kinsoku/>
              <w:wordWrap/>
              <w:overflowPunct/>
              <w:topLinePunct w:val="0"/>
              <w:autoSpaceDE/>
              <w:autoSpaceDN/>
              <w:bidi w:val="0"/>
              <w:ind w:firstLine="480" w:firstLineChars="200"/>
              <w:textAlignment w:val="auto"/>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上式中第二项表示了点声源的几何发散衰减：</w:t>
            </w:r>
          </w:p>
          <w:p w14:paraId="7DFB8EC1">
            <w:pPr>
              <w:keepNext w:val="0"/>
              <w:keepLines w:val="0"/>
              <w:pageBreakBefore w:val="0"/>
              <w:widowControl w:val="0"/>
              <w:kinsoku/>
              <w:wordWrap/>
              <w:overflowPunct/>
              <w:topLinePunct w:val="0"/>
              <w:autoSpaceDE/>
              <w:autoSpaceDN/>
              <w:bidi w:val="0"/>
              <w:adjustRightInd w:val="0"/>
              <w:snapToGrid w:val="0"/>
              <w:ind w:firstLine="480" w:firstLineChars="200"/>
              <w:jc w:val="center"/>
              <w:textAlignment w:val="auto"/>
              <w:rPr>
                <w:rFonts w:hint="default" w:ascii="Times New Roman" w:hAnsi="Times New Roman" w:cs="Times New Roman"/>
                <w:color w:val="000000"/>
                <w:highlight w:val="none"/>
              </w:rPr>
            </w:pPr>
            <w:r>
              <w:rPr>
                <w:rFonts w:hint="default" w:ascii="Times New Roman" w:hAnsi="Times New Roman" w:cs="Times New Roman"/>
                <w:color w:val="000000"/>
                <w:position w:val="-12"/>
                <w:highlight w:val="none"/>
              </w:rPr>
              <w:object>
                <v:shape id="_x0000_i1085" o:spt="75" type="#_x0000_t75" style="height:18pt;width:84pt;" o:ole="t" filled="f" o:preferrelative="t" stroked="f" coordsize="21600,21600">
                  <v:path/>
                  <v:fill on="f" focussize="0,0"/>
                  <v:stroke on="f"/>
                  <v:imagedata r:id="rId154" o:title=""/>
                  <o:lock v:ext="edit" aspectratio="t"/>
                  <w10:wrap type="none"/>
                  <w10:anchorlock/>
                </v:shape>
                <o:OLEObject Type="Embed" ProgID="Equation.KSEE3" ShapeID="_x0000_i1085" DrawAspect="Content" ObjectID="_1468075786" r:id="rId153">
                  <o:LockedField>false</o:LockedField>
                </o:OLEObject>
              </w:object>
            </w:r>
          </w:p>
          <w:p w14:paraId="726E52C4">
            <w:pPr>
              <w:keepNext w:val="0"/>
              <w:keepLines w:val="0"/>
              <w:pageBreakBefore w:val="0"/>
              <w:widowControl w:val="0"/>
              <w:kinsoku/>
              <w:wordWrap/>
              <w:overflowPunct/>
              <w:topLinePunct w:val="0"/>
              <w:autoSpaceDE/>
              <w:autoSpaceDN/>
              <w:bidi w:val="0"/>
              <w:ind w:firstLine="480" w:firstLineChars="200"/>
              <w:textAlignment w:val="auto"/>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式中：</w:t>
            </w:r>
            <w:r>
              <w:rPr>
                <w:rFonts w:hint="default" w:ascii="Times New Roman" w:hAnsi="Times New Roman" w:cs="Times New Roman"/>
                <w:color w:val="000000"/>
                <w:position w:val="-12"/>
                <w:highlight w:val="none"/>
              </w:rPr>
              <w:object>
                <v:shape id="_x0000_i1086" o:spt="75" type="#_x0000_t75" style="height:18pt;width:20pt;" o:ole="t" filled="f" o:preferrelative="t" stroked="f" coordsize="21600,21600">
                  <v:path/>
                  <v:fill on="f" focussize="0,0"/>
                  <v:stroke on="f"/>
                  <v:imagedata r:id="rId146" o:title=""/>
                  <o:lock v:ext="edit" aspectratio="t"/>
                  <w10:wrap type="none"/>
                  <w10:anchorlock/>
                </v:shape>
                <o:OLEObject Type="Embed" ProgID="Equation.KSEE3" ShapeID="_x0000_i1086" DrawAspect="Content" ObjectID="_1468075787" r:id="rId155">
                  <o:LockedField>false</o:LockedField>
                </o:OLEObject>
              </w:object>
            </w:r>
            <w:r>
              <w:rPr>
                <w:rFonts w:hint="default" w:ascii="Times New Roman" w:hAnsi="Times New Roman" w:cs="Times New Roman"/>
                <w:color w:val="000000"/>
                <w:highlight w:val="none"/>
                <w:lang w:eastAsia="zh-CN"/>
              </w:rPr>
              <w:t>——几何发散引起的衰减，dB；</w:t>
            </w:r>
          </w:p>
          <w:p w14:paraId="6AD65C01">
            <w:pPr>
              <w:keepNext w:val="0"/>
              <w:keepLines w:val="0"/>
              <w:pageBreakBefore w:val="0"/>
              <w:widowControl w:val="0"/>
              <w:kinsoku/>
              <w:wordWrap/>
              <w:overflowPunct/>
              <w:topLinePunct w:val="0"/>
              <w:autoSpaceDE/>
              <w:autoSpaceDN/>
              <w:bidi w:val="0"/>
              <w:adjustRightInd/>
              <w:snapToGrid/>
              <w:ind w:firstLine="1200" w:firstLineChars="500"/>
              <w:textAlignment w:val="auto"/>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r</w:t>
            </w:r>
            <w:r>
              <w:rPr>
                <w:rFonts w:hint="default" w:ascii="Times New Roman" w:hAnsi="Times New Roman" w:cs="Times New Roman"/>
                <w:color w:val="000000"/>
                <w:highlight w:val="none"/>
                <w:lang w:eastAsia="zh-CN"/>
              </w:rPr>
              <w:t>——预测点距声源的距离；</w:t>
            </w:r>
          </w:p>
          <w:p w14:paraId="7AC4A053">
            <w:pPr>
              <w:keepNext w:val="0"/>
              <w:keepLines w:val="0"/>
              <w:pageBreakBefore w:val="0"/>
              <w:widowControl w:val="0"/>
              <w:kinsoku/>
              <w:wordWrap/>
              <w:overflowPunct/>
              <w:topLinePunct w:val="0"/>
              <w:autoSpaceDE/>
              <w:autoSpaceDN/>
              <w:bidi w:val="0"/>
              <w:adjustRightInd/>
              <w:snapToGrid/>
              <w:ind w:firstLine="1200" w:firstLineChars="5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r</w:t>
            </w:r>
            <w:r>
              <w:rPr>
                <w:rFonts w:hint="default" w:ascii="Times New Roman" w:hAnsi="Times New Roman" w:cs="Times New Roman"/>
                <w:color w:val="000000"/>
                <w:highlight w:val="none"/>
                <w:vertAlign w:val="subscript"/>
                <w:lang w:val="en-US" w:eastAsia="zh-CN"/>
              </w:rPr>
              <w:t>0</w:t>
            </w:r>
            <w:r>
              <w:rPr>
                <w:rFonts w:hint="default" w:ascii="Times New Roman" w:hAnsi="Times New Roman" w:cs="Times New Roman"/>
                <w:color w:val="000000"/>
                <w:highlight w:val="none"/>
                <w:lang w:eastAsia="zh-CN"/>
              </w:rPr>
              <w:t>——参考位置距声源的距离。</w:t>
            </w:r>
          </w:p>
          <w:p w14:paraId="19655A9E">
            <w:pPr>
              <w:keepNext w:val="0"/>
              <w:keepLines w:val="0"/>
              <w:pageBreakBefore w:val="0"/>
              <w:widowControl w:val="0"/>
              <w:kinsoku/>
              <w:wordWrap/>
              <w:overflowPunct/>
              <w:topLinePunct w:val="0"/>
              <w:autoSpaceDE/>
              <w:autoSpaceDN/>
              <w:bidi w:val="0"/>
              <w:ind w:firstLine="480" w:firstLineChars="200"/>
              <w:textAlignment w:val="auto"/>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③工业企业噪声计算</w:t>
            </w:r>
          </w:p>
          <w:p w14:paraId="6A1E648B">
            <w:pPr>
              <w:keepNext w:val="0"/>
              <w:keepLines w:val="0"/>
              <w:pageBreakBefore w:val="0"/>
              <w:widowControl w:val="0"/>
              <w:kinsoku/>
              <w:wordWrap/>
              <w:overflowPunct/>
              <w:topLinePunct w:val="0"/>
              <w:autoSpaceDE/>
              <w:autoSpaceDN/>
              <w:bidi w:val="0"/>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设第i个室外声源在预测点产生的A声级为L</w:t>
            </w:r>
            <w:r>
              <w:rPr>
                <w:rFonts w:hint="default" w:ascii="Times New Roman" w:hAnsi="Times New Roman" w:cs="Times New Roman"/>
                <w:color w:val="000000"/>
                <w:highlight w:val="none"/>
                <w:vertAlign w:val="subscript"/>
              </w:rPr>
              <w:t>Ai</w:t>
            </w:r>
            <w:r>
              <w:rPr>
                <w:rFonts w:hint="default" w:ascii="Times New Roman" w:hAnsi="Times New Roman" w:cs="Times New Roman"/>
                <w:color w:val="000000"/>
                <w:highlight w:val="none"/>
              </w:rPr>
              <w:t>，在T时间内该声源工作时间为t</w:t>
            </w:r>
            <w:r>
              <w:rPr>
                <w:rFonts w:hint="default" w:ascii="Times New Roman" w:hAnsi="Times New Roman" w:cs="Times New Roman"/>
                <w:color w:val="000000"/>
                <w:highlight w:val="none"/>
                <w:vertAlign w:val="subscript"/>
              </w:rPr>
              <w:t>i</w:t>
            </w:r>
            <w:r>
              <w:rPr>
                <w:rFonts w:hint="default" w:ascii="Times New Roman" w:hAnsi="Times New Roman" w:cs="Times New Roman"/>
                <w:color w:val="000000"/>
                <w:highlight w:val="none"/>
              </w:rPr>
              <w:t>；第j个等效室外声源在预测点产生的A声级为L</w:t>
            </w:r>
            <w:r>
              <w:rPr>
                <w:rFonts w:hint="default" w:ascii="Times New Roman" w:hAnsi="Times New Roman" w:cs="Times New Roman"/>
                <w:color w:val="000000"/>
                <w:highlight w:val="none"/>
                <w:vertAlign w:val="subscript"/>
              </w:rPr>
              <w:t>Aj</w:t>
            </w:r>
            <w:r>
              <w:rPr>
                <w:rFonts w:hint="default" w:ascii="Times New Roman" w:hAnsi="Times New Roman" w:cs="Times New Roman"/>
                <w:color w:val="000000"/>
                <w:highlight w:val="none"/>
              </w:rPr>
              <w:t>，在T时间内该声源工作时间为t</w:t>
            </w:r>
            <w:r>
              <w:rPr>
                <w:rFonts w:hint="default" w:ascii="Times New Roman" w:hAnsi="Times New Roman" w:cs="Times New Roman"/>
                <w:color w:val="000000"/>
                <w:highlight w:val="none"/>
                <w:vertAlign w:val="subscript"/>
              </w:rPr>
              <w:t>j</w:t>
            </w:r>
            <w:r>
              <w:rPr>
                <w:rFonts w:hint="default" w:ascii="Times New Roman" w:hAnsi="Times New Roman" w:cs="Times New Roman"/>
                <w:color w:val="000000"/>
                <w:highlight w:val="none"/>
              </w:rPr>
              <w:t>，则拟建工程声源对预测点产生的贡献值（L</w:t>
            </w:r>
            <w:r>
              <w:rPr>
                <w:rFonts w:hint="default" w:ascii="Times New Roman" w:hAnsi="Times New Roman" w:cs="Times New Roman"/>
                <w:color w:val="000000"/>
                <w:highlight w:val="none"/>
                <w:vertAlign w:val="subscript"/>
              </w:rPr>
              <w:t>eqg</w:t>
            </w:r>
            <w:r>
              <w:rPr>
                <w:rFonts w:hint="default" w:ascii="Times New Roman" w:hAnsi="Times New Roman" w:cs="Times New Roman"/>
                <w:color w:val="000000"/>
                <w:highlight w:val="none"/>
              </w:rPr>
              <w:t>）为：</w:t>
            </w:r>
          </w:p>
          <w:p w14:paraId="26D2670B">
            <w:pPr>
              <w:keepNext w:val="0"/>
              <w:keepLines w:val="0"/>
              <w:pageBreakBefore w:val="0"/>
              <w:widowControl w:val="0"/>
              <w:kinsoku/>
              <w:wordWrap/>
              <w:overflowPunct/>
              <w:topLinePunct w:val="0"/>
              <w:autoSpaceDE/>
              <w:autoSpaceDN/>
              <w:bidi w:val="0"/>
              <w:ind w:left="0" w:leftChars="0" w:firstLine="480" w:firstLineChars="200"/>
              <w:jc w:val="center"/>
              <w:textAlignment w:val="auto"/>
              <w:rPr>
                <w:rFonts w:hint="default" w:ascii="Times New Roman" w:hAnsi="Times New Roman" w:eastAsia="宋体" w:cs="Times New Roman"/>
                <w:color w:val="000000"/>
                <w:highlight w:val="none"/>
                <w:lang w:eastAsia="zh-CN"/>
              </w:rPr>
            </w:pPr>
            <w:r>
              <w:rPr>
                <w:rFonts w:hint="default" w:ascii="Times New Roman" w:hAnsi="Times New Roman" w:eastAsia="宋体" w:cs="Times New Roman"/>
                <w:color w:val="000000"/>
                <w:highlight w:val="none"/>
                <w:lang w:eastAsia="zh-CN"/>
              </w:rPr>
              <w:drawing>
                <wp:inline distT="0" distB="0" distL="114300" distR="114300">
                  <wp:extent cx="3194050" cy="628650"/>
                  <wp:effectExtent l="0" t="0" r="6350" b="0"/>
                  <wp:docPr id="339" name="图片 1003" descr="提取自《环境影响评价技术导则 声环境》（HJ2.4-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图片 1003" descr="提取自《环境影响评价技术导则 声环境》（HJ2.4-2021）"/>
                          <pic:cNvPicPr>
                            <a:picLocks noChangeAspect="1"/>
                          </pic:cNvPicPr>
                        </pic:nvPicPr>
                        <pic:blipFill>
                          <a:blip r:embed="rId156"/>
                          <a:stretch>
                            <a:fillRect/>
                          </a:stretch>
                        </pic:blipFill>
                        <pic:spPr>
                          <a:xfrm>
                            <a:off x="0" y="0"/>
                            <a:ext cx="3194050" cy="628650"/>
                          </a:xfrm>
                          <a:prstGeom prst="rect">
                            <a:avLst/>
                          </a:prstGeom>
                          <a:noFill/>
                          <a:ln>
                            <a:noFill/>
                          </a:ln>
                        </pic:spPr>
                      </pic:pic>
                    </a:graphicData>
                  </a:graphic>
                </wp:inline>
              </w:drawing>
            </w:r>
          </w:p>
          <w:p w14:paraId="11DD981C">
            <w:pPr>
              <w:keepNext w:val="0"/>
              <w:keepLines w:val="0"/>
              <w:pageBreakBefore w:val="0"/>
              <w:widowControl w:val="0"/>
              <w:kinsoku/>
              <w:wordWrap/>
              <w:overflowPunct/>
              <w:topLinePunct w:val="0"/>
              <w:autoSpaceDE/>
              <w:autoSpaceDN/>
              <w:bidi w:val="0"/>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式中：L</w:t>
            </w:r>
            <w:r>
              <w:rPr>
                <w:rFonts w:hint="default" w:ascii="Times New Roman" w:hAnsi="Times New Roman" w:cs="Times New Roman"/>
                <w:color w:val="000000"/>
                <w:highlight w:val="none"/>
                <w:vertAlign w:val="subscript"/>
                <w:lang w:val="en-US" w:eastAsia="zh-CN"/>
              </w:rPr>
              <w:t>eqg</w:t>
            </w:r>
            <w:r>
              <w:rPr>
                <w:rFonts w:hint="default" w:ascii="Times New Roman" w:hAnsi="Times New Roman" w:cs="Times New Roman"/>
                <w:color w:val="000000"/>
                <w:highlight w:val="none"/>
                <w:lang w:val="en-US" w:eastAsia="zh-CN"/>
              </w:rPr>
              <w:t>——建设项目声源在预测点产生的噪声贡献值，dB；</w:t>
            </w:r>
          </w:p>
          <w:p w14:paraId="661C75EC">
            <w:pPr>
              <w:keepNext w:val="0"/>
              <w:keepLines w:val="0"/>
              <w:pageBreakBefore w:val="0"/>
              <w:widowControl w:val="0"/>
              <w:kinsoku/>
              <w:wordWrap/>
              <w:overflowPunct/>
              <w:topLinePunct w:val="0"/>
              <w:autoSpaceDE/>
              <w:autoSpaceDN/>
              <w:bidi w:val="0"/>
              <w:adjustRightInd/>
              <w:snapToGrid/>
              <w:ind w:firstLine="1200" w:firstLineChars="5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T——用于计算等效声级的时间，s；</w:t>
            </w:r>
          </w:p>
          <w:p w14:paraId="1DF1D29E">
            <w:pPr>
              <w:keepNext w:val="0"/>
              <w:keepLines w:val="0"/>
              <w:pageBreakBefore w:val="0"/>
              <w:widowControl w:val="0"/>
              <w:kinsoku/>
              <w:wordWrap/>
              <w:overflowPunct/>
              <w:topLinePunct w:val="0"/>
              <w:autoSpaceDE/>
              <w:autoSpaceDN/>
              <w:bidi w:val="0"/>
              <w:adjustRightInd/>
              <w:snapToGrid/>
              <w:ind w:firstLine="1200" w:firstLineChars="5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N——室外声源个数；</w:t>
            </w:r>
          </w:p>
          <w:p w14:paraId="75EBC6AD">
            <w:pPr>
              <w:keepNext w:val="0"/>
              <w:keepLines w:val="0"/>
              <w:pageBreakBefore w:val="0"/>
              <w:widowControl w:val="0"/>
              <w:kinsoku/>
              <w:wordWrap/>
              <w:overflowPunct/>
              <w:topLinePunct w:val="0"/>
              <w:autoSpaceDE/>
              <w:autoSpaceDN/>
              <w:bidi w:val="0"/>
              <w:adjustRightInd/>
              <w:snapToGrid/>
              <w:ind w:firstLine="1200" w:firstLineChars="5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t</w:t>
            </w:r>
            <w:r>
              <w:rPr>
                <w:rFonts w:hint="default" w:ascii="Times New Roman" w:hAnsi="Times New Roman" w:cs="Times New Roman"/>
                <w:color w:val="000000"/>
                <w:highlight w:val="none"/>
                <w:vertAlign w:val="subscript"/>
                <w:lang w:val="en-US" w:eastAsia="zh-CN"/>
              </w:rPr>
              <w:t>i</w:t>
            </w:r>
            <w:r>
              <w:rPr>
                <w:rFonts w:hint="default" w:ascii="Times New Roman" w:hAnsi="Times New Roman" w:cs="Times New Roman"/>
                <w:color w:val="000000"/>
                <w:highlight w:val="none"/>
                <w:lang w:val="en-US" w:eastAsia="zh-CN"/>
              </w:rPr>
              <w:t>——在T时间内i声源工作时间，s；</w:t>
            </w:r>
          </w:p>
          <w:p w14:paraId="318D46EC">
            <w:pPr>
              <w:keepNext w:val="0"/>
              <w:keepLines w:val="0"/>
              <w:pageBreakBefore w:val="0"/>
              <w:widowControl w:val="0"/>
              <w:kinsoku/>
              <w:wordWrap/>
              <w:overflowPunct/>
              <w:topLinePunct w:val="0"/>
              <w:autoSpaceDE/>
              <w:autoSpaceDN/>
              <w:bidi w:val="0"/>
              <w:adjustRightInd/>
              <w:snapToGrid/>
              <w:ind w:firstLine="1200" w:firstLineChars="5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M——等效室外声源个数；</w:t>
            </w:r>
          </w:p>
          <w:p w14:paraId="1DA2E2B3">
            <w:pPr>
              <w:keepNext w:val="0"/>
              <w:keepLines w:val="0"/>
              <w:pageBreakBefore w:val="0"/>
              <w:widowControl w:val="0"/>
              <w:kinsoku/>
              <w:wordWrap/>
              <w:overflowPunct/>
              <w:topLinePunct w:val="0"/>
              <w:autoSpaceDE/>
              <w:autoSpaceDN/>
              <w:bidi w:val="0"/>
              <w:adjustRightInd/>
              <w:snapToGrid/>
              <w:ind w:firstLine="1200" w:firstLineChars="500"/>
              <w:textAlignment w:val="auto"/>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t</w:t>
            </w:r>
            <w:r>
              <w:rPr>
                <w:rFonts w:hint="default" w:ascii="Times New Roman" w:hAnsi="Times New Roman" w:cs="Times New Roman"/>
                <w:color w:val="000000"/>
                <w:highlight w:val="none"/>
                <w:vertAlign w:val="subscript"/>
                <w:lang w:val="en-US" w:eastAsia="zh-CN"/>
              </w:rPr>
              <w:t>j</w:t>
            </w:r>
            <w:r>
              <w:rPr>
                <w:rFonts w:hint="default" w:ascii="Times New Roman" w:hAnsi="Times New Roman" w:cs="Times New Roman"/>
                <w:color w:val="000000"/>
                <w:highlight w:val="none"/>
                <w:lang w:val="en-US" w:eastAsia="zh-CN"/>
              </w:rPr>
              <w:t>——在T时间内j声源工作时间，s。</w:t>
            </w:r>
          </w:p>
          <w:p w14:paraId="76EF9068">
            <w:pPr>
              <w:keepNext w:val="0"/>
              <w:keepLines w:val="0"/>
              <w:pageBreakBefore w:val="0"/>
              <w:widowControl w:val="0"/>
              <w:kinsoku/>
              <w:wordWrap/>
              <w:overflowPunct/>
              <w:topLinePunct w:val="0"/>
              <w:autoSpaceDE/>
              <w:autoSpaceDN/>
              <w:bidi w:val="0"/>
              <w:ind w:firstLine="482" w:firstLineChars="200"/>
              <w:textAlignment w:val="auto"/>
              <w:rPr>
                <w:rFonts w:hint="default" w:ascii="Times New Roman" w:hAnsi="Times New Roman" w:eastAsia="宋体" w:cs="Times New Roman"/>
                <w:b/>
                <w:bCs/>
                <w:color w:val="000000"/>
                <w:highlight w:val="none"/>
                <w:lang w:val="en-US" w:eastAsia="zh-CN"/>
              </w:rPr>
            </w:pP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2</w:t>
            </w: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预测参数</w:t>
            </w:r>
          </w:p>
          <w:p w14:paraId="69BAA12B">
            <w:pPr>
              <w:keepNext w:val="0"/>
              <w:keepLines w:val="0"/>
              <w:pageBreakBefore w:val="0"/>
              <w:widowControl w:val="0"/>
              <w:kinsoku/>
              <w:wordWrap/>
              <w:overflowPunct/>
              <w:topLinePunct w:val="0"/>
              <w:autoSpaceDE/>
              <w:autoSpaceDN/>
              <w:bidi w:val="0"/>
              <w:ind w:firstLine="480" w:firstLineChars="200"/>
              <w:textAlignment w:val="auto"/>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①噪声源强</w:t>
            </w:r>
          </w:p>
          <w:p w14:paraId="55B13F57">
            <w:pPr>
              <w:keepNext w:val="0"/>
              <w:keepLines w:val="0"/>
              <w:pageBreakBefore w:val="0"/>
              <w:widowControl w:val="0"/>
              <w:kinsoku/>
              <w:wordWrap/>
              <w:overflowPunct/>
              <w:topLinePunct w:val="0"/>
              <w:autoSpaceDE/>
              <w:autoSpaceDN/>
              <w:bidi w:val="0"/>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项目在生产过程中产生的噪声主要源自码头起吊设备及运输车辆等，这些设备产生的噪声声级一般在70~85dB(A)，冷藏船装卸区包含制冷机组、柴油动力起重机、货物装卸冲击与碰撞噪声等，冷藏船装卸噪声按</w:t>
            </w:r>
            <w:r>
              <w:rPr>
                <w:rFonts w:hint="default" w:ascii="Times New Roman" w:hAnsi="Times New Roman" w:cs="Times New Roman"/>
                <w:color w:val="000000"/>
                <w:highlight w:val="none"/>
                <w:lang w:val="en-US" w:eastAsia="zh-CN"/>
              </w:rPr>
              <w:t>90</w:t>
            </w:r>
            <w:r>
              <w:rPr>
                <w:rFonts w:hint="default" w:ascii="Times New Roman" w:hAnsi="Times New Roman" w:cs="Times New Roman"/>
                <w:color w:val="000000"/>
                <w:highlight w:val="none"/>
              </w:rPr>
              <w:t>dB(A)进行预测。项目产生噪声的噪声源强调查清单见</w:t>
            </w:r>
            <w:r>
              <w:rPr>
                <w:rFonts w:hint="default" w:ascii="Times New Roman" w:hAnsi="Times New Roman" w:cs="Times New Roman"/>
                <w:color w:val="000000"/>
                <w:highlight w:val="none"/>
                <w:lang w:val="en-US"/>
              </w:rPr>
              <w:fldChar w:fldCharType="begin"/>
            </w:r>
            <w:r>
              <w:rPr>
                <w:rFonts w:hint="default" w:ascii="Times New Roman" w:hAnsi="Times New Roman" w:cs="Times New Roman"/>
                <w:color w:val="000000"/>
                <w:highlight w:val="none"/>
                <w:lang w:val="en-US"/>
              </w:rPr>
              <w:instrText xml:space="preserve"> REF _Ref25416 \h </w:instrText>
            </w:r>
            <w:r>
              <w:rPr>
                <w:rFonts w:hint="default" w:ascii="Times New Roman" w:hAnsi="Times New Roman" w:cs="Times New Roman"/>
                <w:color w:val="000000"/>
                <w:highlight w:val="none"/>
                <w:lang w:val="en-US"/>
              </w:rPr>
              <w:fldChar w:fldCharType="separate"/>
            </w:r>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4.6</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5</w:t>
            </w:r>
            <w:r>
              <w:rPr>
                <w:rFonts w:hint="default" w:ascii="Times New Roman" w:hAnsi="Times New Roman" w:cs="Times New Roman"/>
                <w:color w:val="000000"/>
                <w:highlight w:val="none"/>
                <w:lang w:val="en-US"/>
              </w:rPr>
              <w:fldChar w:fldCharType="end"/>
            </w:r>
            <w:r>
              <w:rPr>
                <w:rFonts w:hint="default" w:ascii="Times New Roman" w:hAnsi="Times New Roman" w:cs="Times New Roman"/>
                <w:color w:val="000000"/>
                <w:highlight w:val="none"/>
              </w:rPr>
              <w:t>。</w:t>
            </w:r>
          </w:p>
          <w:p w14:paraId="63E65AC4">
            <w:pPr>
              <w:pStyle w:val="30"/>
              <w:bidi w:val="0"/>
              <w:rPr>
                <w:rFonts w:hint="default" w:ascii="Times New Roman" w:hAnsi="Times New Roman" w:cs="Times New Roman"/>
                <w:color w:val="000000"/>
                <w:highlight w:val="none"/>
                <w:lang w:val="en-US" w:eastAsia="zh-CN"/>
              </w:rPr>
            </w:pPr>
            <w:bookmarkStart w:id="398" w:name="_Ref25416"/>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4.6</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表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5</w:t>
            </w:r>
            <w:r>
              <w:rPr>
                <w:rFonts w:hint="default" w:ascii="Times New Roman" w:hAnsi="Times New Roman" w:cs="Times New Roman"/>
                <w:color w:val="000000"/>
                <w:highlight w:val="none"/>
              </w:rPr>
              <w:fldChar w:fldCharType="end"/>
            </w:r>
            <w:bookmarkEnd w:id="398"/>
            <w:r>
              <w:rPr>
                <w:rFonts w:hint="default" w:ascii="Times New Roman" w:hAnsi="Times New Roman" w:cs="Times New Roman"/>
                <w:color w:val="000000"/>
                <w:highlight w:val="none"/>
                <w:lang w:val="en-US" w:eastAsia="zh-CN"/>
              </w:rPr>
              <w:t xml:space="preserve"> 工业企业噪声源强调查清单（室外声源）</w:t>
            </w:r>
          </w:p>
          <w:tbl>
            <w:tblPr>
              <w:tblStyle w:val="22"/>
              <w:tblW w:w="823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18"/>
              <w:gridCol w:w="1375"/>
              <w:gridCol w:w="748"/>
              <w:gridCol w:w="748"/>
              <w:gridCol w:w="749"/>
              <w:gridCol w:w="1934"/>
              <w:gridCol w:w="1069"/>
              <w:gridCol w:w="995"/>
            </w:tblGrid>
            <w:tr w14:paraId="02248D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2" w:hRule="atLeast"/>
                <w:tblHeader/>
              </w:trPr>
              <w:tc>
                <w:tcPr>
                  <w:tcW w:w="618" w:type="dxa"/>
                  <w:vMerge w:val="restart"/>
                  <w:noWrap w:val="0"/>
                  <w:vAlign w:val="center"/>
                </w:tcPr>
                <w:p w14:paraId="4DCFBC9F">
                  <w:pPr>
                    <w:pStyle w:val="31"/>
                    <w:bidi w:val="0"/>
                    <w:jc w:val="center"/>
                    <w:rPr>
                      <w:rFonts w:hint="default" w:ascii="Times New Roman" w:hAnsi="Times New Roman" w:eastAsia="宋体" w:cs="Times New Roman"/>
                      <w:b/>
                      <w:bCs/>
                      <w:color w:val="000000"/>
                      <w:highlight w:val="none"/>
                      <w:vertAlign w:val="baseline"/>
                      <w:lang w:val="en-US" w:eastAsia="zh-CN"/>
                    </w:rPr>
                  </w:pPr>
                  <w:r>
                    <w:rPr>
                      <w:rFonts w:hint="default" w:ascii="Times New Roman" w:hAnsi="Times New Roman" w:cs="Times New Roman"/>
                      <w:b/>
                      <w:bCs/>
                      <w:color w:val="000000"/>
                      <w:highlight w:val="none"/>
                      <w:vertAlign w:val="baseline"/>
                      <w:lang w:val="en-US" w:eastAsia="zh-CN"/>
                    </w:rPr>
                    <w:t>序号</w:t>
                  </w:r>
                </w:p>
              </w:tc>
              <w:tc>
                <w:tcPr>
                  <w:tcW w:w="1375" w:type="dxa"/>
                  <w:vMerge w:val="restart"/>
                  <w:noWrap w:val="0"/>
                  <w:vAlign w:val="center"/>
                </w:tcPr>
                <w:p w14:paraId="5D3905F8">
                  <w:pPr>
                    <w:pStyle w:val="31"/>
                    <w:bidi w:val="0"/>
                    <w:jc w:val="center"/>
                    <w:rPr>
                      <w:rFonts w:hint="default" w:ascii="Times New Roman" w:hAnsi="Times New Roman" w:eastAsia="宋体" w:cs="Times New Roman"/>
                      <w:b/>
                      <w:bCs/>
                      <w:color w:val="000000"/>
                      <w:highlight w:val="none"/>
                      <w:vertAlign w:val="baseline"/>
                      <w:lang w:val="en-US" w:eastAsia="zh-CN"/>
                    </w:rPr>
                  </w:pPr>
                  <w:r>
                    <w:rPr>
                      <w:rFonts w:hint="default" w:ascii="Times New Roman" w:hAnsi="Times New Roman" w:cs="Times New Roman"/>
                      <w:b/>
                      <w:bCs/>
                      <w:color w:val="000000"/>
                      <w:highlight w:val="none"/>
                      <w:vertAlign w:val="baseline"/>
                      <w:lang w:val="en-US" w:eastAsia="zh-CN"/>
                    </w:rPr>
                    <w:t>声源名称</w:t>
                  </w:r>
                </w:p>
              </w:tc>
              <w:tc>
                <w:tcPr>
                  <w:tcW w:w="2245" w:type="dxa"/>
                  <w:gridSpan w:val="3"/>
                  <w:noWrap w:val="0"/>
                  <w:vAlign w:val="center"/>
                </w:tcPr>
                <w:p w14:paraId="66A93AC7">
                  <w:pPr>
                    <w:pStyle w:val="31"/>
                    <w:bidi w:val="0"/>
                    <w:jc w:val="center"/>
                    <w:rPr>
                      <w:rFonts w:hint="default" w:ascii="Times New Roman" w:hAnsi="Times New Roman" w:cs="Times New Roman"/>
                      <w:b/>
                      <w:bCs/>
                      <w:color w:val="000000"/>
                      <w:highlight w:val="none"/>
                      <w:vertAlign w:val="baseline"/>
                    </w:rPr>
                  </w:pPr>
                  <w:r>
                    <w:rPr>
                      <w:rFonts w:hint="default" w:ascii="Times New Roman" w:hAnsi="Times New Roman" w:cs="Times New Roman"/>
                      <w:b/>
                      <w:bCs/>
                      <w:color w:val="000000"/>
                      <w:highlight w:val="none"/>
                      <w:vertAlign w:val="baseline"/>
                      <w:lang w:val="en-US" w:eastAsia="zh-CN"/>
                    </w:rPr>
                    <w:t>空间相对位置/m</w:t>
                  </w:r>
                </w:p>
              </w:tc>
              <w:tc>
                <w:tcPr>
                  <w:tcW w:w="1934" w:type="dxa"/>
                  <w:noWrap w:val="0"/>
                  <w:vAlign w:val="center"/>
                </w:tcPr>
                <w:p w14:paraId="5E602882">
                  <w:pPr>
                    <w:pStyle w:val="31"/>
                    <w:bidi w:val="0"/>
                    <w:jc w:val="center"/>
                    <w:rPr>
                      <w:rFonts w:hint="default" w:ascii="Times New Roman" w:hAnsi="Times New Roman" w:eastAsia="宋体" w:cs="Times New Roman"/>
                      <w:b/>
                      <w:bCs/>
                      <w:color w:val="000000"/>
                      <w:highlight w:val="none"/>
                      <w:vertAlign w:val="baseline"/>
                      <w:lang w:val="en-US" w:eastAsia="zh-CN"/>
                    </w:rPr>
                  </w:pPr>
                  <w:r>
                    <w:rPr>
                      <w:rFonts w:hint="default" w:ascii="Times New Roman" w:hAnsi="Times New Roman" w:cs="Times New Roman"/>
                      <w:b/>
                      <w:bCs/>
                      <w:color w:val="000000"/>
                      <w:highlight w:val="none"/>
                      <w:vertAlign w:val="baseline"/>
                      <w:lang w:val="en-US" w:eastAsia="zh-CN"/>
                    </w:rPr>
                    <w:t>声源源强</w:t>
                  </w:r>
                </w:p>
              </w:tc>
              <w:tc>
                <w:tcPr>
                  <w:tcW w:w="1069" w:type="dxa"/>
                  <w:vMerge w:val="restart"/>
                  <w:noWrap w:val="0"/>
                  <w:vAlign w:val="center"/>
                </w:tcPr>
                <w:p w14:paraId="17809A8B">
                  <w:pPr>
                    <w:pStyle w:val="31"/>
                    <w:bidi w:val="0"/>
                    <w:jc w:val="center"/>
                    <w:rPr>
                      <w:rFonts w:hint="default" w:ascii="Times New Roman" w:hAnsi="Times New Roman" w:eastAsia="宋体" w:cs="Times New Roman"/>
                      <w:b/>
                      <w:bCs/>
                      <w:color w:val="000000"/>
                      <w:highlight w:val="none"/>
                      <w:vertAlign w:val="baseline"/>
                      <w:lang w:val="en-US" w:eastAsia="zh-CN"/>
                    </w:rPr>
                  </w:pPr>
                  <w:r>
                    <w:rPr>
                      <w:rFonts w:hint="default" w:ascii="Times New Roman" w:hAnsi="Times New Roman" w:cs="Times New Roman"/>
                      <w:b/>
                      <w:bCs/>
                      <w:color w:val="000000"/>
                      <w:highlight w:val="none"/>
                      <w:vertAlign w:val="baseline"/>
                      <w:lang w:val="en-US" w:eastAsia="zh-CN"/>
                    </w:rPr>
                    <w:t>声源控制措施</w:t>
                  </w:r>
                </w:p>
              </w:tc>
              <w:tc>
                <w:tcPr>
                  <w:tcW w:w="995" w:type="dxa"/>
                  <w:vMerge w:val="restart"/>
                  <w:noWrap w:val="0"/>
                  <w:vAlign w:val="center"/>
                </w:tcPr>
                <w:p w14:paraId="75DBC29D">
                  <w:pPr>
                    <w:pStyle w:val="31"/>
                    <w:bidi w:val="0"/>
                    <w:jc w:val="center"/>
                    <w:rPr>
                      <w:rFonts w:hint="default" w:ascii="Times New Roman" w:hAnsi="Times New Roman" w:eastAsia="宋体" w:cs="Times New Roman"/>
                      <w:b/>
                      <w:bCs/>
                      <w:color w:val="000000"/>
                      <w:highlight w:val="none"/>
                      <w:vertAlign w:val="baseline"/>
                      <w:lang w:val="en-US" w:eastAsia="zh-CN"/>
                    </w:rPr>
                  </w:pPr>
                  <w:r>
                    <w:rPr>
                      <w:rFonts w:hint="default" w:ascii="Times New Roman" w:hAnsi="Times New Roman" w:cs="Times New Roman"/>
                      <w:b/>
                      <w:bCs/>
                      <w:color w:val="000000"/>
                      <w:highlight w:val="none"/>
                      <w:vertAlign w:val="baseline"/>
                      <w:lang w:val="en-US" w:eastAsia="zh-CN"/>
                    </w:rPr>
                    <w:t>运行时段</w:t>
                  </w:r>
                </w:p>
              </w:tc>
            </w:tr>
            <w:tr w14:paraId="2A4472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7" w:hRule="atLeast"/>
                <w:tblHeader/>
              </w:trPr>
              <w:tc>
                <w:tcPr>
                  <w:tcW w:w="618" w:type="dxa"/>
                  <w:vMerge w:val="continue"/>
                  <w:noWrap w:val="0"/>
                  <w:vAlign w:val="center"/>
                </w:tcPr>
                <w:p w14:paraId="69DF7CF5">
                  <w:pPr>
                    <w:pStyle w:val="31"/>
                    <w:bidi w:val="0"/>
                    <w:jc w:val="center"/>
                    <w:rPr>
                      <w:rFonts w:hint="default" w:ascii="Times New Roman" w:hAnsi="Times New Roman" w:cs="Times New Roman"/>
                      <w:color w:val="000000"/>
                      <w:highlight w:val="none"/>
                      <w:vertAlign w:val="baseline"/>
                    </w:rPr>
                  </w:pPr>
                </w:p>
              </w:tc>
              <w:tc>
                <w:tcPr>
                  <w:tcW w:w="1375" w:type="dxa"/>
                  <w:vMerge w:val="continue"/>
                  <w:noWrap w:val="0"/>
                  <w:vAlign w:val="center"/>
                </w:tcPr>
                <w:p w14:paraId="6302D27D">
                  <w:pPr>
                    <w:pStyle w:val="31"/>
                    <w:bidi w:val="0"/>
                    <w:jc w:val="center"/>
                    <w:rPr>
                      <w:rFonts w:hint="default" w:ascii="Times New Roman" w:hAnsi="Times New Roman" w:cs="Times New Roman"/>
                      <w:color w:val="000000"/>
                      <w:highlight w:val="none"/>
                      <w:vertAlign w:val="baseline"/>
                    </w:rPr>
                  </w:pPr>
                </w:p>
              </w:tc>
              <w:tc>
                <w:tcPr>
                  <w:tcW w:w="748" w:type="dxa"/>
                  <w:noWrap w:val="0"/>
                  <w:vAlign w:val="center"/>
                </w:tcPr>
                <w:p w14:paraId="2C45DD16">
                  <w:pPr>
                    <w:pStyle w:val="31"/>
                    <w:bidi w:val="0"/>
                    <w:jc w:val="center"/>
                    <w:rPr>
                      <w:rFonts w:hint="default" w:ascii="Times New Roman" w:hAnsi="Times New Roman" w:eastAsia="宋体" w:cs="Times New Roman"/>
                      <w:b/>
                      <w:bCs/>
                      <w:color w:val="000000"/>
                      <w:highlight w:val="none"/>
                      <w:vertAlign w:val="baseline"/>
                      <w:lang w:val="en-US" w:eastAsia="zh-CN"/>
                    </w:rPr>
                  </w:pPr>
                  <w:r>
                    <w:rPr>
                      <w:rFonts w:hint="default" w:ascii="Times New Roman" w:hAnsi="Times New Roman" w:cs="Times New Roman"/>
                      <w:b/>
                      <w:bCs/>
                      <w:color w:val="000000"/>
                      <w:highlight w:val="none"/>
                      <w:vertAlign w:val="baseline"/>
                      <w:lang w:val="en-US" w:eastAsia="zh-CN"/>
                    </w:rPr>
                    <w:t>X</w:t>
                  </w:r>
                </w:p>
              </w:tc>
              <w:tc>
                <w:tcPr>
                  <w:tcW w:w="748" w:type="dxa"/>
                  <w:noWrap w:val="0"/>
                  <w:vAlign w:val="center"/>
                </w:tcPr>
                <w:p w14:paraId="25D42D1B">
                  <w:pPr>
                    <w:pStyle w:val="31"/>
                    <w:bidi w:val="0"/>
                    <w:jc w:val="center"/>
                    <w:rPr>
                      <w:rFonts w:hint="default" w:ascii="Times New Roman" w:hAnsi="Times New Roman" w:eastAsia="宋体" w:cs="Times New Roman"/>
                      <w:b/>
                      <w:bCs/>
                      <w:color w:val="000000"/>
                      <w:highlight w:val="none"/>
                      <w:vertAlign w:val="baseline"/>
                      <w:lang w:val="en-US" w:eastAsia="zh-CN"/>
                    </w:rPr>
                  </w:pPr>
                  <w:r>
                    <w:rPr>
                      <w:rFonts w:hint="default" w:ascii="Times New Roman" w:hAnsi="Times New Roman" w:cs="Times New Roman"/>
                      <w:b/>
                      <w:bCs/>
                      <w:color w:val="000000"/>
                      <w:highlight w:val="none"/>
                      <w:vertAlign w:val="baseline"/>
                      <w:lang w:val="en-US" w:eastAsia="zh-CN"/>
                    </w:rPr>
                    <w:t>Y</w:t>
                  </w:r>
                </w:p>
              </w:tc>
              <w:tc>
                <w:tcPr>
                  <w:tcW w:w="749" w:type="dxa"/>
                  <w:noWrap w:val="0"/>
                  <w:vAlign w:val="center"/>
                </w:tcPr>
                <w:p w14:paraId="370C417B">
                  <w:pPr>
                    <w:pStyle w:val="31"/>
                    <w:bidi w:val="0"/>
                    <w:jc w:val="center"/>
                    <w:rPr>
                      <w:rFonts w:hint="default" w:ascii="Times New Roman" w:hAnsi="Times New Roman" w:eastAsia="宋体" w:cs="Times New Roman"/>
                      <w:b/>
                      <w:bCs/>
                      <w:color w:val="000000"/>
                      <w:highlight w:val="none"/>
                      <w:vertAlign w:val="baseline"/>
                      <w:lang w:val="en-US" w:eastAsia="zh-CN"/>
                    </w:rPr>
                  </w:pPr>
                  <w:r>
                    <w:rPr>
                      <w:rFonts w:hint="default" w:ascii="Times New Roman" w:hAnsi="Times New Roman" w:cs="Times New Roman"/>
                      <w:b/>
                      <w:bCs/>
                      <w:color w:val="000000"/>
                      <w:highlight w:val="none"/>
                      <w:vertAlign w:val="baseline"/>
                      <w:lang w:val="en-US" w:eastAsia="zh-CN"/>
                    </w:rPr>
                    <w:t>Z</w:t>
                  </w:r>
                </w:p>
              </w:tc>
              <w:tc>
                <w:tcPr>
                  <w:tcW w:w="1934" w:type="dxa"/>
                  <w:noWrap w:val="0"/>
                  <w:vAlign w:val="center"/>
                </w:tcPr>
                <w:p w14:paraId="6E67F96E">
                  <w:pPr>
                    <w:pStyle w:val="31"/>
                    <w:bidi w:val="0"/>
                    <w:jc w:val="center"/>
                    <w:rPr>
                      <w:rFonts w:hint="default" w:ascii="Times New Roman" w:hAnsi="Times New Roman" w:eastAsia="宋体" w:cs="Times New Roman"/>
                      <w:b/>
                      <w:bCs/>
                      <w:color w:val="000000"/>
                      <w:highlight w:val="none"/>
                      <w:vertAlign w:val="baseline"/>
                      <w:lang w:val="en-US" w:eastAsia="zh-CN"/>
                    </w:rPr>
                  </w:pPr>
                  <w:r>
                    <w:rPr>
                      <w:rFonts w:hint="default" w:ascii="Times New Roman" w:hAnsi="Times New Roman" w:cs="Times New Roman"/>
                      <w:b/>
                      <w:bCs/>
                      <w:color w:val="000000"/>
                      <w:highlight w:val="none"/>
                      <w:vertAlign w:val="baseline"/>
                      <w:lang w:val="en-US" w:eastAsia="zh-CN"/>
                    </w:rPr>
                    <w:t>（声压级/距声源距离）/（</w:t>
                  </w:r>
                  <w:r>
                    <w:rPr>
                      <w:rFonts w:hint="default" w:ascii="Times New Roman" w:hAnsi="Times New Roman" w:cs="Times New Roman"/>
                      <w:b/>
                      <w:bCs/>
                      <w:color w:val="000000"/>
                      <w:highlight w:val="none"/>
                      <w:lang w:eastAsia="zh-CN"/>
                    </w:rPr>
                    <w:t>dB(A)</w:t>
                  </w:r>
                  <w:r>
                    <w:rPr>
                      <w:rFonts w:hint="default" w:ascii="Times New Roman" w:hAnsi="Times New Roman" w:cs="Times New Roman"/>
                      <w:b/>
                      <w:bCs/>
                      <w:color w:val="000000"/>
                      <w:highlight w:val="none"/>
                      <w:lang w:val="en-US" w:eastAsia="zh-CN"/>
                    </w:rPr>
                    <w:t>/m</w:t>
                  </w:r>
                  <w:r>
                    <w:rPr>
                      <w:rFonts w:hint="default" w:ascii="Times New Roman" w:hAnsi="Times New Roman" w:cs="Times New Roman"/>
                      <w:b/>
                      <w:bCs/>
                      <w:color w:val="000000"/>
                      <w:highlight w:val="none"/>
                      <w:vertAlign w:val="baseline"/>
                      <w:lang w:val="en-US" w:eastAsia="zh-CN"/>
                    </w:rPr>
                    <w:t>）</w:t>
                  </w:r>
                </w:p>
              </w:tc>
              <w:tc>
                <w:tcPr>
                  <w:tcW w:w="1069" w:type="dxa"/>
                  <w:vMerge w:val="continue"/>
                  <w:noWrap w:val="0"/>
                  <w:vAlign w:val="center"/>
                </w:tcPr>
                <w:p w14:paraId="4AC60054">
                  <w:pPr>
                    <w:pStyle w:val="31"/>
                    <w:bidi w:val="0"/>
                    <w:jc w:val="center"/>
                    <w:rPr>
                      <w:rFonts w:hint="default" w:ascii="Times New Roman" w:hAnsi="Times New Roman" w:cs="Times New Roman"/>
                      <w:color w:val="000000"/>
                      <w:highlight w:val="none"/>
                      <w:vertAlign w:val="baseline"/>
                    </w:rPr>
                  </w:pPr>
                </w:p>
              </w:tc>
              <w:tc>
                <w:tcPr>
                  <w:tcW w:w="995" w:type="dxa"/>
                  <w:vMerge w:val="continue"/>
                  <w:noWrap w:val="0"/>
                  <w:vAlign w:val="center"/>
                </w:tcPr>
                <w:p w14:paraId="50C48FAF">
                  <w:pPr>
                    <w:pStyle w:val="31"/>
                    <w:bidi w:val="0"/>
                    <w:jc w:val="center"/>
                    <w:rPr>
                      <w:rFonts w:hint="default" w:ascii="Times New Roman" w:hAnsi="Times New Roman" w:cs="Times New Roman"/>
                      <w:color w:val="000000"/>
                      <w:highlight w:val="none"/>
                      <w:vertAlign w:val="baseline"/>
                    </w:rPr>
                  </w:pPr>
                </w:p>
              </w:tc>
            </w:tr>
            <w:tr w14:paraId="5A62A4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7" w:hRule="atLeast"/>
              </w:trPr>
              <w:tc>
                <w:tcPr>
                  <w:tcW w:w="618" w:type="dxa"/>
                  <w:noWrap w:val="0"/>
                  <w:vAlign w:val="center"/>
                </w:tcPr>
                <w:p w14:paraId="45FA3AED">
                  <w:pPr>
                    <w:pStyle w:val="31"/>
                    <w:bidi w:val="0"/>
                    <w:jc w:val="center"/>
                    <w:rPr>
                      <w:rFonts w:hint="default" w:ascii="Times New Roman" w:hAnsi="Times New Roman" w:eastAsia="宋体"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1</w:t>
                  </w:r>
                </w:p>
              </w:tc>
              <w:tc>
                <w:tcPr>
                  <w:tcW w:w="1375" w:type="dxa"/>
                  <w:noWrap w:val="0"/>
                  <w:vAlign w:val="center"/>
                </w:tcPr>
                <w:p w14:paraId="288B4A19">
                  <w:pPr>
                    <w:pStyle w:val="31"/>
                    <w:bidi w:val="0"/>
                    <w:jc w:val="center"/>
                    <w:rPr>
                      <w:rFonts w:hint="default" w:ascii="Times New Roman" w:hAnsi="Times New Roman" w:eastAsia="宋体"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新建码头200HP泊位</w:t>
                  </w:r>
                </w:p>
              </w:tc>
              <w:tc>
                <w:tcPr>
                  <w:tcW w:w="748" w:type="dxa"/>
                  <w:noWrap w:val="0"/>
                  <w:vAlign w:val="center"/>
                </w:tcPr>
                <w:p w14:paraId="6305CA7E">
                  <w:pPr>
                    <w:pStyle w:val="31"/>
                    <w:bidi w:val="0"/>
                    <w:jc w:val="center"/>
                    <w:rPr>
                      <w:rFonts w:hint="default" w:ascii="Times New Roman" w:hAnsi="Times New Roman" w:eastAsia="宋体"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110</w:t>
                  </w:r>
                </w:p>
              </w:tc>
              <w:tc>
                <w:tcPr>
                  <w:tcW w:w="748" w:type="dxa"/>
                  <w:noWrap w:val="0"/>
                  <w:vAlign w:val="center"/>
                </w:tcPr>
                <w:p w14:paraId="2F3F0DF1">
                  <w:pPr>
                    <w:pStyle w:val="31"/>
                    <w:bidi w:val="0"/>
                    <w:jc w:val="center"/>
                    <w:rPr>
                      <w:rFonts w:hint="default" w:ascii="Times New Roman" w:hAnsi="Times New Roman" w:eastAsia="宋体"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40</w:t>
                  </w:r>
                </w:p>
              </w:tc>
              <w:tc>
                <w:tcPr>
                  <w:tcW w:w="749" w:type="dxa"/>
                  <w:noWrap w:val="0"/>
                  <w:vAlign w:val="center"/>
                </w:tcPr>
                <w:p w14:paraId="39217ABF">
                  <w:pPr>
                    <w:pStyle w:val="31"/>
                    <w:bidi w:val="0"/>
                    <w:jc w:val="center"/>
                    <w:rPr>
                      <w:rFonts w:hint="default" w:ascii="Times New Roman" w:hAnsi="Times New Roman" w:eastAsia="宋体"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1.2</w:t>
                  </w:r>
                </w:p>
              </w:tc>
              <w:tc>
                <w:tcPr>
                  <w:tcW w:w="1934" w:type="dxa"/>
                  <w:noWrap w:val="0"/>
                  <w:vAlign w:val="center"/>
                </w:tcPr>
                <w:p w14:paraId="0AED14E7">
                  <w:pPr>
                    <w:pStyle w:val="31"/>
                    <w:bidi w:val="0"/>
                    <w:jc w:val="center"/>
                    <w:rPr>
                      <w:rFonts w:hint="default" w:ascii="Times New Roman" w:hAnsi="Times New Roman" w:eastAsia="宋体"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81/1</w:t>
                  </w:r>
                </w:p>
              </w:tc>
              <w:tc>
                <w:tcPr>
                  <w:tcW w:w="1069" w:type="dxa"/>
                  <w:noWrap w:val="0"/>
                  <w:vAlign w:val="center"/>
                </w:tcPr>
                <w:p w14:paraId="2FA6E8F4">
                  <w:pPr>
                    <w:pStyle w:val="31"/>
                    <w:bidi w:val="0"/>
                    <w:jc w:val="center"/>
                    <w:rPr>
                      <w:rFonts w:hint="default" w:ascii="Times New Roman" w:hAnsi="Times New Roman" w:eastAsia="宋体"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基础减振</w:t>
                  </w:r>
                </w:p>
              </w:tc>
              <w:tc>
                <w:tcPr>
                  <w:tcW w:w="995" w:type="dxa"/>
                  <w:noWrap w:val="0"/>
                  <w:vAlign w:val="center"/>
                </w:tcPr>
                <w:p w14:paraId="5DFFBD09">
                  <w:pPr>
                    <w:pStyle w:val="31"/>
                    <w:bidi w:val="0"/>
                    <w:jc w:val="center"/>
                    <w:rPr>
                      <w:rFonts w:hint="default" w:ascii="Times New Roman" w:hAnsi="Times New Roman" w:eastAsia="宋体"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24h</w:t>
                  </w:r>
                </w:p>
              </w:tc>
            </w:tr>
            <w:tr w14:paraId="4702F7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7" w:hRule="atLeast"/>
              </w:trPr>
              <w:tc>
                <w:tcPr>
                  <w:tcW w:w="618" w:type="dxa"/>
                  <w:noWrap w:val="0"/>
                  <w:vAlign w:val="center"/>
                </w:tcPr>
                <w:p w14:paraId="0231F42E">
                  <w:pPr>
                    <w:pStyle w:val="31"/>
                    <w:bidi w:val="0"/>
                    <w:jc w:val="center"/>
                    <w:rPr>
                      <w:rFonts w:hint="default" w:ascii="Times New Roman" w:hAnsi="Times New Roman" w:eastAsia="宋体"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2</w:t>
                  </w:r>
                </w:p>
              </w:tc>
              <w:tc>
                <w:tcPr>
                  <w:tcW w:w="1375" w:type="dxa"/>
                  <w:noWrap w:val="0"/>
                  <w:vAlign w:val="center"/>
                </w:tcPr>
                <w:p w14:paraId="5C7A58C1">
                  <w:pPr>
                    <w:pStyle w:val="31"/>
                    <w:bidi w:val="0"/>
                    <w:jc w:val="center"/>
                    <w:rPr>
                      <w:rFonts w:hint="default" w:ascii="Times New Roman" w:hAnsi="Times New Roman" w:eastAsia="宋体"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新建码头3000t冷藏船</w:t>
                  </w:r>
                </w:p>
              </w:tc>
              <w:tc>
                <w:tcPr>
                  <w:tcW w:w="748" w:type="dxa"/>
                  <w:noWrap w:val="0"/>
                  <w:vAlign w:val="center"/>
                </w:tcPr>
                <w:p w14:paraId="06DDFDEB">
                  <w:pPr>
                    <w:pStyle w:val="31"/>
                    <w:bidi w:val="0"/>
                    <w:jc w:val="center"/>
                    <w:rPr>
                      <w:rFonts w:hint="default" w:ascii="Times New Roman" w:hAnsi="Times New Roman" w:eastAsia="宋体"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110</w:t>
                  </w:r>
                </w:p>
              </w:tc>
              <w:tc>
                <w:tcPr>
                  <w:tcW w:w="748" w:type="dxa"/>
                  <w:noWrap w:val="0"/>
                  <w:vAlign w:val="center"/>
                </w:tcPr>
                <w:p w14:paraId="69FA9A1A">
                  <w:pPr>
                    <w:pStyle w:val="31"/>
                    <w:bidi w:val="0"/>
                    <w:jc w:val="center"/>
                    <w:rPr>
                      <w:rFonts w:hint="default" w:ascii="Times New Roman" w:hAnsi="Times New Roman" w:eastAsia="宋体"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0</w:t>
                  </w:r>
                </w:p>
              </w:tc>
              <w:tc>
                <w:tcPr>
                  <w:tcW w:w="749" w:type="dxa"/>
                  <w:noWrap w:val="0"/>
                  <w:vAlign w:val="center"/>
                </w:tcPr>
                <w:p w14:paraId="7BE4EBFC">
                  <w:pPr>
                    <w:pStyle w:val="31"/>
                    <w:bidi w:val="0"/>
                    <w:jc w:val="center"/>
                    <w:rPr>
                      <w:rFonts w:hint="default" w:ascii="Times New Roman" w:hAnsi="Times New Roman" w:eastAsia="宋体"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1.2</w:t>
                  </w:r>
                </w:p>
              </w:tc>
              <w:tc>
                <w:tcPr>
                  <w:tcW w:w="1934" w:type="dxa"/>
                  <w:noWrap w:val="0"/>
                  <w:vAlign w:val="center"/>
                </w:tcPr>
                <w:p w14:paraId="34F2FBEC">
                  <w:pPr>
                    <w:pStyle w:val="31"/>
                    <w:bidi w:val="0"/>
                    <w:jc w:val="center"/>
                    <w:rPr>
                      <w:rFonts w:hint="default" w:ascii="Times New Roman" w:hAnsi="Times New Roman" w:eastAsia="宋体"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90/1</w:t>
                  </w:r>
                </w:p>
              </w:tc>
              <w:tc>
                <w:tcPr>
                  <w:tcW w:w="1069" w:type="dxa"/>
                  <w:noWrap w:val="0"/>
                  <w:vAlign w:val="center"/>
                </w:tcPr>
                <w:p w14:paraId="2E2868F3">
                  <w:pPr>
                    <w:pStyle w:val="31"/>
                    <w:bidi w:val="0"/>
                    <w:jc w:val="center"/>
                    <w:rPr>
                      <w:rFonts w:hint="default" w:ascii="Times New Roman" w:hAnsi="Times New Roman" w:cs="Times New Roman"/>
                      <w:color w:val="000000"/>
                      <w:highlight w:val="none"/>
                      <w:vertAlign w:val="baseline"/>
                    </w:rPr>
                  </w:pPr>
                  <w:r>
                    <w:rPr>
                      <w:rFonts w:hint="default" w:ascii="Times New Roman" w:hAnsi="Times New Roman" w:cs="Times New Roman"/>
                      <w:color w:val="000000"/>
                      <w:highlight w:val="none"/>
                      <w:vertAlign w:val="baseline"/>
                      <w:lang w:val="en-US" w:eastAsia="zh-CN"/>
                    </w:rPr>
                    <w:t>基础减振</w:t>
                  </w:r>
                </w:p>
              </w:tc>
              <w:tc>
                <w:tcPr>
                  <w:tcW w:w="995" w:type="dxa"/>
                  <w:noWrap w:val="0"/>
                  <w:vAlign w:val="center"/>
                </w:tcPr>
                <w:p w14:paraId="10A063E3">
                  <w:pPr>
                    <w:pStyle w:val="31"/>
                    <w:bidi w:val="0"/>
                    <w:jc w:val="center"/>
                    <w:rPr>
                      <w:rFonts w:hint="default" w:ascii="Times New Roman" w:hAnsi="Times New Roman" w:cs="Times New Roman"/>
                      <w:color w:val="000000"/>
                      <w:highlight w:val="none"/>
                      <w:vertAlign w:val="baseline"/>
                    </w:rPr>
                  </w:pPr>
                  <w:r>
                    <w:rPr>
                      <w:rFonts w:hint="default" w:ascii="Times New Roman" w:hAnsi="Times New Roman" w:cs="Times New Roman"/>
                      <w:color w:val="000000"/>
                      <w:highlight w:val="none"/>
                      <w:vertAlign w:val="baseline"/>
                      <w:lang w:val="en-US" w:eastAsia="zh-CN"/>
                    </w:rPr>
                    <w:t>24h</w:t>
                  </w:r>
                </w:p>
              </w:tc>
            </w:tr>
            <w:tr w14:paraId="61D456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13" w:hRule="atLeast"/>
              </w:trPr>
              <w:tc>
                <w:tcPr>
                  <w:tcW w:w="8236" w:type="dxa"/>
                  <w:gridSpan w:val="8"/>
                  <w:noWrap w:val="0"/>
                  <w:vAlign w:val="center"/>
                </w:tcPr>
                <w:p w14:paraId="3BE51EF4">
                  <w:pPr>
                    <w:pStyle w:val="31"/>
                    <w:bidi w:val="0"/>
                    <w:jc w:val="both"/>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注：①以新建码头西南侧拐角（119°39′30.04161″，25°23′1.62082″）为坐标原点（0，0，0），正东向为X轴正方向，正北向为Y轴正方向；</w:t>
                  </w:r>
                </w:p>
                <w:p w14:paraId="07722EA2">
                  <w:pPr>
                    <w:pStyle w:val="31"/>
                    <w:bidi w:val="0"/>
                    <w:jc w:val="both"/>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t>②根据</w:t>
                  </w:r>
                  <w:r>
                    <w:rPr>
                      <w:rFonts w:hint="default" w:ascii="Times New Roman" w:hAnsi="Times New Roman" w:cs="Times New Roman"/>
                      <w:color w:val="000000"/>
                      <w:highlight w:val="none"/>
                      <w:lang w:val="en-US" w:eastAsia="zh-CN"/>
                    </w:rPr>
                    <w:t>《环境影响评价技术导则 声环境》（HJ 2.4-2021）中A.1条，对具有大致相同强度和离地面高度的、到接收点有相同传播条件等特点的声源，其点声源组可以用处在组的中部的等效点声源来描述，因本项目将同类型设备位置相对集中，具有相同传播条件，因此相同设备以所在区域中心作为代表点，声功率级为相同设备数量叠加后的数值。</w:t>
                  </w:r>
                  <w:r>
                    <w:rPr>
                      <w:rFonts w:hint="default" w:ascii="Times New Roman" w:hAnsi="Times New Roman" w:cs="Times New Roman"/>
                      <w:color w:val="000000"/>
                      <w:highlight w:val="none"/>
                      <w:vertAlign w:val="baseline"/>
                      <w:lang w:val="en-US" w:eastAsia="zh-CN"/>
                    </w:rPr>
                    <w:t>新建码头200HP泊位共有4个，每个泊位设一台装卸设备声功率级为75dB(A)，合计声功率级为81dB(A)；冷藏船泊位1个，冷藏船装卸噪声包含制冷机组、柴油动力起重机、货物装卸冲击与碰撞噪声等，冷藏船装卸噪声按90dB(A)进行预测。</w:t>
                  </w:r>
                </w:p>
              </w:tc>
            </w:tr>
          </w:tbl>
          <w:p w14:paraId="1A2D42B9">
            <w:pPr>
              <w:ind w:firstLine="480" w:firstLineChars="20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②声环境保护目标参数</w:t>
            </w:r>
          </w:p>
          <w:p w14:paraId="11C3C168">
            <w:pPr>
              <w:ind w:firstLine="480" w:firstLineChars="20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本项目</w:t>
            </w:r>
            <w:r>
              <w:rPr>
                <w:rFonts w:hint="default" w:ascii="Times New Roman" w:hAnsi="Times New Roman" w:cs="Times New Roman"/>
                <w:color w:val="000000"/>
                <w:highlight w:val="none"/>
              </w:rPr>
              <w:t>声环境保护目标调查</w:t>
            </w:r>
            <w:r>
              <w:rPr>
                <w:rFonts w:hint="default" w:ascii="Times New Roman" w:hAnsi="Times New Roman" w:cs="Times New Roman"/>
                <w:color w:val="000000"/>
                <w:highlight w:val="none"/>
                <w:lang w:val="en-US" w:eastAsia="zh-CN"/>
              </w:rPr>
              <w:t>情况见</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REF _Ref25775 \h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4.6</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6</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val="en-US" w:eastAsia="zh-CN"/>
              </w:rPr>
              <w:t>。</w:t>
            </w:r>
          </w:p>
          <w:p w14:paraId="299E2C49">
            <w:pPr>
              <w:pStyle w:val="30"/>
              <w:bidi w:val="0"/>
              <w:rPr>
                <w:rFonts w:hint="default" w:ascii="Times New Roman" w:hAnsi="Times New Roman" w:cs="Times New Roman"/>
                <w:color w:val="000000"/>
                <w:highlight w:val="none"/>
                <w:lang w:val="en-US" w:eastAsia="zh-CN"/>
              </w:rPr>
            </w:pPr>
            <w:bookmarkStart w:id="399" w:name="_Ref25775"/>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4.6</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表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6</w:t>
            </w:r>
            <w:r>
              <w:rPr>
                <w:rFonts w:hint="default" w:ascii="Times New Roman" w:hAnsi="Times New Roman" w:cs="Times New Roman"/>
                <w:color w:val="000000"/>
                <w:highlight w:val="none"/>
              </w:rPr>
              <w:fldChar w:fldCharType="end"/>
            </w:r>
            <w:bookmarkEnd w:id="399"/>
            <w:r>
              <w:rPr>
                <w:rFonts w:hint="default" w:ascii="Times New Roman" w:hAnsi="Times New Roman" w:cs="Times New Roman"/>
                <w:color w:val="000000"/>
                <w:highlight w:val="none"/>
                <w:lang w:val="en-US" w:eastAsia="zh-CN"/>
              </w:rPr>
              <w:t xml:space="preserve"> 工业企业声环境保护目标调查表</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3"/>
              <w:gridCol w:w="1150"/>
              <w:gridCol w:w="746"/>
              <w:gridCol w:w="712"/>
              <w:gridCol w:w="773"/>
              <w:gridCol w:w="1026"/>
              <w:gridCol w:w="615"/>
              <w:gridCol w:w="1170"/>
              <w:gridCol w:w="1578"/>
            </w:tblGrid>
            <w:tr w14:paraId="1577CF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1" w:type="pct"/>
                  <w:vMerge w:val="restart"/>
                  <w:noWrap w:val="0"/>
                  <w:vAlign w:val="center"/>
                </w:tcPr>
                <w:p w14:paraId="153E0712">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序号</w:t>
                  </w:r>
                </w:p>
              </w:tc>
              <w:tc>
                <w:tcPr>
                  <w:tcW w:w="698" w:type="pct"/>
                  <w:vMerge w:val="restart"/>
                  <w:noWrap w:val="0"/>
                  <w:vAlign w:val="center"/>
                </w:tcPr>
                <w:p w14:paraId="268433B0">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声环境保护目标名称</w:t>
                  </w:r>
                </w:p>
              </w:tc>
              <w:tc>
                <w:tcPr>
                  <w:tcW w:w="1354" w:type="pct"/>
                  <w:gridSpan w:val="3"/>
                  <w:noWrap w:val="0"/>
                  <w:vAlign w:val="center"/>
                </w:tcPr>
                <w:p w14:paraId="3EFF881F">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空间相对位置/m</w:t>
                  </w:r>
                </w:p>
              </w:tc>
              <w:tc>
                <w:tcPr>
                  <w:tcW w:w="623" w:type="pct"/>
                  <w:vMerge w:val="restart"/>
                  <w:noWrap w:val="0"/>
                  <w:vAlign w:val="center"/>
                </w:tcPr>
                <w:p w14:paraId="3D01F82B">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距厂界最近距离/m</w:t>
                  </w:r>
                </w:p>
              </w:tc>
              <w:tc>
                <w:tcPr>
                  <w:tcW w:w="373" w:type="pct"/>
                  <w:vMerge w:val="restart"/>
                  <w:noWrap w:val="0"/>
                  <w:vAlign w:val="center"/>
                </w:tcPr>
                <w:p w14:paraId="26AC2778">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方位</w:t>
                  </w:r>
                </w:p>
              </w:tc>
              <w:tc>
                <w:tcPr>
                  <w:tcW w:w="710" w:type="pct"/>
                  <w:vMerge w:val="restart"/>
                  <w:noWrap w:val="0"/>
                  <w:vAlign w:val="center"/>
                </w:tcPr>
                <w:p w14:paraId="74A11184">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执行标准/功能区类别</w:t>
                  </w:r>
                </w:p>
              </w:tc>
              <w:tc>
                <w:tcPr>
                  <w:tcW w:w="958" w:type="pct"/>
                  <w:vMerge w:val="restart"/>
                  <w:noWrap w:val="0"/>
                  <w:vAlign w:val="center"/>
                </w:tcPr>
                <w:p w14:paraId="64CEC035">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声环境保护目标情况说明</w:t>
                  </w:r>
                </w:p>
              </w:tc>
            </w:tr>
            <w:tr w14:paraId="13763B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1" w:type="pct"/>
                  <w:vMerge w:val="continue"/>
                  <w:noWrap w:val="0"/>
                  <w:vAlign w:val="center"/>
                </w:tcPr>
                <w:p w14:paraId="1796FC22">
                  <w:pPr>
                    <w:pStyle w:val="31"/>
                    <w:bidi w:val="0"/>
                    <w:jc w:val="center"/>
                    <w:rPr>
                      <w:rFonts w:hint="default" w:ascii="Times New Roman" w:hAnsi="Times New Roman" w:cs="Times New Roman"/>
                      <w:color w:val="000000"/>
                      <w:highlight w:val="none"/>
                      <w:lang w:val="en-US" w:eastAsia="zh-CN"/>
                    </w:rPr>
                  </w:pPr>
                </w:p>
              </w:tc>
              <w:tc>
                <w:tcPr>
                  <w:tcW w:w="698" w:type="pct"/>
                  <w:vMerge w:val="continue"/>
                  <w:noWrap w:val="0"/>
                  <w:vAlign w:val="center"/>
                </w:tcPr>
                <w:p w14:paraId="5759E221">
                  <w:pPr>
                    <w:pStyle w:val="31"/>
                    <w:bidi w:val="0"/>
                    <w:jc w:val="center"/>
                    <w:rPr>
                      <w:rFonts w:hint="default" w:ascii="Times New Roman" w:hAnsi="Times New Roman" w:cs="Times New Roman"/>
                      <w:color w:val="000000"/>
                      <w:highlight w:val="none"/>
                      <w:lang w:val="en-US" w:eastAsia="zh-CN"/>
                    </w:rPr>
                  </w:pPr>
                </w:p>
              </w:tc>
              <w:tc>
                <w:tcPr>
                  <w:tcW w:w="453" w:type="pct"/>
                  <w:noWrap w:val="0"/>
                  <w:vAlign w:val="center"/>
                </w:tcPr>
                <w:p w14:paraId="7E9ACCE3">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X</w:t>
                  </w:r>
                </w:p>
              </w:tc>
              <w:tc>
                <w:tcPr>
                  <w:tcW w:w="432" w:type="pct"/>
                  <w:noWrap w:val="0"/>
                  <w:vAlign w:val="center"/>
                </w:tcPr>
                <w:p w14:paraId="50A871AC">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Y</w:t>
                  </w:r>
                </w:p>
              </w:tc>
              <w:tc>
                <w:tcPr>
                  <w:tcW w:w="469" w:type="pct"/>
                  <w:noWrap w:val="0"/>
                  <w:vAlign w:val="center"/>
                </w:tcPr>
                <w:p w14:paraId="3FAD6DE8">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Z</w:t>
                  </w:r>
                </w:p>
              </w:tc>
              <w:tc>
                <w:tcPr>
                  <w:tcW w:w="623" w:type="pct"/>
                  <w:vMerge w:val="continue"/>
                  <w:noWrap w:val="0"/>
                  <w:vAlign w:val="center"/>
                </w:tcPr>
                <w:p w14:paraId="1B14D0B1">
                  <w:pPr>
                    <w:pStyle w:val="31"/>
                    <w:bidi w:val="0"/>
                    <w:jc w:val="center"/>
                    <w:rPr>
                      <w:rFonts w:hint="default" w:ascii="Times New Roman" w:hAnsi="Times New Roman" w:cs="Times New Roman"/>
                      <w:color w:val="000000"/>
                      <w:highlight w:val="none"/>
                      <w:lang w:val="en-US" w:eastAsia="zh-CN"/>
                    </w:rPr>
                  </w:pPr>
                </w:p>
              </w:tc>
              <w:tc>
                <w:tcPr>
                  <w:tcW w:w="373" w:type="pct"/>
                  <w:vMerge w:val="continue"/>
                  <w:noWrap w:val="0"/>
                  <w:vAlign w:val="center"/>
                </w:tcPr>
                <w:p w14:paraId="28E00CDE">
                  <w:pPr>
                    <w:pStyle w:val="31"/>
                    <w:bidi w:val="0"/>
                    <w:jc w:val="center"/>
                    <w:rPr>
                      <w:rFonts w:hint="default" w:ascii="Times New Roman" w:hAnsi="Times New Roman" w:cs="Times New Roman"/>
                      <w:color w:val="000000"/>
                      <w:highlight w:val="none"/>
                      <w:lang w:val="en-US" w:eastAsia="zh-CN"/>
                    </w:rPr>
                  </w:pPr>
                </w:p>
              </w:tc>
              <w:tc>
                <w:tcPr>
                  <w:tcW w:w="710" w:type="pct"/>
                  <w:vMerge w:val="continue"/>
                  <w:noWrap w:val="0"/>
                  <w:vAlign w:val="center"/>
                </w:tcPr>
                <w:p w14:paraId="37F8A0BF">
                  <w:pPr>
                    <w:pStyle w:val="31"/>
                    <w:bidi w:val="0"/>
                    <w:jc w:val="center"/>
                    <w:rPr>
                      <w:rFonts w:hint="default" w:ascii="Times New Roman" w:hAnsi="Times New Roman" w:cs="Times New Roman"/>
                      <w:color w:val="000000"/>
                      <w:highlight w:val="none"/>
                      <w:lang w:val="en-US" w:eastAsia="zh-CN"/>
                    </w:rPr>
                  </w:pPr>
                </w:p>
              </w:tc>
              <w:tc>
                <w:tcPr>
                  <w:tcW w:w="958" w:type="pct"/>
                  <w:vMerge w:val="continue"/>
                  <w:noWrap w:val="0"/>
                  <w:vAlign w:val="center"/>
                </w:tcPr>
                <w:p w14:paraId="7BF9B664">
                  <w:pPr>
                    <w:pStyle w:val="31"/>
                    <w:bidi w:val="0"/>
                    <w:jc w:val="center"/>
                    <w:rPr>
                      <w:rFonts w:hint="default" w:ascii="Times New Roman" w:hAnsi="Times New Roman" w:cs="Times New Roman"/>
                      <w:color w:val="000000"/>
                      <w:highlight w:val="none"/>
                      <w:lang w:val="en-US" w:eastAsia="zh-CN"/>
                    </w:rPr>
                  </w:pPr>
                </w:p>
              </w:tc>
            </w:tr>
            <w:tr w14:paraId="4D8978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1" w:type="pct"/>
                  <w:noWrap w:val="0"/>
                  <w:vAlign w:val="center"/>
                </w:tcPr>
                <w:p w14:paraId="63BBB747">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w:t>
                  </w:r>
                </w:p>
              </w:tc>
              <w:tc>
                <w:tcPr>
                  <w:tcW w:w="698" w:type="pct"/>
                  <w:noWrap w:val="0"/>
                  <w:vAlign w:val="center"/>
                </w:tcPr>
                <w:p w14:paraId="3E9236EA">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福清市东瀚沃口小学</w:t>
                  </w:r>
                </w:p>
              </w:tc>
              <w:tc>
                <w:tcPr>
                  <w:tcW w:w="453" w:type="pct"/>
                  <w:noWrap w:val="0"/>
                  <w:vAlign w:val="center"/>
                </w:tcPr>
                <w:p w14:paraId="425BA7FD">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-935</w:t>
                  </w:r>
                </w:p>
              </w:tc>
              <w:tc>
                <w:tcPr>
                  <w:tcW w:w="432" w:type="pct"/>
                  <w:noWrap w:val="0"/>
                  <w:vAlign w:val="center"/>
                </w:tcPr>
                <w:p w14:paraId="666CD1CE">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475</w:t>
                  </w:r>
                </w:p>
              </w:tc>
              <w:tc>
                <w:tcPr>
                  <w:tcW w:w="469" w:type="pct"/>
                  <w:noWrap w:val="0"/>
                  <w:vAlign w:val="center"/>
                </w:tcPr>
                <w:p w14:paraId="0E6082AB">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1.2</w:t>
                  </w:r>
                </w:p>
              </w:tc>
              <w:tc>
                <w:tcPr>
                  <w:tcW w:w="623" w:type="pct"/>
                  <w:noWrap w:val="0"/>
                  <w:vAlign w:val="center"/>
                </w:tcPr>
                <w:p w14:paraId="21523D2C">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65m</w:t>
                  </w:r>
                </w:p>
              </w:tc>
              <w:tc>
                <w:tcPr>
                  <w:tcW w:w="373" w:type="pct"/>
                  <w:noWrap w:val="0"/>
                  <w:vAlign w:val="center"/>
                </w:tcPr>
                <w:p w14:paraId="0A652233">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西侧</w:t>
                  </w:r>
                </w:p>
              </w:tc>
              <w:tc>
                <w:tcPr>
                  <w:tcW w:w="710" w:type="pct"/>
                  <w:noWrap w:val="0"/>
                  <w:vAlign w:val="center"/>
                </w:tcPr>
                <w:p w14:paraId="66B836C6">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声环境2类功能区</w:t>
                  </w:r>
                </w:p>
              </w:tc>
              <w:tc>
                <w:tcPr>
                  <w:tcW w:w="958" w:type="pct"/>
                  <w:noWrap w:val="0"/>
                  <w:vAlign w:val="center"/>
                </w:tcPr>
                <w:p w14:paraId="4458D49C">
                  <w:pPr>
                    <w:pStyle w:val="31"/>
                    <w:bidi w:val="0"/>
                    <w:jc w:val="center"/>
                    <w:rPr>
                      <w:rFonts w:hint="default" w:ascii="Times New Roman" w:hAnsi="Times New Roman" w:cs="Times New Roman"/>
                      <w:color w:val="000000"/>
                      <w:highlight w:val="none"/>
                      <w:u w:val="none"/>
                      <w:lang w:val="en-US" w:eastAsia="zh-CN" w:bidi="ar-SA"/>
                    </w:rPr>
                  </w:pPr>
                  <w:r>
                    <w:rPr>
                      <w:rFonts w:hint="default" w:ascii="Times New Roman" w:hAnsi="Times New Roman" w:cs="Times New Roman"/>
                      <w:color w:val="000000"/>
                      <w:highlight w:val="none"/>
                      <w:lang w:val="en-US" w:eastAsia="zh-CN"/>
                    </w:rPr>
                    <w:t>学校，约80人，不住宿</w:t>
                  </w:r>
                </w:p>
              </w:tc>
            </w:tr>
            <w:tr w14:paraId="48C70F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1" w:type="pct"/>
                  <w:noWrap w:val="0"/>
                  <w:vAlign w:val="center"/>
                </w:tcPr>
                <w:p w14:paraId="35FDF801">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w:t>
                  </w:r>
                </w:p>
              </w:tc>
              <w:tc>
                <w:tcPr>
                  <w:tcW w:w="698" w:type="pct"/>
                  <w:noWrap w:val="0"/>
                  <w:vAlign w:val="center"/>
                </w:tcPr>
                <w:p w14:paraId="5A26A1FB">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海亮村沃口（自然村）</w:t>
                  </w:r>
                </w:p>
              </w:tc>
              <w:tc>
                <w:tcPr>
                  <w:tcW w:w="453" w:type="pct"/>
                  <w:noWrap w:val="0"/>
                  <w:vAlign w:val="center"/>
                </w:tcPr>
                <w:p w14:paraId="54B18670">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-675</w:t>
                  </w:r>
                </w:p>
              </w:tc>
              <w:tc>
                <w:tcPr>
                  <w:tcW w:w="432" w:type="pct"/>
                  <w:noWrap w:val="0"/>
                  <w:vAlign w:val="center"/>
                </w:tcPr>
                <w:p w14:paraId="5B93D479">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124</w:t>
                  </w:r>
                </w:p>
              </w:tc>
              <w:tc>
                <w:tcPr>
                  <w:tcW w:w="469" w:type="pct"/>
                  <w:noWrap w:val="0"/>
                  <w:vAlign w:val="center"/>
                </w:tcPr>
                <w:p w14:paraId="10249455">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1.2</w:t>
                  </w:r>
                </w:p>
              </w:tc>
              <w:tc>
                <w:tcPr>
                  <w:tcW w:w="623" w:type="pct"/>
                  <w:noWrap w:val="0"/>
                  <w:vAlign w:val="center"/>
                </w:tcPr>
                <w:p w14:paraId="31C79BAE">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74m</w:t>
                  </w:r>
                </w:p>
              </w:tc>
              <w:tc>
                <w:tcPr>
                  <w:tcW w:w="373" w:type="pct"/>
                  <w:noWrap w:val="0"/>
                  <w:vAlign w:val="center"/>
                </w:tcPr>
                <w:p w14:paraId="7E0BA510">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西侧</w:t>
                  </w:r>
                </w:p>
              </w:tc>
              <w:tc>
                <w:tcPr>
                  <w:tcW w:w="710" w:type="pct"/>
                  <w:noWrap w:val="0"/>
                  <w:vAlign w:val="center"/>
                </w:tcPr>
                <w:p w14:paraId="28308B7D">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声环境2类功能区</w:t>
                  </w:r>
                </w:p>
              </w:tc>
              <w:tc>
                <w:tcPr>
                  <w:tcW w:w="958" w:type="pct"/>
                  <w:noWrap w:val="0"/>
                  <w:vAlign w:val="center"/>
                </w:tcPr>
                <w:p w14:paraId="545B8B74">
                  <w:pPr>
                    <w:pStyle w:val="31"/>
                    <w:bidi w:val="0"/>
                    <w:jc w:val="center"/>
                    <w:rPr>
                      <w:rFonts w:hint="default" w:ascii="Times New Roman" w:hAnsi="Times New Roman" w:cs="Times New Roman"/>
                      <w:color w:val="000000"/>
                      <w:highlight w:val="none"/>
                      <w:u w:val="none"/>
                      <w:lang w:val="en-US" w:eastAsia="zh-CN" w:bidi="ar-SA"/>
                    </w:rPr>
                  </w:pPr>
                  <w:r>
                    <w:rPr>
                      <w:rFonts w:hint="default" w:ascii="Times New Roman" w:hAnsi="Times New Roman" w:cs="Times New Roman"/>
                      <w:color w:val="000000"/>
                      <w:highlight w:val="none"/>
                      <w:lang w:val="en-US" w:eastAsia="zh-CN"/>
                    </w:rPr>
                    <w:t>居民区，约1200人</w:t>
                  </w:r>
                </w:p>
              </w:tc>
            </w:tr>
            <w:tr w14:paraId="095A5F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1" w:type="pct"/>
                  <w:noWrap w:val="0"/>
                  <w:vAlign w:val="center"/>
                </w:tcPr>
                <w:p w14:paraId="29C10924">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3</w:t>
                  </w:r>
                </w:p>
              </w:tc>
              <w:tc>
                <w:tcPr>
                  <w:tcW w:w="698" w:type="pct"/>
                  <w:noWrap w:val="0"/>
                  <w:vAlign w:val="center"/>
                </w:tcPr>
                <w:p w14:paraId="703040F1">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沃口村民房</w:t>
                  </w:r>
                </w:p>
              </w:tc>
              <w:tc>
                <w:tcPr>
                  <w:tcW w:w="453" w:type="pct"/>
                  <w:noWrap w:val="0"/>
                  <w:vAlign w:val="center"/>
                </w:tcPr>
                <w:p w14:paraId="0341E078">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-492</w:t>
                  </w:r>
                </w:p>
              </w:tc>
              <w:tc>
                <w:tcPr>
                  <w:tcW w:w="432" w:type="pct"/>
                  <w:noWrap w:val="0"/>
                  <w:vAlign w:val="center"/>
                </w:tcPr>
                <w:p w14:paraId="05DA94D1">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-14</w:t>
                  </w:r>
                </w:p>
              </w:tc>
              <w:tc>
                <w:tcPr>
                  <w:tcW w:w="469" w:type="pct"/>
                  <w:noWrap w:val="0"/>
                  <w:vAlign w:val="center"/>
                </w:tcPr>
                <w:p w14:paraId="1C5829F0">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1.2</w:t>
                  </w:r>
                </w:p>
              </w:tc>
              <w:tc>
                <w:tcPr>
                  <w:tcW w:w="623" w:type="pct"/>
                  <w:noWrap w:val="0"/>
                  <w:vAlign w:val="center"/>
                </w:tcPr>
                <w:p w14:paraId="4AD9A726">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100m</w:t>
                  </w:r>
                </w:p>
              </w:tc>
              <w:tc>
                <w:tcPr>
                  <w:tcW w:w="373" w:type="pct"/>
                  <w:noWrap w:val="0"/>
                  <w:vAlign w:val="center"/>
                </w:tcPr>
                <w:p w14:paraId="405E64A3">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西南侧</w:t>
                  </w:r>
                </w:p>
              </w:tc>
              <w:tc>
                <w:tcPr>
                  <w:tcW w:w="710" w:type="pct"/>
                  <w:noWrap w:val="0"/>
                  <w:vAlign w:val="center"/>
                </w:tcPr>
                <w:p w14:paraId="218503BF">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声环境2类功能区</w:t>
                  </w:r>
                </w:p>
              </w:tc>
              <w:tc>
                <w:tcPr>
                  <w:tcW w:w="958" w:type="pct"/>
                  <w:noWrap w:val="0"/>
                  <w:vAlign w:val="center"/>
                </w:tcPr>
                <w:p w14:paraId="29269992">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民房，1栋4层，为新建码头距离最近民房</w:t>
                  </w:r>
                </w:p>
              </w:tc>
            </w:tr>
          </w:tbl>
          <w:p w14:paraId="4E93F8E0">
            <w:pPr>
              <w:ind w:firstLine="482" w:firstLineChars="200"/>
              <w:rPr>
                <w:rFonts w:hint="default" w:ascii="Times New Roman" w:hAnsi="Times New Roman" w:eastAsia="宋体" w:cs="Times New Roman"/>
                <w:b/>
                <w:bCs/>
                <w:color w:val="000000"/>
                <w:highlight w:val="none"/>
                <w:lang w:val="en-US" w:eastAsia="zh-CN"/>
              </w:rPr>
            </w:pP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3）预测结果</w:t>
            </w:r>
          </w:p>
          <w:p w14:paraId="59C0912E">
            <w:pPr>
              <w:bidi w:val="0"/>
              <w:ind w:firstLine="480" w:firstLineChars="20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rPr>
              <w:t>通过预测模型计算，项目厂界噪声预测结果与达标分析见</w:t>
            </w:r>
            <w:r>
              <w:rPr>
                <w:rFonts w:hint="default" w:ascii="Times New Roman" w:hAnsi="Times New Roman" w:cs="Times New Roman"/>
                <w:color w:val="000000"/>
                <w:highlight w:val="none"/>
                <w:lang w:val="en-US"/>
              </w:rPr>
              <w:fldChar w:fldCharType="begin"/>
            </w:r>
            <w:r>
              <w:rPr>
                <w:rFonts w:hint="default" w:ascii="Times New Roman" w:hAnsi="Times New Roman" w:cs="Times New Roman"/>
                <w:color w:val="000000"/>
                <w:highlight w:val="none"/>
                <w:lang w:val="en-US"/>
              </w:rPr>
              <w:instrText xml:space="preserve"> REF _Ref30257 \h </w:instrText>
            </w:r>
            <w:r>
              <w:rPr>
                <w:rFonts w:hint="default" w:ascii="Times New Roman" w:hAnsi="Times New Roman" w:cs="Times New Roman"/>
                <w:color w:val="000000"/>
                <w:highlight w:val="none"/>
                <w:lang w:val="en-US"/>
              </w:rPr>
              <w:fldChar w:fldCharType="separate"/>
            </w:r>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4.6</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7</w:t>
            </w:r>
            <w:r>
              <w:rPr>
                <w:rFonts w:hint="default" w:ascii="Times New Roman" w:hAnsi="Times New Roman" w:cs="Times New Roman"/>
                <w:color w:val="000000"/>
                <w:highlight w:val="none"/>
                <w:lang w:val="en-US"/>
              </w:rPr>
              <w:fldChar w:fldCharType="end"/>
            </w:r>
            <w:r>
              <w:rPr>
                <w:rFonts w:hint="default" w:ascii="Times New Roman" w:hAnsi="Times New Roman" w:cs="Times New Roman"/>
                <w:color w:val="000000"/>
                <w:highlight w:val="none"/>
              </w:rPr>
              <w:t>，声环境保护目标噪声预测结果与达标分析见</w:t>
            </w:r>
            <w:r>
              <w:rPr>
                <w:rFonts w:hint="default" w:ascii="Times New Roman" w:hAnsi="Times New Roman" w:cs="Times New Roman"/>
                <w:color w:val="000000"/>
                <w:highlight w:val="none"/>
                <w:lang w:val="en-US"/>
              </w:rPr>
              <w:fldChar w:fldCharType="begin"/>
            </w:r>
            <w:r>
              <w:rPr>
                <w:rFonts w:hint="default" w:ascii="Times New Roman" w:hAnsi="Times New Roman" w:cs="Times New Roman"/>
                <w:color w:val="000000"/>
                <w:highlight w:val="none"/>
                <w:lang w:val="en-US"/>
              </w:rPr>
              <w:instrText xml:space="preserve"> REF _Ref30852 \h </w:instrText>
            </w:r>
            <w:r>
              <w:rPr>
                <w:rFonts w:hint="default" w:ascii="Times New Roman" w:hAnsi="Times New Roman" w:cs="Times New Roman"/>
                <w:color w:val="000000"/>
                <w:highlight w:val="none"/>
                <w:lang w:val="en-US"/>
              </w:rPr>
              <w:fldChar w:fldCharType="separate"/>
            </w:r>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4.6</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8</w:t>
            </w:r>
            <w:r>
              <w:rPr>
                <w:rFonts w:hint="default" w:ascii="Times New Roman" w:hAnsi="Times New Roman" w:cs="Times New Roman"/>
                <w:color w:val="000000"/>
                <w:highlight w:val="none"/>
                <w:lang w:val="en-US"/>
              </w:rPr>
              <w:fldChar w:fldCharType="end"/>
            </w:r>
            <w:r>
              <w:rPr>
                <w:rFonts w:hint="default" w:ascii="Times New Roman" w:hAnsi="Times New Roman" w:cs="Times New Roman"/>
                <w:color w:val="000000"/>
                <w:highlight w:val="none"/>
                <w:lang w:val="en-US" w:eastAsia="zh-CN"/>
              </w:rPr>
              <w:t>。</w:t>
            </w:r>
          </w:p>
          <w:p w14:paraId="18329746">
            <w:pPr>
              <w:bidi w:val="0"/>
              <w:ind w:firstLine="480" w:firstLineChars="20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由</w:t>
            </w:r>
            <w:r>
              <w:rPr>
                <w:rFonts w:hint="default" w:ascii="Times New Roman" w:hAnsi="Times New Roman" w:cs="Times New Roman"/>
                <w:color w:val="000000"/>
                <w:highlight w:val="none"/>
                <w:lang w:val="en-US"/>
              </w:rPr>
              <w:fldChar w:fldCharType="begin"/>
            </w:r>
            <w:r>
              <w:rPr>
                <w:rFonts w:hint="default" w:ascii="Times New Roman" w:hAnsi="Times New Roman" w:cs="Times New Roman"/>
                <w:color w:val="000000"/>
                <w:highlight w:val="none"/>
                <w:lang w:val="en-US"/>
              </w:rPr>
              <w:instrText xml:space="preserve"> REF _Ref30257 \h </w:instrText>
            </w:r>
            <w:r>
              <w:rPr>
                <w:rFonts w:hint="default" w:ascii="Times New Roman" w:hAnsi="Times New Roman" w:cs="Times New Roman"/>
                <w:color w:val="000000"/>
                <w:highlight w:val="none"/>
                <w:lang w:val="en-US"/>
              </w:rPr>
              <w:fldChar w:fldCharType="separate"/>
            </w:r>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4.6</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7</w:t>
            </w:r>
            <w:r>
              <w:rPr>
                <w:rFonts w:hint="default" w:ascii="Times New Roman" w:hAnsi="Times New Roman" w:cs="Times New Roman"/>
                <w:color w:val="000000"/>
                <w:highlight w:val="none"/>
                <w:lang w:val="en-US"/>
              </w:rPr>
              <w:fldChar w:fldCharType="end"/>
            </w:r>
            <w:r>
              <w:rPr>
                <w:rFonts w:hint="default" w:ascii="Times New Roman" w:hAnsi="Times New Roman" w:cs="Times New Roman"/>
                <w:color w:val="000000"/>
                <w:highlight w:val="none"/>
                <w:lang w:val="en-US" w:eastAsia="zh-CN"/>
              </w:rPr>
              <w:t>可知，正常工况下，项目厂界昼间、夜间噪声满足《工业企业厂界环境噪声排放标准》（GB12348.2008）2类标准中的噪声限值。</w:t>
            </w:r>
          </w:p>
          <w:p w14:paraId="396325A7">
            <w:pPr>
              <w:ind w:firstLine="480" w:firstLineChars="200"/>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由</w:t>
            </w:r>
            <w:r>
              <w:rPr>
                <w:rFonts w:hint="default" w:ascii="Times New Roman" w:hAnsi="Times New Roman" w:cs="Times New Roman"/>
                <w:color w:val="000000"/>
                <w:highlight w:val="none"/>
                <w:lang w:val="en-US"/>
              </w:rPr>
              <w:fldChar w:fldCharType="begin"/>
            </w:r>
            <w:r>
              <w:rPr>
                <w:rFonts w:hint="default" w:ascii="Times New Roman" w:hAnsi="Times New Roman" w:cs="Times New Roman"/>
                <w:color w:val="000000"/>
                <w:highlight w:val="none"/>
                <w:lang w:val="en-US"/>
              </w:rPr>
              <w:instrText xml:space="preserve"> REF _Ref30852 \h </w:instrText>
            </w:r>
            <w:r>
              <w:rPr>
                <w:rFonts w:hint="default" w:ascii="Times New Roman" w:hAnsi="Times New Roman" w:cs="Times New Roman"/>
                <w:color w:val="000000"/>
                <w:highlight w:val="none"/>
                <w:lang w:val="en-US"/>
              </w:rPr>
              <w:fldChar w:fldCharType="separate"/>
            </w:r>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4.6</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8</w:t>
            </w:r>
            <w:r>
              <w:rPr>
                <w:rFonts w:hint="default" w:ascii="Times New Roman" w:hAnsi="Times New Roman" w:cs="Times New Roman"/>
                <w:color w:val="000000"/>
                <w:highlight w:val="none"/>
                <w:lang w:val="en-US"/>
              </w:rPr>
              <w:fldChar w:fldCharType="end"/>
            </w:r>
            <w:r>
              <w:rPr>
                <w:rFonts w:hint="default" w:ascii="Times New Roman" w:hAnsi="Times New Roman" w:cs="Times New Roman"/>
                <w:color w:val="000000"/>
                <w:highlight w:val="none"/>
                <w:lang w:val="en-US" w:eastAsia="zh-CN"/>
              </w:rPr>
              <w:t>可知，正常工况下，敏感点噪声满足《声环境质量标准》（GB3096-2008）2类标准，项目建成投产后周边敏感点噪声预测量小于3.0dB。因此，本项目扩建完成后对周边敏感点的声环境质量现状影响较小。</w:t>
            </w:r>
          </w:p>
          <w:p w14:paraId="75BF9B63">
            <w:pPr>
              <w:pStyle w:val="30"/>
              <w:bidi w:val="0"/>
              <w:rPr>
                <w:rFonts w:hint="default" w:ascii="Times New Roman" w:hAnsi="Times New Roman" w:cs="Times New Roman"/>
                <w:color w:val="000000"/>
                <w:highlight w:val="none"/>
                <w:lang w:val="en-US" w:eastAsia="zh-CN"/>
              </w:rPr>
            </w:pPr>
            <w:bookmarkStart w:id="400" w:name="_Ref30257"/>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4.6</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表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7</w:t>
            </w:r>
            <w:r>
              <w:rPr>
                <w:rFonts w:hint="default" w:ascii="Times New Roman" w:hAnsi="Times New Roman" w:cs="Times New Roman"/>
                <w:color w:val="000000"/>
                <w:highlight w:val="none"/>
              </w:rPr>
              <w:fldChar w:fldCharType="end"/>
            </w:r>
            <w:bookmarkEnd w:id="400"/>
            <w:r>
              <w:rPr>
                <w:rFonts w:hint="default" w:ascii="Times New Roman" w:hAnsi="Times New Roman" w:cs="Times New Roman"/>
                <w:color w:val="000000"/>
                <w:highlight w:val="none"/>
                <w:lang w:val="en-US" w:eastAsia="zh-CN"/>
              </w:rPr>
              <w:t xml:space="preserve"> 厂界噪声预测结果与达标分析表  单位：dB(A)</w:t>
            </w:r>
          </w:p>
          <w:tbl>
            <w:tblPr>
              <w:tblStyle w:val="22"/>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01"/>
              <w:gridCol w:w="1259"/>
              <w:gridCol w:w="1261"/>
              <w:gridCol w:w="1121"/>
              <w:gridCol w:w="1122"/>
              <w:gridCol w:w="729"/>
              <w:gridCol w:w="733"/>
            </w:tblGrid>
            <w:tr w14:paraId="593BFC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16" w:type="pct"/>
                  <w:vMerge w:val="restart"/>
                  <w:noWrap w:val="0"/>
                  <w:vAlign w:val="center"/>
                </w:tcPr>
                <w:p w14:paraId="11056ADB">
                  <w:pPr>
                    <w:pStyle w:val="31"/>
                    <w:bidi w:val="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预测方位</w:t>
                  </w:r>
                </w:p>
              </w:tc>
              <w:tc>
                <w:tcPr>
                  <w:tcW w:w="1531" w:type="pct"/>
                  <w:gridSpan w:val="2"/>
                  <w:noWrap w:val="0"/>
                  <w:vAlign w:val="center"/>
                </w:tcPr>
                <w:p w14:paraId="310ECFB1">
                  <w:pPr>
                    <w:pStyle w:val="31"/>
                    <w:bidi w:val="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噪声贡献值</w:t>
                  </w:r>
                </w:p>
              </w:tc>
              <w:tc>
                <w:tcPr>
                  <w:tcW w:w="1363" w:type="pct"/>
                  <w:gridSpan w:val="2"/>
                  <w:noWrap w:val="0"/>
                  <w:vAlign w:val="center"/>
                </w:tcPr>
                <w:p w14:paraId="5010642D">
                  <w:pPr>
                    <w:pStyle w:val="31"/>
                    <w:bidi w:val="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标准限值（昼间）</w:t>
                  </w:r>
                </w:p>
              </w:tc>
              <w:tc>
                <w:tcPr>
                  <w:tcW w:w="888" w:type="pct"/>
                  <w:gridSpan w:val="2"/>
                  <w:noWrap w:val="0"/>
                  <w:vAlign w:val="center"/>
                </w:tcPr>
                <w:p w14:paraId="32172F6B">
                  <w:pPr>
                    <w:pStyle w:val="31"/>
                    <w:bidi w:val="0"/>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rPr>
                    <w:t>达标情况</w:t>
                  </w:r>
                </w:p>
              </w:tc>
            </w:tr>
            <w:tr w14:paraId="1B93B4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16" w:type="pct"/>
                  <w:vMerge w:val="continue"/>
                  <w:noWrap w:val="0"/>
                  <w:vAlign w:val="center"/>
                </w:tcPr>
                <w:p w14:paraId="2088791F">
                  <w:pPr>
                    <w:pStyle w:val="31"/>
                    <w:bidi w:val="0"/>
                    <w:rPr>
                      <w:rFonts w:hint="default" w:ascii="Times New Roman" w:hAnsi="Times New Roman" w:cs="Times New Roman"/>
                      <w:b/>
                      <w:bCs/>
                      <w:color w:val="000000"/>
                      <w:highlight w:val="none"/>
                      <w:lang w:val="en-US" w:eastAsia="zh-CN"/>
                    </w:rPr>
                  </w:pPr>
                </w:p>
              </w:tc>
              <w:tc>
                <w:tcPr>
                  <w:tcW w:w="765" w:type="pct"/>
                  <w:noWrap w:val="0"/>
                  <w:vAlign w:val="center"/>
                </w:tcPr>
                <w:p w14:paraId="3308A602">
                  <w:pPr>
                    <w:pStyle w:val="31"/>
                    <w:bidi w:val="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昼间</w:t>
                  </w:r>
                </w:p>
              </w:tc>
              <w:tc>
                <w:tcPr>
                  <w:tcW w:w="766" w:type="pct"/>
                  <w:noWrap w:val="0"/>
                  <w:vAlign w:val="center"/>
                </w:tcPr>
                <w:p w14:paraId="6B4AAE11">
                  <w:pPr>
                    <w:pStyle w:val="31"/>
                    <w:bidi w:val="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夜间</w:t>
                  </w:r>
                </w:p>
              </w:tc>
              <w:tc>
                <w:tcPr>
                  <w:tcW w:w="681" w:type="pct"/>
                  <w:noWrap w:val="0"/>
                  <w:vAlign w:val="center"/>
                </w:tcPr>
                <w:p w14:paraId="07162192">
                  <w:pPr>
                    <w:pStyle w:val="31"/>
                    <w:bidi w:val="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昼间</w:t>
                  </w:r>
                </w:p>
              </w:tc>
              <w:tc>
                <w:tcPr>
                  <w:tcW w:w="682" w:type="pct"/>
                  <w:noWrap w:val="0"/>
                  <w:vAlign w:val="center"/>
                </w:tcPr>
                <w:p w14:paraId="32FF163C">
                  <w:pPr>
                    <w:pStyle w:val="31"/>
                    <w:bidi w:val="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夜间</w:t>
                  </w:r>
                </w:p>
              </w:tc>
              <w:tc>
                <w:tcPr>
                  <w:tcW w:w="443" w:type="pct"/>
                  <w:noWrap w:val="0"/>
                  <w:vAlign w:val="center"/>
                </w:tcPr>
                <w:p w14:paraId="44ABEFAE">
                  <w:pPr>
                    <w:pStyle w:val="31"/>
                    <w:bidi w:val="0"/>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lang w:val="en-US" w:eastAsia="zh-CN"/>
                    </w:rPr>
                    <w:t>昼间</w:t>
                  </w:r>
                </w:p>
              </w:tc>
              <w:tc>
                <w:tcPr>
                  <w:tcW w:w="445" w:type="pct"/>
                  <w:noWrap w:val="0"/>
                  <w:vAlign w:val="center"/>
                </w:tcPr>
                <w:p w14:paraId="1894C40C">
                  <w:pPr>
                    <w:pStyle w:val="31"/>
                    <w:bidi w:val="0"/>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lang w:val="en-US" w:eastAsia="zh-CN"/>
                    </w:rPr>
                    <w:t>夜间</w:t>
                  </w:r>
                </w:p>
              </w:tc>
            </w:tr>
            <w:tr w14:paraId="6A5DD6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16" w:type="pct"/>
                  <w:noWrap w:val="0"/>
                  <w:vAlign w:val="center"/>
                </w:tcPr>
                <w:p w14:paraId="1238EE85">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厂界东侧</w:t>
                  </w:r>
                </w:p>
              </w:tc>
              <w:tc>
                <w:tcPr>
                  <w:tcW w:w="765" w:type="pct"/>
                  <w:noWrap w:val="0"/>
                  <w:vAlign w:val="center"/>
                </w:tcPr>
                <w:p w14:paraId="285FDCC3">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39</w:t>
                  </w:r>
                </w:p>
              </w:tc>
              <w:tc>
                <w:tcPr>
                  <w:tcW w:w="1415" w:type="dxa"/>
                  <w:noWrap w:val="0"/>
                  <w:vAlign w:val="center"/>
                </w:tcPr>
                <w:p w14:paraId="76B96ACB">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39</w:t>
                  </w:r>
                </w:p>
              </w:tc>
              <w:tc>
                <w:tcPr>
                  <w:tcW w:w="681" w:type="pct"/>
                  <w:noWrap w:val="0"/>
                  <w:vAlign w:val="center"/>
                </w:tcPr>
                <w:p w14:paraId="1F774E28">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60</w:t>
                  </w:r>
                </w:p>
              </w:tc>
              <w:tc>
                <w:tcPr>
                  <w:tcW w:w="682" w:type="pct"/>
                  <w:noWrap w:val="0"/>
                  <w:vAlign w:val="center"/>
                </w:tcPr>
                <w:p w14:paraId="4A6259F0">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50</w:t>
                  </w:r>
                </w:p>
              </w:tc>
              <w:tc>
                <w:tcPr>
                  <w:tcW w:w="443" w:type="pct"/>
                  <w:noWrap w:val="0"/>
                  <w:vAlign w:val="center"/>
                </w:tcPr>
                <w:p w14:paraId="6CA25FE6">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达标</w:t>
                  </w:r>
                </w:p>
              </w:tc>
              <w:tc>
                <w:tcPr>
                  <w:tcW w:w="445" w:type="pct"/>
                  <w:noWrap w:val="0"/>
                  <w:vAlign w:val="center"/>
                </w:tcPr>
                <w:p w14:paraId="5D7938B5">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达标</w:t>
                  </w:r>
                </w:p>
              </w:tc>
            </w:tr>
            <w:tr w14:paraId="355474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16" w:type="pct"/>
                  <w:noWrap w:val="0"/>
                  <w:vAlign w:val="center"/>
                </w:tcPr>
                <w:p w14:paraId="28158273">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厂界南侧</w:t>
                  </w:r>
                </w:p>
              </w:tc>
              <w:tc>
                <w:tcPr>
                  <w:tcW w:w="765" w:type="pct"/>
                  <w:noWrap w:val="0"/>
                  <w:vAlign w:val="center"/>
                </w:tcPr>
                <w:p w14:paraId="2B4AE60F">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49</w:t>
                  </w:r>
                </w:p>
              </w:tc>
              <w:tc>
                <w:tcPr>
                  <w:tcW w:w="1415" w:type="dxa"/>
                  <w:noWrap w:val="0"/>
                  <w:vAlign w:val="center"/>
                </w:tcPr>
                <w:p w14:paraId="6520310B">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49</w:t>
                  </w:r>
                </w:p>
              </w:tc>
              <w:tc>
                <w:tcPr>
                  <w:tcW w:w="681" w:type="pct"/>
                  <w:noWrap w:val="0"/>
                  <w:vAlign w:val="center"/>
                </w:tcPr>
                <w:p w14:paraId="6CBA5E90">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60</w:t>
                  </w:r>
                </w:p>
              </w:tc>
              <w:tc>
                <w:tcPr>
                  <w:tcW w:w="682" w:type="pct"/>
                  <w:noWrap w:val="0"/>
                  <w:vAlign w:val="center"/>
                </w:tcPr>
                <w:p w14:paraId="714AD3C5">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50</w:t>
                  </w:r>
                </w:p>
              </w:tc>
              <w:tc>
                <w:tcPr>
                  <w:tcW w:w="443" w:type="pct"/>
                  <w:noWrap w:val="0"/>
                  <w:vAlign w:val="center"/>
                </w:tcPr>
                <w:p w14:paraId="2A87ABB2">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达标</w:t>
                  </w:r>
                </w:p>
              </w:tc>
              <w:tc>
                <w:tcPr>
                  <w:tcW w:w="445" w:type="pct"/>
                  <w:noWrap w:val="0"/>
                  <w:vAlign w:val="center"/>
                </w:tcPr>
                <w:p w14:paraId="3EAF02E7">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达标</w:t>
                  </w:r>
                </w:p>
              </w:tc>
            </w:tr>
            <w:tr w14:paraId="42C1F6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16" w:type="pct"/>
                  <w:noWrap w:val="0"/>
                  <w:vAlign w:val="center"/>
                </w:tcPr>
                <w:p w14:paraId="29B39F01">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厂界西侧</w:t>
                  </w:r>
                </w:p>
              </w:tc>
              <w:tc>
                <w:tcPr>
                  <w:tcW w:w="765" w:type="pct"/>
                  <w:noWrap w:val="0"/>
                  <w:vAlign w:val="center"/>
                </w:tcPr>
                <w:p w14:paraId="677E3640">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38</w:t>
                  </w:r>
                </w:p>
              </w:tc>
              <w:tc>
                <w:tcPr>
                  <w:tcW w:w="1415" w:type="dxa"/>
                  <w:noWrap w:val="0"/>
                  <w:vAlign w:val="center"/>
                </w:tcPr>
                <w:p w14:paraId="30E0CCC6">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38</w:t>
                  </w:r>
                </w:p>
              </w:tc>
              <w:tc>
                <w:tcPr>
                  <w:tcW w:w="681" w:type="pct"/>
                  <w:noWrap w:val="0"/>
                  <w:vAlign w:val="center"/>
                </w:tcPr>
                <w:p w14:paraId="2E663346">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60</w:t>
                  </w:r>
                </w:p>
              </w:tc>
              <w:tc>
                <w:tcPr>
                  <w:tcW w:w="682" w:type="pct"/>
                  <w:noWrap w:val="0"/>
                  <w:vAlign w:val="center"/>
                </w:tcPr>
                <w:p w14:paraId="26406FB2">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50</w:t>
                  </w:r>
                </w:p>
              </w:tc>
              <w:tc>
                <w:tcPr>
                  <w:tcW w:w="443" w:type="pct"/>
                  <w:noWrap w:val="0"/>
                  <w:vAlign w:val="center"/>
                </w:tcPr>
                <w:p w14:paraId="083842A2">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达标</w:t>
                  </w:r>
                </w:p>
              </w:tc>
              <w:tc>
                <w:tcPr>
                  <w:tcW w:w="445" w:type="pct"/>
                  <w:noWrap w:val="0"/>
                  <w:vAlign w:val="center"/>
                </w:tcPr>
                <w:p w14:paraId="48866DEA">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达标</w:t>
                  </w:r>
                </w:p>
              </w:tc>
            </w:tr>
            <w:tr w14:paraId="196CE3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16" w:type="pct"/>
                  <w:noWrap w:val="0"/>
                  <w:vAlign w:val="center"/>
                </w:tcPr>
                <w:p w14:paraId="0D7D655A">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厂界北侧</w:t>
                  </w:r>
                </w:p>
              </w:tc>
              <w:tc>
                <w:tcPr>
                  <w:tcW w:w="765" w:type="pct"/>
                  <w:noWrap w:val="0"/>
                  <w:vAlign w:val="center"/>
                </w:tcPr>
                <w:p w14:paraId="4E930D27">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30</w:t>
                  </w:r>
                </w:p>
              </w:tc>
              <w:tc>
                <w:tcPr>
                  <w:tcW w:w="1415" w:type="dxa"/>
                  <w:noWrap w:val="0"/>
                  <w:vAlign w:val="center"/>
                </w:tcPr>
                <w:p w14:paraId="7DC90D70">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30</w:t>
                  </w:r>
                </w:p>
              </w:tc>
              <w:tc>
                <w:tcPr>
                  <w:tcW w:w="681" w:type="pct"/>
                  <w:noWrap w:val="0"/>
                  <w:vAlign w:val="center"/>
                </w:tcPr>
                <w:p w14:paraId="0D82A942">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60</w:t>
                  </w:r>
                </w:p>
              </w:tc>
              <w:tc>
                <w:tcPr>
                  <w:tcW w:w="682" w:type="pct"/>
                  <w:noWrap w:val="0"/>
                  <w:vAlign w:val="center"/>
                </w:tcPr>
                <w:p w14:paraId="2A3E3119">
                  <w:pPr>
                    <w:pStyle w:val="31"/>
                    <w:bidi w:val="0"/>
                    <w:ind w:firstLine="0" w:firstLineChars="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50</w:t>
                  </w:r>
                </w:p>
              </w:tc>
              <w:tc>
                <w:tcPr>
                  <w:tcW w:w="443" w:type="pct"/>
                  <w:noWrap w:val="0"/>
                  <w:vAlign w:val="center"/>
                </w:tcPr>
                <w:p w14:paraId="0F2F25B9">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达标</w:t>
                  </w:r>
                </w:p>
              </w:tc>
              <w:tc>
                <w:tcPr>
                  <w:tcW w:w="445" w:type="pct"/>
                  <w:noWrap w:val="0"/>
                  <w:vAlign w:val="center"/>
                </w:tcPr>
                <w:p w14:paraId="4B3F22FC">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达标</w:t>
                  </w:r>
                </w:p>
              </w:tc>
            </w:tr>
          </w:tbl>
          <w:p w14:paraId="59D98570">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rPr>
            </w:pPr>
          </w:p>
          <w:p w14:paraId="068A7298">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rPr>
            </w:pPr>
          </w:p>
          <w:p w14:paraId="3C9EF49F">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rPr>
            </w:pPr>
          </w:p>
          <w:p w14:paraId="4086FB09">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rPr>
            </w:pPr>
          </w:p>
          <w:p w14:paraId="7AAEC08A">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rPr>
            </w:pPr>
          </w:p>
          <w:p w14:paraId="0E2C4550">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rPr>
            </w:pPr>
          </w:p>
          <w:p w14:paraId="21613D81">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rPr>
            </w:pPr>
          </w:p>
          <w:p w14:paraId="4CC59B79">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rPr>
            </w:pPr>
          </w:p>
          <w:p w14:paraId="7235B093">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rPr>
            </w:pPr>
          </w:p>
          <w:p w14:paraId="0CB26FC5">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rPr>
            </w:pPr>
          </w:p>
          <w:p w14:paraId="5954C231">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rPr>
            </w:pPr>
          </w:p>
          <w:p w14:paraId="3881036B">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u w:val="none"/>
              </w:rPr>
            </w:pPr>
          </w:p>
        </w:tc>
      </w:tr>
    </w:tbl>
    <w:p w14:paraId="516F5987">
      <w:pPr>
        <w:jc w:val="center"/>
        <w:rPr>
          <w:rFonts w:hint="default" w:ascii="Times New Roman" w:hAnsi="Times New Roman" w:eastAsia="黑体" w:cs="Times New Roman"/>
          <w:snapToGrid w:val="0"/>
          <w:color w:val="000000"/>
          <w:sz w:val="36"/>
          <w:szCs w:val="36"/>
          <w:u w:val="none"/>
        </w:rPr>
        <w:sectPr>
          <w:pgSz w:w="11906" w:h="16838"/>
          <w:pgMar w:top="1701" w:right="1531" w:bottom="1701" w:left="1531" w:header="851" w:footer="1077" w:gutter="0"/>
          <w:pgNumType w:fmt="decimal"/>
          <w:cols w:space="720" w:num="1"/>
          <w:docGrid w:linePitch="312" w:charSpace="0"/>
        </w:sectPr>
      </w:pPr>
    </w:p>
    <w:tbl>
      <w:tblPr>
        <w:tblStyle w:val="2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08" w:type="dxa"/>
          <w:left w:w="108" w:type="dxa"/>
          <w:bottom w:w="108" w:type="dxa"/>
          <w:right w:w="108" w:type="dxa"/>
        </w:tblCellMar>
      </w:tblPr>
      <w:tblGrid>
        <w:gridCol w:w="832"/>
        <w:gridCol w:w="12815"/>
      </w:tblGrid>
      <w:tr w14:paraId="3D3724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8" w:type="dxa"/>
            <w:left w:w="108" w:type="dxa"/>
            <w:bottom w:w="108" w:type="dxa"/>
            <w:right w:w="108" w:type="dxa"/>
          </w:tblCellMar>
        </w:tblPrEx>
        <w:trPr>
          <w:trHeight w:val="635" w:hRule="atLeast"/>
          <w:jc w:val="center"/>
        </w:trPr>
        <w:tc>
          <w:tcPr>
            <w:tcW w:w="832" w:type="dxa"/>
            <w:noWrap w:val="0"/>
            <w:vAlign w:val="center"/>
          </w:tcPr>
          <w:p w14:paraId="2C22AC23">
            <w:pPr>
              <w:adjustRightInd w:val="0"/>
              <w:snapToGrid w:val="0"/>
              <w:spacing w:line="360" w:lineRule="auto"/>
              <w:jc w:val="center"/>
              <w:rPr>
                <w:rFonts w:hint="default" w:ascii="Times New Roman" w:hAnsi="Times New Roman" w:cs="Times New Roman"/>
                <w:color w:val="000000"/>
                <w:kern w:val="0"/>
                <w:szCs w:val="21"/>
                <w:u w:val="none"/>
              </w:rPr>
            </w:pPr>
            <w:r>
              <w:rPr>
                <w:rFonts w:hint="default" w:ascii="Times New Roman" w:hAnsi="Times New Roman" w:cs="Times New Roman"/>
                <w:bCs/>
                <w:color w:val="000000"/>
                <w:spacing w:val="10"/>
                <w:kern w:val="2"/>
                <w:sz w:val="24"/>
                <w:szCs w:val="24"/>
                <w:u w:val="none"/>
              </w:rPr>
              <w:t>运营期生态环境影响分析</w:t>
            </w:r>
          </w:p>
        </w:tc>
        <w:tc>
          <w:tcPr>
            <w:tcW w:w="12815" w:type="dxa"/>
            <w:noWrap w:val="0"/>
            <w:vAlign w:val="center"/>
          </w:tcPr>
          <w:p w14:paraId="0DB29614">
            <w:pPr>
              <w:pStyle w:val="30"/>
              <w:bidi w:val="0"/>
              <w:rPr>
                <w:rFonts w:hint="default" w:ascii="Times New Roman" w:hAnsi="Times New Roman" w:cs="Times New Roman"/>
                <w:color w:val="000000"/>
                <w:highlight w:val="none"/>
              </w:rPr>
            </w:pPr>
            <w:bookmarkStart w:id="401" w:name="_Ref30852"/>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4.6</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表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8</w:t>
            </w:r>
            <w:r>
              <w:rPr>
                <w:rFonts w:hint="default" w:ascii="Times New Roman" w:hAnsi="Times New Roman" w:cs="Times New Roman"/>
                <w:color w:val="000000"/>
                <w:highlight w:val="none"/>
              </w:rPr>
              <w:fldChar w:fldCharType="end"/>
            </w:r>
            <w:bookmarkEnd w:id="401"/>
            <w:r>
              <w:rPr>
                <w:rFonts w:hint="default" w:ascii="Times New Roman" w:hAnsi="Times New Roman" w:cs="Times New Roman"/>
                <w:color w:val="000000"/>
                <w:highlight w:val="none"/>
                <w:lang w:val="en-US" w:eastAsia="zh-CN"/>
              </w:rPr>
              <w:t xml:space="preserve"> </w:t>
            </w:r>
            <w:r>
              <w:rPr>
                <w:rFonts w:hint="default" w:ascii="Times New Roman" w:hAnsi="Times New Roman" w:cs="Times New Roman"/>
                <w:color w:val="000000"/>
                <w:highlight w:val="none"/>
              </w:rPr>
              <w:t>工业企业声环境保护目标噪声预测结果与达标分析表</w:t>
            </w:r>
            <w:r>
              <w:rPr>
                <w:rFonts w:hint="default" w:ascii="Times New Roman" w:hAnsi="Times New Roman" w:cs="Times New Roman"/>
                <w:color w:val="000000"/>
                <w:highlight w:val="none"/>
                <w:lang w:val="en-US" w:eastAsia="zh-CN"/>
              </w:rPr>
              <w:t xml:space="preserve">  单位：dB(A)</w:t>
            </w:r>
          </w:p>
          <w:tbl>
            <w:tblPr>
              <w:tblStyle w:val="22"/>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4"/>
              <w:gridCol w:w="1253"/>
              <w:gridCol w:w="770"/>
              <w:gridCol w:w="770"/>
              <w:gridCol w:w="770"/>
              <w:gridCol w:w="770"/>
              <w:gridCol w:w="770"/>
              <w:gridCol w:w="770"/>
              <w:gridCol w:w="770"/>
              <w:gridCol w:w="770"/>
              <w:gridCol w:w="770"/>
              <w:gridCol w:w="770"/>
              <w:gridCol w:w="770"/>
              <w:gridCol w:w="770"/>
              <w:gridCol w:w="771"/>
              <w:gridCol w:w="771"/>
            </w:tblGrid>
            <w:tr w14:paraId="4F2351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6" w:type="pct"/>
                  <w:vMerge w:val="restart"/>
                  <w:noWrap w:val="0"/>
                  <w:vAlign w:val="center"/>
                </w:tcPr>
                <w:p w14:paraId="331EA332">
                  <w:pPr>
                    <w:pStyle w:val="31"/>
                    <w:bidi w:val="0"/>
                    <w:rPr>
                      <w:rFonts w:hint="default" w:ascii="Times New Roman" w:hAnsi="Times New Roman" w:cs="Times New Roman"/>
                      <w:b/>
                      <w:bCs/>
                      <w:color w:val="000000"/>
                      <w:highlight w:val="none"/>
                      <w:u w:val="none"/>
                      <w:lang w:val="en-US" w:eastAsia="zh-CN"/>
                    </w:rPr>
                  </w:pPr>
                  <w:r>
                    <w:rPr>
                      <w:rFonts w:hint="default" w:ascii="Times New Roman" w:hAnsi="Times New Roman" w:cs="Times New Roman"/>
                      <w:b/>
                      <w:bCs/>
                      <w:color w:val="000000"/>
                      <w:highlight w:val="none"/>
                      <w:u w:val="none"/>
                      <w:lang w:val="en-US" w:eastAsia="zh-CN"/>
                    </w:rPr>
                    <w:t>序号</w:t>
                  </w:r>
                </w:p>
              </w:tc>
              <w:tc>
                <w:tcPr>
                  <w:tcW w:w="498" w:type="pct"/>
                  <w:vMerge w:val="restart"/>
                  <w:noWrap w:val="0"/>
                  <w:vAlign w:val="center"/>
                </w:tcPr>
                <w:p w14:paraId="4D4C6179">
                  <w:pPr>
                    <w:pStyle w:val="31"/>
                    <w:bidi w:val="0"/>
                    <w:rPr>
                      <w:rFonts w:hint="default" w:ascii="Times New Roman" w:hAnsi="Times New Roman" w:cs="Times New Roman"/>
                      <w:b/>
                      <w:bCs/>
                      <w:color w:val="000000"/>
                      <w:highlight w:val="none"/>
                      <w:u w:val="none"/>
                      <w:lang w:val="en-US" w:eastAsia="zh-CN"/>
                    </w:rPr>
                  </w:pPr>
                  <w:r>
                    <w:rPr>
                      <w:rFonts w:hint="default" w:ascii="Times New Roman" w:hAnsi="Times New Roman" w:cs="Times New Roman"/>
                      <w:b/>
                      <w:bCs/>
                      <w:color w:val="000000"/>
                      <w:highlight w:val="none"/>
                      <w:u w:val="none"/>
                      <w:lang w:val="en-US" w:eastAsia="zh-CN"/>
                    </w:rPr>
                    <w:t>声环境保护目标名称</w:t>
                  </w:r>
                </w:p>
              </w:tc>
              <w:tc>
                <w:tcPr>
                  <w:tcW w:w="612" w:type="pct"/>
                  <w:gridSpan w:val="2"/>
                  <w:noWrap w:val="0"/>
                  <w:vAlign w:val="center"/>
                </w:tcPr>
                <w:p w14:paraId="65234BEC">
                  <w:pPr>
                    <w:pStyle w:val="31"/>
                    <w:bidi w:val="0"/>
                    <w:rPr>
                      <w:rFonts w:hint="default" w:ascii="Times New Roman" w:hAnsi="Times New Roman" w:cs="Times New Roman"/>
                      <w:b/>
                      <w:bCs/>
                      <w:color w:val="000000"/>
                      <w:highlight w:val="none"/>
                      <w:u w:val="none"/>
                      <w:lang w:val="en-US" w:eastAsia="zh-CN"/>
                    </w:rPr>
                  </w:pPr>
                  <w:r>
                    <w:rPr>
                      <w:rFonts w:hint="default" w:ascii="Times New Roman" w:hAnsi="Times New Roman" w:cs="Times New Roman"/>
                      <w:b/>
                      <w:bCs/>
                      <w:color w:val="000000"/>
                      <w:highlight w:val="none"/>
                      <w:u w:val="none"/>
                      <w:lang w:val="en-US" w:eastAsia="zh-CN"/>
                    </w:rPr>
                    <w:t>噪声背景值</w:t>
                  </w:r>
                </w:p>
              </w:tc>
              <w:tc>
                <w:tcPr>
                  <w:tcW w:w="612" w:type="pct"/>
                  <w:gridSpan w:val="2"/>
                  <w:noWrap w:val="0"/>
                  <w:vAlign w:val="center"/>
                </w:tcPr>
                <w:p w14:paraId="59D5BD81">
                  <w:pPr>
                    <w:pStyle w:val="31"/>
                    <w:bidi w:val="0"/>
                    <w:rPr>
                      <w:rFonts w:hint="default" w:ascii="Times New Roman" w:hAnsi="Times New Roman" w:cs="Times New Roman"/>
                      <w:b/>
                      <w:bCs/>
                      <w:color w:val="000000"/>
                      <w:highlight w:val="none"/>
                      <w:u w:val="none"/>
                      <w:lang w:val="en-US" w:eastAsia="zh-CN"/>
                    </w:rPr>
                  </w:pPr>
                  <w:r>
                    <w:rPr>
                      <w:rFonts w:hint="default" w:ascii="Times New Roman" w:hAnsi="Times New Roman" w:cs="Times New Roman"/>
                      <w:b/>
                      <w:bCs/>
                      <w:color w:val="000000"/>
                      <w:highlight w:val="none"/>
                      <w:u w:val="none"/>
                      <w:lang w:val="en-US" w:eastAsia="zh-CN"/>
                    </w:rPr>
                    <w:t>噪声现状值</w:t>
                  </w:r>
                </w:p>
              </w:tc>
              <w:tc>
                <w:tcPr>
                  <w:tcW w:w="612" w:type="pct"/>
                  <w:gridSpan w:val="2"/>
                  <w:noWrap w:val="0"/>
                  <w:vAlign w:val="center"/>
                </w:tcPr>
                <w:p w14:paraId="51FECBEF">
                  <w:pPr>
                    <w:pStyle w:val="31"/>
                    <w:bidi w:val="0"/>
                    <w:rPr>
                      <w:rFonts w:hint="default" w:ascii="Times New Roman" w:hAnsi="Times New Roman" w:cs="Times New Roman"/>
                      <w:b/>
                      <w:bCs/>
                      <w:color w:val="000000"/>
                      <w:highlight w:val="none"/>
                      <w:u w:val="none"/>
                      <w:lang w:val="en-US" w:eastAsia="zh-CN"/>
                    </w:rPr>
                  </w:pPr>
                  <w:r>
                    <w:rPr>
                      <w:rFonts w:hint="default" w:ascii="Times New Roman" w:hAnsi="Times New Roman" w:cs="Times New Roman"/>
                      <w:b/>
                      <w:bCs/>
                      <w:color w:val="000000"/>
                      <w:highlight w:val="none"/>
                      <w:u w:val="none"/>
                      <w:lang w:val="en-US" w:eastAsia="zh-CN"/>
                    </w:rPr>
                    <w:t>噪声标准</w:t>
                  </w:r>
                </w:p>
              </w:tc>
              <w:tc>
                <w:tcPr>
                  <w:tcW w:w="612" w:type="pct"/>
                  <w:gridSpan w:val="2"/>
                  <w:noWrap w:val="0"/>
                  <w:vAlign w:val="center"/>
                </w:tcPr>
                <w:p w14:paraId="1EFB90EE">
                  <w:pPr>
                    <w:pStyle w:val="31"/>
                    <w:bidi w:val="0"/>
                    <w:rPr>
                      <w:rFonts w:hint="default" w:ascii="Times New Roman" w:hAnsi="Times New Roman" w:cs="Times New Roman"/>
                      <w:b/>
                      <w:bCs/>
                      <w:color w:val="000000"/>
                      <w:highlight w:val="none"/>
                      <w:u w:val="none"/>
                      <w:lang w:val="en-US" w:eastAsia="zh-CN"/>
                    </w:rPr>
                  </w:pPr>
                  <w:r>
                    <w:rPr>
                      <w:rFonts w:hint="default" w:ascii="Times New Roman" w:hAnsi="Times New Roman" w:cs="Times New Roman"/>
                      <w:b/>
                      <w:bCs/>
                      <w:color w:val="000000"/>
                      <w:highlight w:val="none"/>
                      <w:u w:val="none"/>
                      <w:lang w:val="en-US" w:eastAsia="zh-CN"/>
                    </w:rPr>
                    <w:t>噪声贡献值</w:t>
                  </w:r>
                </w:p>
              </w:tc>
              <w:tc>
                <w:tcPr>
                  <w:tcW w:w="612" w:type="pct"/>
                  <w:gridSpan w:val="2"/>
                  <w:noWrap w:val="0"/>
                  <w:vAlign w:val="center"/>
                </w:tcPr>
                <w:p w14:paraId="63C96E7C">
                  <w:pPr>
                    <w:pStyle w:val="31"/>
                    <w:bidi w:val="0"/>
                    <w:rPr>
                      <w:rFonts w:hint="default" w:ascii="Times New Roman" w:hAnsi="Times New Roman" w:cs="Times New Roman"/>
                      <w:b/>
                      <w:bCs/>
                      <w:color w:val="000000"/>
                      <w:highlight w:val="none"/>
                      <w:u w:val="none"/>
                      <w:lang w:val="en-US" w:eastAsia="zh-CN"/>
                    </w:rPr>
                  </w:pPr>
                  <w:r>
                    <w:rPr>
                      <w:rFonts w:hint="default" w:ascii="Times New Roman" w:hAnsi="Times New Roman" w:cs="Times New Roman"/>
                      <w:b/>
                      <w:bCs/>
                      <w:color w:val="000000"/>
                      <w:highlight w:val="none"/>
                      <w:u w:val="none"/>
                      <w:lang w:val="en-US" w:eastAsia="zh-CN"/>
                    </w:rPr>
                    <w:t>噪声预测值</w:t>
                  </w:r>
                </w:p>
              </w:tc>
              <w:tc>
                <w:tcPr>
                  <w:tcW w:w="612" w:type="pct"/>
                  <w:gridSpan w:val="2"/>
                  <w:noWrap w:val="0"/>
                  <w:vAlign w:val="center"/>
                </w:tcPr>
                <w:p w14:paraId="060E201B">
                  <w:pPr>
                    <w:pStyle w:val="31"/>
                    <w:bidi w:val="0"/>
                    <w:rPr>
                      <w:rFonts w:hint="default" w:ascii="Times New Roman" w:hAnsi="Times New Roman" w:cs="Times New Roman"/>
                      <w:b/>
                      <w:bCs/>
                      <w:color w:val="000000"/>
                      <w:highlight w:val="none"/>
                      <w:u w:val="none"/>
                      <w:lang w:val="en-US" w:eastAsia="zh-CN"/>
                    </w:rPr>
                  </w:pPr>
                  <w:r>
                    <w:rPr>
                      <w:rFonts w:hint="default" w:ascii="Times New Roman" w:hAnsi="Times New Roman" w:cs="Times New Roman"/>
                      <w:b/>
                      <w:bCs/>
                      <w:color w:val="000000"/>
                      <w:highlight w:val="none"/>
                      <w:u w:val="none"/>
                      <w:lang w:val="en-US" w:eastAsia="zh-CN"/>
                    </w:rPr>
                    <w:t>较现状增量</w:t>
                  </w:r>
                </w:p>
              </w:tc>
              <w:tc>
                <w:tcPr>
                  <w:tcW w:w="612" w:type="pct"/>
                  <w:gridSpan w:val="2"/>
                  <w:noWrap w:val="0"/>
                  <w:vAlign w:val="center"/>
                </w:tcPr>
                <w:p w14:paraId="37F4762C">
                  <w:pPr>
                    <w:pStyle w:val="31"/>
                    <w:bidi w:val="0"/>
                    <w:rPr>
                      <w:rFonts w:hint="default" w:ascii="Times New Roman" w:hAnsi="Times New Roman" w:cs="Times New Roman"/>
                      <w:b/>
                      <w:bCs/>
                      <w:color w:val="000000"/>
                      <w:highlight w:val="none"/>
                      <w:u w:val="none"/>
                      <w:lang w:val="en-US" w:eastAsia="zh-CN"/>
                    </w:rPr>
                  </w:pPr>
                  <w:r>
                    <w:rPr>
                      <w:rFonts w:hint="default" w:ascii="Times New Roman" w:hAnsi="Times New Roman" w:cs="Times New Roman"/>
                      <w:b/>
                      <w:bCs/>
                      <w:color w:val="000000"/>
                      <w:highlight w:val="none"/>
                      <w:u w:val="none"/>
                      <w:lang w:val="en-US" w:eastAsia="zh-CN"/>
                    </w:rPr>
                    <w:t>超标和达标情况</w:t>
                  </w:r>
                </w:p>
              </w:tc>
            </w:tr>
            <w:tr w14:paraId="5B68E9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6" w:type="pct"/>
                  <w:vMerge w:val="continue"/>
                  <w:noWrap w:val="0"/>
                  <w:vAlign w:val="center"/>
                </w:tcPr>
                <w:p w14:paraId="0F421D41">
                  <w:pPr>
                    <w:pStyle w:val="31"/>
                    <w:bidi w:val="0"/>
                    <w:rPr>
                      <w:rFonts w:hint="default" w:ascii="Times New Roman" w:hAnsi="Times New Roman" w:cs="Times New Roman"/>
                      <w:b/>
                      <w:bCs/>
                      <w:color w:val="000000"/>
                      <w:highlight w:val="none"/>
                      <w:u w:val="none"/>
                      <w:lang w:val="en-US" w:eastAsia="zh-CN"/>
                    </w:rPr>
                  </w:pPr>
                </w:p>
              </w:tc>
              <w:tc>
                <w:tcPr>
                  <w:tcW w:w="498" w:type="pct"/>
                  <w:vMerge w:val="continue"/>
                  <w:noWrap w:val="0"/>
                  <w:vAlign w:val="center"/>
                </w:tcPr>
                <w:p w14:paraId="2372097F">
                  <w:pPr>
                    <w:pStyle w:val="31"/>
                    <w:bidi w:val="0"/>
                    <w:rPr>
                      <w:rFonts w:hint="default" w:ascii="Times New Roman" w:hAnsi="Times New Roman" w:cs="Times New Roman"/>
                      <w:b/>
                      <w:bCs/>
                      <w:color w:val="000000"/>
                      <w:highlight w:val="none"/>
                      <w:u w:val="none"/>
                      <w:lang w:val="en-US" w:eastAsia="zh-CN"/>
                    </w:rPr>
                  </w:pPr>
                </w:p>
              </w:tc>
              <w:tc>
                <w:tcPr>
                  <w:tcW w:w="306" w:type="pct"/>
                  <w:noWrap w:val="0"/>
                  <w:vAlign w:val="center"/>
                </w:tcPr>
                <w:p w14:paraId="0836E822">
                  <w:pPr>
                    <w:pStyle w:val="31"/>
                    <w:bidi w:val="0"/>
                    <w:rPr>
                      <w:rFonts w:hint="default" w:ascii="Times New Roman" w:hAnsi="Times New Roman" w:cs="Times New Roman"/>
                      <w:b/>
                      <w:bCs/>
                      <w:color w:val="000000"/>
                      <w:highlight w:val="none"/>
                      <w:u w:val="none"/>
                      <w:lang w:val="en-US" w:eastAsia="zh-CN"/>
                    </w:rPr>
                  </w:pPr>
                  <w:r>
                    <w:rPr>
                      <w:rFonts w:hint="default" w:ascii="Times New Roman" w:hAnsi="Times New Roman" w:cs="Times New Roman"/>
                      <w:b/>
                      <w:bCs/>
                      <w:color w:val="000000"/>
                      <w:highlight w:val="none"/>
                      <w:u w:val="none"/>
                      <w:lang w:val="en-US" w:eastAsia="zh-CN"/>
                    </w:rPr>
                    <w:t>昼间</w:t>
                  </w:r>
                </w:p>
              </w:tc>
              <w:tc>
                <w:tcPr>
                  <w:tcW w:w="306" w:type="pct"/>
                  <w:noWrap w:val="0"/>
                  <w:vAlign w:val="center"/>
                </w:tcPr>
                <w:p w14:paraId="12015BF0">
                  <w:pPr>
                    <w:pStyle w:val="31"/>
                    <w:bidi w:val="0"/>
                    <w:rPr>
                      <w:rFonts w:hint="default" w:ascii="Times New Roman" w:hAnsi="Times New Roman" w:cs="Times New Roman"/>
                      <w:b/>
                      <w:bCs/>
                      <w:color w:val="000000"/>
                      <w:highlight w:val="none"/>
                      <w:u w:val="none"/>
                      <w:lang w:val="en-US" w:eastAsia="zh-CN"/>
                    </w:rPr>
                  </w:pPr>
                  <w:r>
                    <w:rPr>
                      <w:rFonts w:hint="default" w:ascii="Times New Roman" w:hAnsi="Times New Roman" w:cs="Times New Roman"/>
                      <w:b/>
                      <w:bCs/>
                      <w:color w:val="000000"/>
                      <w:highlight w:val="none"/>
                      <w:u w:val="none"/>
                      <w:lang w:val="en-US" w:eastAsia="zh-CN"/>
                    </w:rPr>
                    <w:t>夜间</w:t>
                  </w:r>
                </w:p>
              </w:tc>
              <w:tc>
                <w:tcPr>
                  <w:tcW w:w="306" w:type="pct"/>
                  <w:noWrap w:val="0"/>
                  <w:vAlign w:val="center"/>
                </w:tcPr>
                <w:p w14:paraId="2E45AF3C">
                  <w:pPr>
                    <w:pStyle w:val="31"/>
                    <w:bidi w:val="0"/>
                    <w:rPr>
                      <w:rFonts w:hint="default" w:ascii="Times New Roman" w:hAnsi="Times New Roman" w:cs="Times New Roman"/>
                      <w:b/>
                      <w:bCs/>
                      <w:color w:val="000000"/>
                      <w:highlight w:val="none"/>
                      <w:u w:val="none"/>
                      <w:lang w:val="en-US" w:eastAsia="zh-CN"/>
                    </w:rPr>
                  </w:pPr>
                  <w:r>
                    <w:rPr>
                      <w:rFonts w:hint="default" w:ascii="Times New Roman" w:hAnsi="Times New Roman" w:cs="Times New Roman"/>
                      <w:b/>
                      <w:bCs/>
                      <w:color w:val="000000"/>
                      <w:highlight w:val="none"/>
                      <w:u w:val="none"/>
                      <w:lang w:val="en-US" w:eastAsia="zh-CN"/>
                    </w:rPr>
                    <w:t>昼间</w:t>
                  </w:r>
                </w:p>
              </w:tc>
              <w:tc>
                <w:tcPr>
                  <w:tcW w:w="306" w:type="pct"/>
                  <w:noWrap w:val="0"/>
                  <w:vAlign w:val="center"/>
                </w:tcPr>
                <w:p w14:paraId="6C68DA67">
                  <w:pPr>
                    <w:pStyle w:val="31"/>
                    <w:bidi w:val="0"/>
                    <w:rPr>
                      <w:rFonts w:hint="default" w:ascii="Times New Roman" w:hAnsi="Times New Roman" w:cs="Times New Roman"/>
                      <w:b/>
                      <w:bCs/>
                      <w:color w:val="000000"/>
                      <w:highlight w:val="none"/>
                      <w:u w:val="none"/>
                      <w:lang w:val="en-US" w:eastAsia="zh-CN"/>
                    </w:rPr>
                  </w:pPr>
                  <w:r>
                    <w:rPr>
                      <w:rFonts w:hint="default" w:ascii="Times New Roman" w:hAnsi="Times New Roman" w:cs="Times New Roman"/>
                      <w:b/>
                      <w:bCs/>
                      <w:color w:val="000000"/>
                      <w:highlight w:val="none"/>
                      <w:u w:val="none"/>
                      <w:lang w:val="en-US" w:eastAsia="zh-CN"/>
                    </w:rPr>
                    <w:t>夜间</w:t>
                  </w:r>
                </w:p>
              </w:tc>
              <w:tc>
                <w:tcPr>
                  <w:tcW w:w="306" w:type="pct"/>
                  <w:noWrap w:val="0"/>
                  <w:vAlign w:val="center"/>
                </w:tcPr>
                <w:p w14:paraId="299BBCBD">
                  <w:pPr>
                    <w:pStyle w:val="31"/>
                    <w:bidi w:val="0"/>
                    <w:rPr>
                      <w:rFonts w:hint="default" w:ascii="Times New Roman" w:hAnsi="Times New Roman" w:cs="Times New Roman"/>
                      <w:b/>
                      <w:bCs/>
                      <w:color w:val="000000"/>
                      <w:highlight w:val="none"/>
                      <w:u w:val="none"/>
                      <w:lang w:val="en-US" w:eastAsia="zh-CN"/>
                    </w:rPr>
                  </w:pPr>
                  <w:r>
                    <w:rPr>
                      <w:rFonts w:hint="default" w:ascii="Times New Roman" w:hAnsi="Times New Roman" w:cs="Times New Roman"/>
                      <w:b/>
                      <w:bCs/>
                      <w:color w:val="000000"/>
                      <w:highlight w:val="none"/>
                      <w:u w:val="none"/>
                      <w:lang w:val="en-US" w:eastAsia="zh-CN"/>
                    </w:rPr>
                    <w:t>昼间</w:t>
                  </w:r>
                </w:p>
              </w:tc>
              <w:tc>
                <w:tcPr>
                  <w:tcW w:w="306" w:type="pct"/>
                  <w:noWrap w:val="0"/>
                  <w:vAlign w:val="center"/>
                </w:tcPr>
                <w:p w14:paraId="71E4D165">
                  <w:pPr>
                    <w:pStyle w:val="31"/>
                    <w:bidi w:val="0"/>
                    <w:rPr>
                      <w:rFonts w:hint="default" w:ascii="Times New Roman" w:hAnsi="Times New Roman" w:cs="Times New Roman"/>
                      <w:b/>
                      <w:bCs/>
                      <w:color w:val="000000"/>
                      <w:highlight w:val="none"/>
                      <w:u w:val="none"/>
                      <w:lang w:val="en-US" w:eastAsia="zh-CN"/>
                    </w:rPr>
                  </w:pPr>
                  <w:r>
                    <w:rPr>
                      <w:rFonts w:hint="default" w:ascii="Times New Roman" w:hAnsi="Times New Roman" w:cs="Times New Roman"/>
                      <w:b/>
                      <w:bCs/>
                      <w:color w:val="000000"/>
                      <w:highlight w:val="none"/>
                      <w:u w:val="none"/>
                      <w:lang w:val="en-US" w:eastAsia="zh-CN"/>
                    </w:rPr>
                    <w:t>夜间</w:t>
                  </w:r>
                </w:p>
              </w:tc>
              <w:tc>
                <w:tcPr>
                  <w:tcW w:w="306" w:type="pct"/>
                  <w:noWrap w:val="0"/>
                  <w:vAlign w:val="center"/>
                </w:tcPr>
                <w:p w14:paraId="29E77DB5">
                  <w:pPr>
                    <w:pStyle w:val="31"/>
                    <w:bidi w:val="0"/>
                    <w:rPr>
                      <w:rFonts w:hint="default" w:ascii="Times New Roman" w:hAnsi="Times New Roman" w:cs="Times New Roman"/>
                      <w:b/>
                      <w:bCs/>
                      <w:color w:val="000000"/>
                      <w:highlight w:val="none"/>
                      <w:u w:val="none"/>
                      <w:lang w:val="en-US" w:eastAsia="zh-CN"/>
                    </w:rPr>
                  </w:pPr>
                  <w:r>
                    <w:rPr>
                      <w:rFonts w:hint="default" w:ascii="Times New Roman" w:hAnsi="Times New Roman" w:cs="Times New Roman"/>
                      <w:b/>
                      <w:bCs/>
                      <w:color w:val="000000"/>
                      <w:highlight w:val="none"/>
                      <w:u w:val="none"/>
                      <w:lang w:val="en-US" w:eastAsia="zh-CN"/>
                    </w:rPr>
                    <w:t>昼间</w:t>
                  </w:r>
                </w:p>
              </w:tc>
              <w:tc>
                <w:tcPr>
                  <w:tcW w:w="306" w:type="pct"/>
                  <w:noWrap w:val="0"/>
                  <w:vAlign w:val="center"/>
                </w:tcPr>
                <w:p w14:paraId="63AFF3FB">
                  <w:pPr>
                    <w:pStyle w:val="31"/>
                    <w:bidi w:val="0"/>
                    <w:rPr>
                      <w:rFonts w:hint="default" w:ascii="Times New Roman" w:hAnsi="Times New Roman" w:cs="Times New Roman"/>
                      <w:b/>
                      <w:bCs/>
                      <w:color w:val="000000"/>
                      <w:highlight w:val="none"/>
                      <w:u w:val="none"/>
                      <w:lang w:val="en-US" w:eastAsia="zh-CN"/>
                    </w:rPr>
                  </w:pPr>
                  <w:r>
                    <w:rPr>
                      <w:rFonts w:hint="default" w:ascii="Times New Roman" w:hAnsi="Times New Roman" w:cs="Times New Roman"/>
                      <w:b/>
                      <w:bCs/>
                      <w:color w:val="000000"/>
                      <w:highlight w:val="none"/>
                      <w:u w:val="none"/>
                      <w:lang w:val="en-US" w:eastAsia="zh-CN"/>
                    </w:rPr>
                    <w:t>夜间</w:t>
                  </w:r>
                </w:p>
              </w:tc>
              <w:tc>
                <w:tcPr>
                  <w:tcW w:w="306" w:type="pct"/>
                  <w:noWrap w:val="0"/>
                  <w:vAlign w:val="center"/>
                </w:tcPr>
                <w:p w14:paraId="4C2C10FF">
                  <w:pPr>
                    <w:pStyle w:val="31"/>
                    <w:bidi w:val="0"/>
                    <w:rPr>
                      <w:rFonts w:hint="default" w:ascii="Times New Roman" w:hAnsi="Times New Roman" w:cs="Times New Roman"/>
                      <w:b/>
                      <w:bCs/>
                      <w:color w:val="000000"/>
                      <w:highlight w:val="none"/>
                      <w:u w:val="none"/>
                      <w:lang w:val="en-US" w:eastAsia="zh-CN"/>
                    </w:rPr>
                  </w:pPr>
                  <w:r>
                    <w:rPr>
                      <w:rFonts w:hint="default" w:ascii="Times New Roman" w:hAnsi="Times New Roman" w:cs="Times New Roman"/>
                      <w:b/>
                      <w:bCs/>
                      <w:color w:val="000000"/>
                      <w:highlight w:val="none"/>
                      <w:u w:val="none"/>
                      <w:lang w:val="en-US" w:eastAsia="zh-CN"/>
                    </w:rPr>
                    <w:t>昼间</w:t>
                  </w:r>
                </w:p>
              </w:tc>
              <w:tc>
                <w:tcPr>
                  <w:tcW w:w="306" w:type="pct"/>
                  <w:noWrap w:val="0"/>
                  <w:vAlign w:val="center"/>
                </w:tcPr>
                <w:p w14:paraId="43DEA7DC">
                  <w:pPr>
                    <w:pStyle w:val="31"/>
                    <w:bidi w:val="0"/>
                    <w:rPr>
                      <w:rFonts w:hint="default" w:ascii="Times New Roman" w:hAnsi="Times New Roman" w:cs="Times New Roman"/>
                      <w:b/>
                      <w:bCs/>
                      <w:color w:val="000000"/>
                      <w:highlight w:val="none"/>
                      <w:u w:val="none"/>
                      <w:lang w:val="en-US" w:eastAsia="zh-CN"/>
                    </w:rPr>
                  </w:pPr>
                  <w:r>
                    <w:rPr>
                      <w:rFonts w:hint="default" w:ascii="Times New Roman" w:hAnsi="Times New Roman" w:cs="Times New Roman"/>
                      <w:b/>
                      <w:bCs/>
                      <w:color w:val="000000"/>
                      <w:highlight w:val="none"/>
                      <w:u w:val="none"/>
                      <w:lang w:val="en-US" w:eastAsia="zh-CN"/>
                    </w:rPr>
                    <w:t>夜间</w:t>
                  </w:r>
                </w:p>
              </w:tc>
              <w:tc>
                <w:tcPr>
                  <w:tcW w:w="306" w:type="pct"/>
                  <w:noWrap w:val="0"/>
                  <w:vAlign w:val="center"/>
                </w:tcPr>
                <w:p w14:paraId="52BDB9E6">
                  <w:pPr>
                    <w:pStyle w:val="31"/>
                    <w:bidi w:val="0"/>
                    <w:rPr>
                      <w:rFonts w:hint="default" w:ascii="Times New Roman" w:hAnsi="Times New Roman" w:cs="Times New Roman"/>
                      <w:b/>
                      <w:bCs/>
                      <w:color w:val="000000"/>
                      <w:highlight w:val="none"/>
                      <w:u w:val="none"/>
                      <w:lang w:val="en-US" w:eastAsia="zh-CN"/>
                    </w:rPr>
                  </w:pPr>
                  <w:r>
                    <w:rPr>
                      <w:rFonts w:hint="default" w:ascii="Times New Roman" w:hAnsi="Times New Roman" w:cs="Times New Roman"/>
                      <w:b/>
                      <w:bCs/>
                      <w:color w:val="000000"/>
                      <w:highlight w:val="none"/>
                      <w:u w:val="none"/>
                      <w:lang w:val="en-US" w:eastAsia="zh-CN"/>
                    </w:rPr>
                    <w:t>昼间</w:t>
                  </w:r>
                </w:p>
              </w:tc>
              <w:tc>
                <w:tcPr>
                  <w:tcW w:w="306" w:type="pct"/>
                  <w:noWrap w:val="0"/>
                  <w:vAlign w:val="center"/>
                </w:tcPr>
                <w:p w14:paraId="1D7E35E8">
                  <w:pPr>
                    <w:pStyle w:val="31"/>
                    <w:bidi w:val="0"/>
                    <w:rPr>
                      <w:rFonts w:hint="default" w:ascii="Times New Roman" w:hAnsi="Times New Roman" w:cs="Times New Roman"/>
                      <w:b/>
                      <w:bCs/>
                      <w:color w:val="000000"/>
                      <w:highlight w:val="none"/>
                      <w:u w:val="none"/>
                      <w:lang w:val="en-US" w:eastAsia="zh-CN"/>
                    </w:rPr>
                  </w:pPr>
                  <w:r>
                    <w:rPr>
                      <w:rFonts w:hint="default" w:ascii="Times New Roman" w:hAnsi="Times New Roman" w:cs="Times New Roman"/>
                      <w:b/>
                      <w:bCs/>
                      <w:color w:val="000000"/>
                      <w:highlight w:val="none"/>
                      <w:u w:val="none"/>
                      <w:lang w:val="en-US" w:eastAsia="zh-CN"/>
                    </w:rPr>
                    <w:t>夜间</w:t>
                  </w:r>
                </w:p>
              </w:tc>
              <w:tc>
                <w:tcPr>
                  <w:tcW w:w="306" w:type="pct"/>
                  <w:noWrap w:val="0"/>
                  <w:vAlign w:val="center"/>
                </w:tcPr>
                <w:p w14:paraId="036F111F">
                  <w:pPr>
                    <w:pStyle w:val="31"/>
                    <w:bidi w:val="0"/>
                    <w:rPr>
                      <w:rFonts w:hint="default" w:ascii="Times New Roman" w:hAnsi="Times New Roman" w:cs="Times New Roman"/>
                      <w:b/>
                      <w:bCs/>
                      <w:color w:val="000000"/>
                      <w:highlight w:val="none"/>
                      <w:u w:val="none"/>
                      <w:lang w:val="en-US" w:eastAsia="zh-CN"/>
                    </w:rPr>
                  </w:pPr>
                  <w:r>
                    <w:rPr>
                      <w:rFonts w:hint="default" w:ascii="Times New Roman" w:hAnsi="Times New Roman" w:cs="Times New Roman"/>
                      <w:b/>
                      <w:bCs/>
                      <w:color w:val="000000"/>
                      <w:highlight w:val="none"/>
                      <w:u w:val="none"/>
                      <w:lang w:val="en-US" w:eastAsia="zh-CN"/>
                    </w:rPr>
                    <w:t>昼间</w:t>
                  </w:r>
                </w:p>
              </w:tc>
              <w:tc>
                <w:tcPr>
                  <w:tcW w:w="306" w:type="pct"/>
                  <w:noWrap w:val="0"/>
                  <w:vAlign w:val="center"/>
                </w:tcPr>
                <w:p w14:paraId="19EE622B">
                  <w:pPr>
                    <w:pStyle w:val="31"/>
                    <w:bidi w:val="0"/>
                    <w:rPr>
                      <w:rFonts w:hint="default" w:ascii="Times New Roman" w:hAnsi="Times New Roman" w:cs="Times New Roman"/>
                      <w:b/>
                      <w:bCs/>
                      <w:color w:val="000000"/>
                      <w:highlight w:val="none"/>
                      <w:u w:val="none"/>
                      <w:lang w:val="en-US" w:eastAsia="zh-CN"/>
                    </w:rPr>
                  </w:pPr>
                  <w:r>
                    <w:rPr>
                      <w:rFonts w:hint="default" w:ascii="Times New Roman" w:hAnsi="Times New Roman" w:cs="Times New Roman"/>
                      <w:b/>
                      <w:bCs/>
                      <w:color w:val="000000"/>
                      <w:highlight w:val="none"/>
                      <w:u w:val="none"/>
                      <w:lang w:val="en-US" w:eastAsia="zh-CN"/>
                    </w:rPr>
                    <w:t>夜间</w:t>
                  </w:r>
                </w:p>
              </w:tc>
            </w:tr>
            <w:tr w14:paraId="37DA40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6" w:type="pct"/>
                  <w:noWrap w:val="0"/>
                  <w:vAlign w:val="center"/>
                </w:tcPr>
                <w:p w14:paraId="52DFDAAA">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w:t>
                  </w:r>
                </w:p>
              </w:tc>
              <w:tc>
                <w:tcPr>
                  <w:tcW w:w="498" w:type="pct"/>
                  <w:noWrap w:val="0"/>
                  <w:vAlign w:val="center"/>
                </w:tcPr>
                <w:p w14:paraId="6DA21845">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福清市东瀚沃口小学</w:t>
                  </w:r>
                </w:p>
              </w:tc>
              <w:tc>
                <w:tcPr>
                  <w:tcW w:w="770" w:type="dxa"/>
                  <w:noWrap w:val="0"/>
                  <w:vAlign w:val="center"/>
                </w:tcPr>
                <w:p w14:paraId="4A1A7816">
                  <w:pPr>
                    <w:pStyle w:val="31"/>
                    <w:bidi w:val="0"/>
                    <w:rPr>
                      <w:rFonts w:hint="default" w:ascii="Times New Roman" w:hAnsi="Times New Roman" w:cs="Times New Roman"/>
                      <w:color w:val="000000"/>
                      <w:highlight w:val="none"/>
                      <w:lang w:val="en-US" w:eastAsia="zh-CN"/>
                    </w:rPr>
                  </w:pPr>
                </w:p>
              </w:tc>
              <w:tc>
                <w:tcPr>
                  <w:tcW w:w="770" w:type="dxa"/>
                  <w:noWrap w:val="0"/>
                  <w:vAlign w:val="center"/>
                </w:tcPr>
                <w:p w14:paraId="748D6741">
                  <w:pPr>
                    <w:pStyle w:val="31"/>
                    <w:bidi w:val="0"/>
                    <w:rPr>
                      <w:rFonts w:hint="default" w:ascii="Times New Roman" w:hAnsi="Times New Roman" w:cs="Times New Roman"/>
                      <w:color w:val="000000"/>
                      <w:highlight w:val="none"/>
                      <w:lang w:val="en-US" w:eastAsia="zh-CN"/>
                    </w:rPr>
                  </w:pPr>
                </w:p>
              </w:tc>
              <w:tc>
                <w:tcPr>
                  <w:tcW w:w="306" w:type="pct"/>
                  <w:noWrap w:val="0"/>
                  <w:vAlign w:val="center"/>
                </w:tcPr>
                <w:p w14:paraId="595258AF">
                  <w:pPr>
                    <w:pStyle w:val="31"/>
                    <w:bidi w:val="0"/>
                    <w:rPr>
                      <w:rFonts w:hint="default" w:ascii="Times New Roman" w:hAnsi="Times New Roman" w:cs="Times New Roman"/>
                      <w:color w:val="000000"/>
                      <w:highlight w:val="none"/>
                      <w:lang w:val="en-US" w:eastAsia="zh-CN"/>
                    </w:rPr>
                  </w:pPr>
                </w:p>
              </w:tc>
              <w:tc>
                <w:tcPr>
                  <w:tcW w:w="306" w:type="pct"/>
                  <w:noWrap w:val="0"/>
                  <w:vAlign w:val="center"/>
                </w:tcPr>
                <w:p w14:paraId="2192BB7D">
                  <w:pPr>
                    <w:pStyle w:val="31"/>
                    <w:bidi w:val="0"/>
                    <w:rPr>
                      <w:rFonts w:hint="default" w:ascii="Times New Roman" w:hAnsi="Times New Roman" w:cs="Times New Roman"/>
                      <w:color w:val="000000"/>
                      <w:highlight w:val="none"/>
                      <w:lang w:val="en-US" w:eastAsia="zh-CN"/>
                    </w:rPr>
                  </w:pPr>
                </w:p>
              </w:tc>
              <w:tc>
                <w:tcPr>
                  <w:tcW w:w="306" w:type="pct"/>
                  <w:noWrap w:val="0"/>
                  <w:vAlign w:val="center"/>
                </w:tcPr>
                <w:p w14:paraId="2B2DF1B4">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60</w:t>
                  </w:r>
                </w:p>
              </w:tc>
              <w:tc>
                <w:tcPr>
                  <w:tcW w:w="306" w:type="pct"/>
                  <w:noWrap w:val="0"/>
                  <w:vAlign w:val="center"/>
                </w:tcPr>
                <w:p w14:paraId="4436A4E4">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50</w:t>
                  </w:r>
                </w:p>
              </w:tc>
              <w:tc>
                <w:tcPr>
                  <w:tcW w:w="306" w:type="pct"/>
                  <w:noWrap w:val="0"/>
                  <w:vAlign w:val="center"/>
                </w:tcPr>
                <w:p w14:paraId="48D0315A">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 xml:space="preserve">38.5 </w:t>
                  </w:r>
                </w:p>
              </w:tc>
              <w:tc>
                <w:tcPr>
                  <w:tcW w:w="306" w:type="pct"/>
                  <w:noWrap w:val="0"/>
                  <w:vAlign w:val="center"/>
                </w:tcPr>
                <w:p w14:paraId="145C69D6">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 xml:space="preserve">38.5 </w:t>
                  </w:r>
                </w:p>
              </w:tc>
              <w:tc>
                <w:tcPr>
                  <w:tcW w:w="306" w:type="pct"/>
                  <w:noWrap w:val="0"/>
                  <w:vAlign w:val="center"/>
                </w:tcPr>
                <w:p w14:paraId="2DEA00F8">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 xml:space="preserve">51.0 </w:t>
                  </w:r>
                </w:p>
              </w:tc>
              <w:tc>
                <w:tcPr>
                  <w:tcW w:w="306" w:type="pct"/>
                  <w:noWrap w:val="0"/>
                  <w:vAlign w:val="center"/>
                </w:tcPr>
                <w:p w14:paraId="5C848459">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 xml:space="preserve">47.4 </w:t>
                  </w:r>
                </w:p>
              </w:tc>
              <w:tc>
                <w:tcPr>
                  <w:tcW w:w="306" w:type="pct"/>
                  <w:noWrap w:val="0"/>
                  <w:vAlign w:val="center"/>
                </w:tcPr>
                <w:p w14:paraId="016FE8DE">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 xml:space="preserve">0.3 </w:t>
                  </w:r>
                </w:p>
              </w:tc>
              <w:tc>
                <w:tcPr>
                  <w:tcW w:w="306" w:type="pct"/>
                  <w:noWrap w:val="0"/>
                  <w:vAlign w:val="center"/>
                </w:tcPr>
                <w:p w14:paraId="219C4AE2">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 xml:space="preserve">0.5 </w:t>
                  </w:r>
                </w:p>
              </w:tc>
              <w:tc>
                <w:tcPr>
                  <w:tcW w:w="306" w:type="pct"/>
                  <w:noWrap w:val="0"/>
                  <w:vAlign w:val="center"/>
                </w:tcPr>
                <w:p w14:paraId="7F6001B3">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达标</w:t>
                  </w:r>
                </w:p>
              </w:tc>
              <w:tc>
                <w:tcPr>
                  <w:tcW w:w="306" w:type="pct"/>
                  <w:noWrap w:val="0"/>
                  <w:vAlign w:val="center"/>
                </w:tcPr>
                <w:p w14:paraId="5684B60B">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达标</w:t>
                  </w:r>
                </w:p>
              </w:tc>
            </w:tr>
            <w:tr w14:paraId="5A8306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6" w:type="pct"/>
                  <w:noWrap w:val="0"/>
                  <w:vAlign w:val="center"/>
                </w:tcPr>
                <w:p w14:paraId="3967A04F">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w:t>
                  </w:r>
                </w:p>
              </w:tc>
              <w:tc>
                <w:tcPr>
                  <w:tcW w:w="498" w:type="pct"/>
                  <w:noWrap w:val="0"/>
                  <w:vAlign w:val="center"/>
                </w:tcPr>
                <w:p w14:paraId="3E9F4EF7">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海亮村沃口（自然村）</w:t>
                  </w:r>
                </w:p>
              </w:tc>
              <w:tc>
                <w:tcPr>
                  <w:tcW w:w="770" w:type="dxa"/>
                  <w:noWrap w:val="0"/>
                  <w:vAlign w:val="center"/>
                </w:tcPr>
                <w:p w14:paraId="6E89B8FC">
                  <w:pPr>
                    <w:pStyle w:val="31"/>
                    <w:bidi w:val="0"/>
                    <w:rPr>
                      <w:rFonts w:hint="default" w:ascii="Times New Roman" w:hAnsi="Times New Roman" w:cs="Times New Roman"/>
                      <w:color w:val="000000"/>
                      <w:highlight w:val="none"/>
                      <w:lang w:val="en-US" w:eastAsia="zh-CN"/>
                    </w:rPr>
                  </w:pPr>
                </w:p>
              </w:tc>
              <w:tc>
                <w:tcPr>
                  <w:tcW w:w="770" w:type="dxa"/>
                  <w:noWrap w:val="0"/>
                  <w:vAlign w:val="center"/>
                </w:tcPr>
                <w:p w14:paraId="325F2CDE">
                  <w:pPr>
                    <w:pStyle w:val="31"/>
                    <w:bidi w:val="0"/>
                    <w:rPr>
                      <w:rFonts w:hint="default" w:ascii="Times New Roman" w:hAnsi="Times New Roman" w:cs="Times New Roman"/>
                      <w:color w:val="000000"/>
                      <w:highlight w:val="none"/>
                      <w:lang w:val="en-US" w:eastAsia="zh-CN"/>
                    </w:rPr>
                  </w:pPr>
                </w:p>
              </w:tc>
              <w:tc>
                <w:tcPr>
                  <w:tcW w:w="306" w:type="pct"/>
                  <w:noWrap w:val="0"/>
                  <w:vAlign w:val="center"/>
                </w:tcPr>
                <w:p w14:paraId="11933257">
                  <w:pPr>
                    <w:pStyle w:val="31"/>
                    <w:bidi w:val="0"/>
                    <w:rPr>
                      <w:rFonts w:hint="default" w:ascii="Times New Roman" w:hAnsi="Times New Roman" w:cs="Times New Roman"/>
                      <w:color w:val="000000"/>
                      <w:highlight w:val="none"/>
                      <w:lang w:val="en-US" w:eastAsia="zh-CN"/>
                    </w:rPr>
                  </w:pPr>
                </w:p>
              </w:tc>
              <w:tc>
                <w:tcPr>
                  <w:tcW w:w="306" w:type="pct"/>
                  <w:noWrap w:val="0"/>
                  <w:vAlign w:val="center"/>
                </w:tcPr>
                <w:p w14:paraId="4443C80F">
                  <w:pPr>
                    <w:pStyle w:val="31"/>
                    <w:bidi w:val="0"/>
                    <w:rPr>
                      <w:rFonts w:hint="default" w:ascii="Times New Roman" w:hAnsi="Times New Roman" w:cs="Times New Roman"/>
                      <w:color w:val="000000"/>
                      <w:highlight w:val="none"/>
                      <w:lang w:val="en-US" w:eastAsia="zh-CN"/>
                    </w:rPr>
                  </w:pPr>
                </w:p>
              </w:tc>
              <w:tc>
                <w:tcPr>
                  <w:tcW w:w="306" w:type="pct"/>
                  <w:noWrap w:val="0"/>
                  <w:vAlign w:val="center"/>
                </w:tcPr>
                <w:p w14:paraId="59FE36A5">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60</w:t>
                  </w:r>
                </w:p>
              </w:tc>
              <w:tc>
                <w:tcPr>
                  <w:tcW w:w="306" w:type="pct"/>
                  <w:noWrap w:val="0"/>
                  <w:vAlign w:val="center"/>
                </w:tcPr>
                <w:p w14:paraId="106D3435">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50</w:t>
                  </w:r>
                </w:p>
              </w:tc>
              <w:tc>
                <w:tcPr>
                  <w:tcW w:w="306" w:type="pct"/>
                  <w:noWrap w:val="0"/>
                  <w:vAlign w:val="center"/>
                </w:tcPr>
                <w:p w14:paraId="35B987CA">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 xml:space="preserve">38.5 </w:t>
                  </w:r>
                </w:p>
              </w:tc>
              <w:tc>
                <w:tcPr>
                  <w:tcW w:w="306" w:type="pct"/>
                  <w:noWrap w:val="0"/>
                  <w:vAlign w:val="center"/>
                </w:tcPr>
                <w:p w14:paraId="4D015B1E">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 xml:space="preserve">38.5 </w:t>
                  </w:r>
                </w:p>
              </w:tc>
              <w:tc>
                <w:tcPr>
                  <w:tcW w:w="306" w:type="pct"/>
                  <w:noWrap w:val="0"/>
                  <w:vAlign w:val="center"/>
                </w:tcPr>
                <w:p w14:paraId="07C02A2C">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 xml:space="preserve">49.9 </w:t>
                  </w:r>
                </w:p>
              </w:tc>
              <w:tc>
                <w:tcPr>
                  <w:tcW w:w="306" w:type="pct"/>
                  <w:noWrap w:val="0"/>
                  <w:vAlign w:val="center"/>
                </w:tcPr>
                <w:p w14:paraId="70EEAD76">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 xml:space="preserve">47.2 </w:t>
                  </w:r>
                </w:p>
              </w:tc>
              <w:tc>
                <w:tcPr>
                  <w:tcW w:w="306" w:type="pct"/>
                  <w:noWrap w:val="0"/>
                  <w:vAlign w:val="center"/>
                </w:tcPr>
                <w:p w14:paraId="429B8DFC">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 xml:space="preserve">0.3 </w:t>
                  </w:r>
                </w:p>
              </w:tc>
              <w:tc>
                <w:tcPr>
                  <w:tcW w:w="306" w:type="pct"/>
                  <w:noWrap w:val="0"/>
                  <w:vAlign w:val="center"/>
                </w:tcPr>
                <w:p w14:paraId="0A6A4529">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 xml:space="preserve">0.6 </w:t>
                  </w:r>
                </w:p>
              </w:tc>
              <w:tc>
                <w:tcPr>
                  <w:tcW w:w="306" w:type="pct"/>
                  <w:noWrap w:val="0"/>
                  <w:vAlign w:val="center"/>
                </w:tcPr>
                <w:p w14:paraId="1D057B05">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达标</w:t>
                  </w:r>
                </w:p>
              </w:tc>
              <w:tc>
                <w:tcPr>
                  <w:tcW w:w="306" w:type="pct"/>
                  <w:noWrap w:val="0"/>
                  <w:vAlign w:val="center"/>
                </w:tcPr>
                <w:p w14:paraId="3562E295">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达标</w:t>
                  </w:r>
                </w:p>
              </w:tc>
            </w:tr>
            <w:tr w14:paraId="329C55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6" w:type="pct"/>
                  <w:noWrap w:val="0"/>
                  <w:vAlign w:val="center"/>
                </w:tcPr>
                <w:p w14:paraId="0727A311">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3</w:t>
                  </w:r>
                </w:p>
              </w:tc>
              <w:tc>
                <w:tcPr>
                  <w:tcW w:w="498" w:type="pct"/>
                  <w:noWrap w:val="0"/>
                  <w:vAlign w:val="center"/>
                </w:tcPr>
                <w:p w14:paraId="2F6D8DAF">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沃口村民房</w:t>
                  </w:r>
                </w:p>
              </w:tc>
              <w:tc>
                <w:tcPr>
                  <w:tcW w:w="770" w:type="dxa"/>
                  <w:noWrap w:val="0"/>
                  <w:vAlign w:val="center"/>
                </w:tcPr>
                <w:p w14:paraId="3C0AF48A">
                  <w:pPr>
                    <w:pStyle w:val="31"/>
                    <w:bidi w:val="0"/>
                    <w:rPr>
                      <w:rFonts w:hint="default" w:ascii="Times New Roman" w:hAnsi="Times New Roman" w:cs="Times New Roman"/>
                      <w:color w:val="000000"/>
                      <w:highlight w:val="none"/>
                      <w:lang w:val="en-US" w:eastAsia="zh-CN"/>
                    </w:rPr>
                  </w:pPr>
                </w:p>
              </w:tc>
              <w:tc>
                <w:tcPr>
                  <w:tcW w:w="770" w:type="dxa"/>
                  <w:noWrap w:val="0"/>
                  <w:vAlign w:val="center"/>
                </w:tcPr>
                <w:p w14:paraId="0381FC24">
                  <w:pPr>
                    <w:pStyle w:val="31"/>
                    <w:bidi w:val="0"/>
                    <w:rPr>
                      <w:rFonts w:hint="default" w:ascii="Times New Roman" w:hAnsi="Times New Roman" w:cs="Times New Roman"/>
                      <w:color w:val="000000"/>
                      <w:highlight w:val="none"/>
                      <w:lang w:val="en-US" w:eastAsia="zh-CN"/>
                    </w:rPr>
                  </w:pPr>
                </w:p>
              </w:tc>
              <w:tc>
                <w:tcPr>
                  <w:tcW w:w="306" w:type="pct"/>
                  <w:noWrap w:val="0"/>
                  <w:vAlign w:val="center"/>
                </w:tcPr>
                <w:p w14:paraId="5CC7C561">
                  <w:pPr>
                    <w:pStyle w:val="31"/>
                    <w:bidi w:val="0"/>
                    <w:rPr>
                      <w:rFonts w:hint="default" w:ascii="Times New Roman" w:hAnsi="Times New Roman" w:cs="Times New Roman"/>
                      <w:color w:val="000000"/>
                      <w:highlight w:val="none"/>
                      <w:lang w:val="en-US" w:eastAsia="zh-CN"/>
                    </w:rPr>
                  </w:pPr>
                </w:p>
              </w:tc>
              <w:tc>
                <w:tcPr>
                  <w:tcW w:w="306" w:type="pct"/>
                  <w:noWrap w:val="0"/>
                  <w:vAlign w:val="center"/>
                </w:tcPr>
                <w:p w14:paraId="2DF7EDBC">
                  <w:pPr>
                    <w:pStyle w:val="31"/>
                    <w:bidi w:val="0"/>
                    <w:rPr>
                      <w:rFonts w:hint="default" w:ascii="Times New Roman" w:hAnsi="Times New Roman" w:cs="Times New Roman"/>
                      <w:color w:val="000000"/>
                      <w:highlight w:val="none"/>
                      <w:lang w:val="en-US" w:eastAsia="zh-CN"/>
                    </w:rPr>
                  </w:pPr>
                </w:p>
              </w:tc>
              <w:tc>
                <w:tcPr>
                  <w:tcW w:w="306" w:type="pct"/>
                  <w:noWrap w:val="0"/>
                  <w:vAlign w:val="center"/>
                </w:tcPr>
                <w:p w14:paraId="32B4BD07">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60</w:t>
                  </w:r>
                </w:p>
              </w:tc>
              <w:tc>
                <w:tcPr>
                  <w:tcW w:w="306" w:type="pct"/>
                  <w:noWrap w:val="0"/>
                  <w:vAlign w:val="center"/>
                </w:tcPr>
                <w:p w14:paraId="5DA3992C">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50</w:t>
                  </w:r>
                </w:p>
              </w:tc>
              <w:tc>
                <w:tcPr>
                  <w:tcW w:w="306" w:type="pct"/>
                  <w:noWrap w:val="0"/>
                  <w:vAlign w:val="center"/>
                </w:tcPr>
                <w:p w14:paraId="5445E6AD">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 xml:space="preserve">38.5 </w:t>
                  </w:r>
                </w:p>
              </w:tc>
              <w:tc>
                <w:tcPr>
                  <w:tcW w:w="306" w:type="pct"/>
                  <w:noWrap w:val="0"/>
                  <w:vAlign w:val="center"/>
                </w:tcPr>
                <w:p w14:paraId="1602AE22">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 xml:space="preserve">38.5 </w:t>
                  </w:r>
                </w:p>
              </w:tc>
              <w:tc>
                <w:tcPr>
                  <w:tcW w:w="306" w:type="pct"/>
                  <w:noWrap w:val="0"/>
                  <w:vAlign w:val="center"/>
                </w:tcPr>
                <w:p w14:paraId="12011FDF">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 xml:space="preserve">50.6 </w:t>
                  </w:r>
                </w:p>
              </w:tc>
              <w:tc>
                <w:tcPr>
                  <w:tcW w:w="306" w:type="pct"/>
                  <w:noWrap w:val="0"/>
                  <w:vAlign w:val="center"/>
                </w:tcPr>
                <w:p w14:paraId="4BB3F7B0">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 xml:space="preserve">46.1 </w:t>
                  </w:r>
                </w:p>
              </w:tc>
              <w:tc>
                <w:tcPr>
                  <w:tcW w:w="306" w:type="pct"/>
                  <w:noWrap w:val="0"/>
                  <w:vAlign w:val="center"/>
                </w:tcPr>
                <w:p w14:paraId="48ADDDFB">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 xml:space="preserve">0.3 </w:t>
                  </w:r>
                </w:p>
              </w:tc>
              <w:tc>
                <w:tcPr>
                  <w:tcW w:w="306" w:type="pct"/>
                  <w:noWrap w:val="0"/>
                  <w:vAlign w:val="center"/>
                </w:tcPr>
                <w:p w14:paraId="22C93A0E">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 xml:space="preserve">0.8 </w:t>
                  </w:r>
                </w:p>
              </w:tc>
              <w:tc>
                <w:tcPr>
                  <w:tcW w:w="306" w:type="pct"/>
                  <w:noWrap w:val="0"/>
                  <w:vAlign w:val="center"/>
                </w:tcPr>
                <w:p w14:paraId="6014BE94">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达标</w:t>
                  </w:r>
                </w:p>
              </w:tc>
              <w:tc>
                <w:tcPr>
                  <w:tcW w:w="306" w:type="pct"/>
                  <w:noWrap w:val="0"/>
                  <w:vAlign w:val="center"/>
                </w:tcPr>
                <w:p w14:paraId="6F5DC0BE">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达标</w:t>
                  </w:r>
                </w:p>
              </w:tc>
            </w:tr>
          </w:tbl>
          <w:p w14:paraId="776D120B">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lang w:val="en-US" w:eastAsia="zh-CN"/>
              </w:rPr>
            </w:pPr>
          </w:p>
          <w:p w14:paraId="334D2E99">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lang w:val="en-US" w:eastAsia="zh-CN"/>
              </w:rPr>
            </w:pPr>
          </w:p>
          <w:p w14:paraId="41D8F2E0">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lang w:val="en-US" w:eastAsia="zh-CN"/>
              </w:rPr>
            </w:pPr>
          </w:p>
          <w:p w14:paraId="2C3DCB4A">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lang w:val="en-US" w:eastAsia="zh-CN"/>
              </w:rPr>
            </w:pPr>
          </w:p>
          <w:p w14:paraId="57AD9904">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lang w:val="en-US" w:eastAsia="zh-CN"/>
              </w:rPr>
            </w:pPr>
          </w:p>
          <w:p w14:paraId="260C9321">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lang w:val="en-US" w:eastAsia="zh-CN"/>
              </w:rPr>
            </w:pPr>
          </w:p>
          <w:p w14:paraId="43BAED5A">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lang w:val="en-US" w:eastAsia="zh-CN"/>
              </w:rPr>
            </w:pPr>
          </w:p>
          <w:p w14:paraId="602C8131">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lang w:val="en-US" w:eastAsia="zh-CN"/>
              </w:rPr>
            </w:pPr>
          </w:p>
          <w:p w14:paraId="6EBE7C9A">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lang w:val="en-US" w:eastAsia="zh-CN"/>
              </w:rPr>
            </w:pPr>
          </w:p>
          <w:p w14:paraId="2AD92E44">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lang w:val="en-US" w:eastAsia="zh-CN"/>
              </w:rPr>
            </w:pPr>
          </w:p>
          <w:p w14:paraId="6F566D3D">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color w:val="000000"/>
                <w:highlight w:val="none"/>
                <w:lang w:val="en-US" w:eastAsia="zh-CN"/>
              </w:rPr>
            </w:pPr>
          </w:p>
        </w:tc>
      </w:tr>
    </w:tbl>
    <w:p w14:paraId="20763E1F">
      <w:pPr>
        <w:jc w:val="center"/>
        <w:rPr>
          <w:rFonts w:hint="default" w:ascii="Times New Roman" w:hAnsi="Times New Roman" w:eastAsia="黑体" w:cs="Times New Roman"/>
          <w:snapToGrid w:val="0"/>
          <w:color w:val="000000"/>
          <w:sz w:val="36"/>
          <w:szCs w:val="36"/>
          <w:u w:val="none"/>
        </w:rPr>
        <w:sectPr>
          <w:pgSz w:w="16838" w:h="11906" w:orient="landscape"/>
          <w:pgMar w:top="1531" w:right="1701" w:bottom="1531" w:left="1701" w:header="851" w:footer="1077" w:gutter="0"/>
          <w:pgNumType w:fmt="decimal"/>
          <w:cols w:space="720" w:num="1"/>
          <w:docGrid w:linePitch="312" w:charSpace="0"/>
        </w:sectPr>
      </w:pPr>
    </w:p>
    <w:tbl>
      <w:tblPr>
        <w:tblStyle w:val="21"/>
        <w:tblW w:w="924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8" w:type="dxa"/>
          <w:left w:w="108" w:type="dxa"/>
          <w:bottom w:w="108" w:type="dxa"/>
          <w:right w:w="108" w:type="dxa"/>
        </w:tblCellMar>
      </w:tblPr>
      <w:tblGrid>
        <w:gridCol w:w="783"/>
        <w:gridCol w:w="8459"/>
      </w:tblGrid>
      <w:tr w14:paraId="6CB0B5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8" w:type="dxa"/>
            <w:left w:w="108" w:type="dxa"/>
            <w:bottom w:w="108" w:type="dxa"/>
            <w:right w:w="108" w:type="dxa"/>
          </w:tblCellMar>
        </w:tblPrEx>
        <w:trPr>
          <w:trHeight w:val="3931" w:hRule="atLeast"/>
          <w:jc w:val="center"/>
        </w:trPr>
        <w:tc>
          <w:tcPr>
            <w:tcW w:w="783" w:type="dxa"/>
            <w:noWrap w:val="0"/>
            <w:vAlign w:val="center"/>
          </w:tcPr>
          <w:p w14:paraId="26C8E8D4">
            <w:pPr>
              <w:adjustRightInd w:val="0"/>
              <w:snapToGrid w:val="0"/>
              <w:spacing w:before="0" w:beforeAutospacing="0" w:after="0" w:afterAutospacing="0" w:line="360" w:lineRule="auto"/>
              <w:jc w:val="center"/>
              <w:rPr>
                <w:rFonts w:hint="default" w:ascii="Times New Roman" w:hAnsi="Times New Roman" w:cs="Times New Roman"/>
                <w:bCs/>
                <w:color w:val="000000"/>
                <w:kern w:val="2"/>
                <w:sz w:val="24"/>
                <w:szCs w:val="24"/>
                <w:u w:val="none"/>
              </w:rPr>
            </w:pPr>
            <w:r>
              <w:rPr>
                <w:rFonts w:hint="default" w:ascii="Times New Roman" w:hAnsi="Times New Roman" w:cs="Times New Roman"/>
                <w:bCs/>
                <w:color w:val="000000"/>
                <w:spacing w:val="10"/>
                <w:kern w:val="2"/>
                <w:sz w:val="24"/>
                <w:szCs w:val="24"/>
                <w:u w:val="none"/>
              </w:rPr>
              <w:t>运营期生态环境影响分析</w:t>
            </w:r>
          </w:p>
        </w:tc>
        <w:tc>
          <w:tcPr>
            <w:tcW w:w="8459" w:type="dxa"/>
            <w:noWrap w:val="0"/>
            <w:vAlign w:val="top"/>
          </w:tcPr>
          <w:p w14:paraId="67CA8671">
            <w:pPr>
              <w:pStyle w:val="5"/>
              <w:tabs>
                <w:tab w:val="left" w:pos="0"/>
              </w:tabs>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船舶、运输车辆噪声影响分析</w:t>
            </w:r>
          </w:p>
          <w:p w14:paraId="7AB44AFB">
            <w:pPr>
              <w:ind w:firstLine="480" w:firstLineChars="200"/>
              <w:rPr>
                <w:rFonts w:hint="default" w:ascii="Times New Roman" w:hAnsi="Times New Roman" w:cs="Times New Roman"/>
                <w:color w:val="000000"/>
                <w:highlight w:val="none"/>
              </w:rPr>
            </w:pPr>
            <w:r>
              <w:rPr>
                <w:rFonts w:hint="default" w:ascii="Times New Roman" w:hAnsi="Times New Roman" w:cs="Times New Roman"/>
                <w:color w:val="000000"/>
                <w:highlight w:val="none"/>
              </w:rPr>
              <w:t>根据同类码头实测资料，停靠码头的船舶其轮机噪声在离船1m处的等效声级最大值为78dB（A），离船38m处可衰减至50dB（A），满足《工业企业厂界环境噪声排放标准》（GB12348-2008）中</w:t>
            </w:r>
            <w:r>
              <w:rPr>
                <w:rFonts w:hint="default" w:ascii="Times New Roman" w:hAnsi="Times New Roman" w:cs="Times New Roman"/>
                <w:color w:val="000000"/>
                <w:highlight w:val="none"/>
                <w:lang w:val="en-US" w:eastAsia="zh-CN"/>
              </w:rPr>
              <w:t>2</w:t>
            </w:r>
            <w:r>
              <w:rPr>
                <w:rFonts w:hint="default" w:ascii="Times New Roman" w:hAnsi="Times New Roman" w:cs="Times New Roman"/>
                <w:color w:val="000000"/>
                <w:highlight w:val="none"/>
              </w:rPr>
              <w:t>类标准值要求。由于</w:t>
            </w:r>
            <w:r>
              <w:rPr>
                <w:rFonts w:hint="default" w:ascii="Times New Roman" w:hAnsi="Times New Roman" w:cs="Times New Roman"/>
                <w:color w:val="000000"/>
                <w:highlight w:val="none"/>
                <w:lang w:val="en-US" w:eastAsia="zh-CN"/>
              </w:rPr>
              <w:t>本次新建</w:t>
            </w:r>
            <w:r>
              <w:rPr>
                <w:rFonts w:hint="default" w:ascii="Times New Roman" w:hAnsi="Times New Roman" w:cs="Times New Roman"/>
                <w:color w:val="000000"/>
                <w:highlight w:val="none"/>
              </w:rPr>
              <w:t>码头泊位距离周边居民区</w:t>
            </w:r>
            <w:r>
              <w:rPr>
                <w:rFonts w:hint="default" w:ascii="Times New Roman" w:hAnsi="Times New Roman" w:cs="Times New Roman"/>
                <w:color w:val="000000"/>
                <w:highlight w:val="none"/>
                <w:lang w:val="en-US" w:eastAsia="zh-CN"/>
              </w:rPr>
              <w:t>最近距离约493m</w:t>
            </w:r>
            <w:r>
              <w:rPr>
                <w:rFonts w:hint="default" w:ascii="Times New Roman" w:hAnsi="Times New Roman" w:cs="Times New Roman"/>
                <w:color w:val="000000"/>
                <w:highlight w:val="none"/>
              </w:rPr>
              <w:t>，船舶噪声对港界外声环境基本没有影响。</w:t>
            </w:r>
          </w:p>
          <w:p w14:paraId="22A1C43D">
            <w:pPr>
              <w:ind w:firstLine="480" w:firstLineChars="200"/>
              <w:rPr>
                <w:rFonts w:hint="default" w:ascii="Times New Roman" w:hAnsi="Times New Roman" w:cs="Times New Roman"/>
                <w:color w:val="000000"/>
                <w:highlight w:val="none"/>
              </w:rPr>
            </w:pPr>
            <w:r>
              <w:rPr>
                <w:rFonts w:hint="default" w:ascii="Times New Roman" w:hAnsi="Times New Roman" w:cs="Times New Roman"/>
                <w:color w:val="000000"/>
                <w:highlight w:val="none"/>
              </w:rPr>
              <w:t>运输车辆噪声仅在进出港时对沿路居民产生影响，但影响是暂时的，随着车辆的远离，噪声影响也随之消失，要求港区加强管理，建议车辆经过居民区时减速慢行，禁鸣喇叭，将车辆行驶噪声影响降到最小。</w:t>
            </w:r>
          </w:p>
          <w:p w14:paraId="0E1B2C95">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rPr>
              <w:t>综上所述，运营期噪声主要为装卸机械噪声和船舶、运输车辆噪声</w:t>
            </w:r>
            <w:r>
              <w:rPr>
                <w:rFonts w:hint="eastAsia" w:cs="Times New Roman"/>
                <w:color w:val="000000"/>
                <w:highlight w:val="none"/>
                <w:lang w:eastAsia="zh-CN"/>
              </w:rPr>
              <w:t>且</w:t>
            </w:r>
            <w:r>
              <w:rPr>
                <w:rFonts w:hint="default" w:ascii="Times New Roman" w:hAnsi="Times New Roman" w:cs="Times New Roman"/>
                <w:color w:val="000000"/>
                <w:highlight w:val="none"/>
              </w:rPr>
              <w:t>仅在渔船到港时，车辆进出港时才</w:t>
            </w:r>
            <w:r>
              <w:rPr>
                <w:rFonts w:hint="default" w:ascii="Times New Roman" w:hAnsi="Times New Roman" w:cs="Times New Roman"/>
                <w:color w:val="000000"/>
                <w:highlight w:val="none"/>
                <w:lang w:val="en-US" w:eastAsia="zh-CN"/>
              </w:rPr>
              <w:t>产生</w:t>
            </w:r>
            <w:r>
              <w:rPr>
                <w:rFonts w:hint="default" w:ascii="Times New Roman" w:hAnsi="Times New Roman" w:cs="Times New Roman"/>
                <w:color w:val="000000"/>
                <w:highlight w:val="none"/>
              </w:rPr>
              <w:t>，其余时间基本没有较强的噪声源。本次</w:t>
            </w:r>
            <w:r>
              <w:rPr>
                <w:rFonts w:hint="default" w:ascii="Times New Roman" w:hAnsi="Times New Roman" w:cs="Times New Roman"/>
                <w:color w:val="000000"/>
                <w:highlight w:val="none"/>
                <w:lang w:val="en-US" w:eastAsia="zh-CN"/>
              </w:rPr>
              <w:t>新建码头</w:t>
            </w:r>
            <w:r>
              <w:rPr>
                <w:rFonts w:hint="default" w:ascii="Times New Roman" w:hAnsi="Times New Roman" w:cs="Times New Roman"/>
                <w:color w:val="000000"/>
                <w:highlight w:val="none"/>
              </w:rPr>
              <w:t>距离</w:t>
            </w:r>
            <w:r>
              <w:rPr>
                <w:rFonts w:hint="default" w:ascii="Times New Roman" w:hAnsi="Times New Roman" w:cs="Times New Roman"/>
                <w:color w:val="000000"/>
                <w:highlight w:val="none"/>
                <w:lang w:val="en-US" w:eastAsia="zh-CN"/>
              </w:rPr>
              <w:t>周边</w:t>
            </w:r>
            <w:r>
              <w:rPr>
                <w:rFonts w:hint="default" w:ascii="Times New Roman" w:hAnsi="Times New Roman" w:cs="Times New Roman"/>
                <w:color w:val="000000"/>
                <w:highlight w:val="none"/>
              </w:rPr>
              <w:t>居民区较远，最近距离约</w:t>
            </w:r>
            <w:r>
              <w:rPr>
                <w:rFonts w:hint="default" w:ascii="Times New Roman" w:hAnsi="Times New Roman" w:cs="Times New Roman"/>
                <w:color w:val="000000"/>
                <w:highlight w:val="none"/>
                <w:lang w:val="en-US" w:eastAsia="zh-CN"/>
              </w:rPr>
              <w:t>493</w:t>
            </w:r>
            <w:r>
              <w:rPr>
                <w:rFonts w:hint="default" w:ascii="Times New Roman" w:hAnsi="Times New Roman" w:cs="Times New Roman"/>
                <w:color w:val="000000"/>
                <w:highlight w:val="none"/>
              </w:rPr>
              <w:t>米，装卸机械噪声经衰减后对</w:t>
            </w:r>
            <w:r>
              <w:rPr>
                <w:rFonts w:hint="default" w:ascii="Times New Roman" w:hAnsi="Times New Roman" w:cs="Times New Roman"/>
                <w:color w:val="000000"/>
                <w:highlight w:val="none"/>
                <w:lang w:val="en-US" w:eastAsia="zh-CN"/>
              </w:rPr>
              <w:t>居民区</w:t>
            </w:r>
            <w:r>
              <w:rPr>
                <w:rFonts w:hint="default" w:ascii="Times New Roman" w:hAnsi="Times New Roman" w:cs="Times New Roman"/>
                <w:color w:val="000000"/>
                <w:highlight w:val="none"/>
              </w:rPr>
              <w:t>影响较小。</w:t>
            </w:r>
            <w:r>
              <w:rPr>
                <w:rFonts w:hint="default" w:ascii="Times New Roman" w:hAnsi="Times New Roman" w:cs="Times New Roman"/>
                <w:color w:val="000000"/>
                <w:highlight w:val="none"/>
                <w:lang w:val="en-US" w:eastAsia="zh-CN"/>
              </w:rPr>
              <w:t>因此，本项目扩建后对周边声环境影响较小。</w:t>
            </w:r>
          </w:p>
          <w:p w14:paraId="439C9B83">
            <w:pPr>
              <w:pStyle w:val="4"/>
              <w:bidi w:val="0"/>
              <w:rPr>
                <w:rFonts w:hint="default" w:ascii="Times New Roman" w:hAnsi="Times New Roman" w:cs="Times New Roman"/>
                <w:color w:val="000000"/>
                <w:highlight w:val="none"/>
              </w:rPr>
            </w:pPr>
            <w:bookmarkStart w:id="402" w:name="_Toc30749"/>
            <w:bookmarkStart w:id="403" w:name="_Toc8654"/>
            <w:r>
              <w:rPr>
                <w:rFonts w:hint="default" w:ascii="Times New Roman" w:hAnsi="Times New Roman" w:cs="Times New Roman"/>
                <w:color w:val="000000"/>
                <w:highlight w:val="none"/>
                <w:lang w:val="en-US" w:eastAsia="zh-CN"/>
              </w:rPr>
              <w:t>运营期固体废物影响分析</w:t>
            </w:r>
            <w:bookmarkEnd w:id="402"/>
            <w:bookmarkEnd w:id="403"/>
          </w:p>
          <w:p w14:paraId="2DC348F8">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（1）固体废物产生量</w:t>
            </w:r>
          </w:p>
          <w:p w14:paraId="453310CC">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根据工程分析，</w:t>
            </w:r>
            <w:r>
              <w:rPr>
                <w:rFonts w:hint="default" w:ascii="Times New Roman" w:hAnsi="Times New Roman" w:cs="Times New Roman"/>
                <w:color w:val="000000"/>
                <w:highlight w:val="none"/>
                <w:lang w:val="en-US" w:eastAsia="zh-CN"/>
              </w:rPr>
              <w:t>本次扩建工程</w:t>
            </w:r>
            <w:r>
              <w:rPr>
                <w:rFonts w:hint="default" w:ascii="Times New Roman" w:hAnsi="Times New Roman" w:cs="Times New Roman"/>
                <w:color w:val="000000"/>
                <w:highlight w:val="none"/>
              </w:rPr>
              <w:t>运营期固体废物</w:t>
            </w:r>
            <w:r>
              <w:rPr>
                <w:rFonts w:hint="default" w:ascii="Times New Roman" w:hAnsi="Times New Roman" w:cs="Times New Roman"/>
                <w:color w:val="000000"/>
                <w:highlight w:val="none"/>
                <w:lang w:val="en-US" w:eastAsia="zh-CN"/>
              </w:rPr>
              <w:t>主要包括港区生产固废、港区生活垃圾、船舶垃圾、污水处理设施污泥</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港区生产固废主要为渔产品废弃物，</w:t>
            </w:r>
            <w:r>
              <w:rPr>
                <w:rFonts w:hint="default" w:ascii="Times New Roman" w:hAnsi="Times New Roman" w:cs="Times New Roman"/>
                <w:color w:val="000000"/>
                <w:highlight w:val="none"/>
              </w:rPr>
              <w:t>产生量为</w:t>
            </w:r>
            <w:r>
              <w:rPr>
                <w:rFonts w:hint="default" w:ascii="Times New Roman" w:hAnsi="Times New Roman" w:cs="Times New Roman"/>
                <w:b w:val="0"/>
                <w:bCs w:val="0"/>
                <w:color w:val="000000"/>
                <w:highlight w:val="none"/>
                <w:lang w:val="en-US" w:eastAsia="zh-CN"/>
              </w:rPr>
              <w:t>188.4kg/d</w:t>
            </w:r>
            <w:r>
              <w:rPr>
                <w:rFonts w:hint="default" w:ascii="Times New Roman" w:hAnsi="Times New Roman" w:cs="Times New Roman"/>
                <w:color w:val="000000"/>
                <w:highlight w:val="none"/>
              </w:rPr>
              <w:t>，生活垃圾产生量为</w:t>
            </w:r>
            <w:r>
              <w:rPr>
                <w:rFonts w:hint="default" w:ascii="Times New Roman" w:hAnsi="Times New Roman" w:cs="Times New Roman"/>
                <w:b w:val="0"/>
                <w:bCs w:val="0"/>
                <w:color w:val="000000"/>
                <w:highlight w:val="none"/>
                <w:lang w:val="en-US" w:eastAsia="zh-CN"/>
              </w:rPr>
              <w:t>324kg</w:t>
            </w:r>
            <w:r>
              <w:rPr>
                <w:rFonts w:hint="default" w:ascii="Times New Roman" w:hAnsi="Times New Roman" w:cs="Times New Roman"/>
                <w:b w:val="0"/>
                <w:bCs w:val="0"/>
                <w:color w:val="000000"/>
                <w:highlight w:val="none"/>
                <w:lang w:eastAsia="zh-CN"/>
              </w:rPr>
              <w:t>/d</w:t>
            </w:r>
            <w:r>
              <w:rPr>
                <w:rFonts w:hint="default" w:ascii="Times New Roman" w:hAnsi="Times New Roman" w:cs="Times New Roman"/>
                <w:color w:val="000000"/>
                <w:highlight w:val="none"/>
              </w:rPr>
              <w:t>，到港船舶</w:t>
            </w:r>
            <w:r>
              <w:rPr>
                <w:rFonts w:hint="default" w:ascii="Times New Roman" w:hAnsi="Times New Roman" w:cs="Times New Roman"/>
                <w:color w:val="000000"/>
                <w:highlight w:val="none"/>
                <w:lang w:val="en-US" w:eastAsia="zh-CN"/>
              </w:rPr>
              <w:t>生活垃圾产生量约为183kg</w:t>
            </w:r>
            <w:r>
              <w:rPr>
                <w:rFonts w:hint="default" w:ascii="Times New Roman" w:hAnsi="Times New Roman" w:cs="Times New Roman"/>
                <w:color w:val="000000"/>
                <w:highlight w:val="none"/>
                <w:lang w:eastAsia="zh-CN"/>
              </w:rPr>
              <w:t>/d</w:t>
            </w:r>
            <w:r>
              <w:rPr>
                <w:rFonts w:hint="default" w:ascii="Times New Roman" w:hAnsi="Times New Roman" w:cs="Times New Roman"/>
                <w:color w:val="000000"/>
                <w:highlight w:val="none"/>
              </w:rPr>
              <w:t>，污水处理设施污泥产生量为</w:t>
            </w:r>
            <w:r>
              <w:rPr>
                <w:rFonts w:hint="default" w:ascii="Times New Roman" w:hAnsi="Times New Roman" w:cs="Times New Roman"/>
                <w:color w:val="000000"/>
                <w:highlight w:val="none"/>
                <w:lang w:val="en-US" w:eastAsia="zh-CN"/>
              </w:rPr>
              <w:t>49.51</w:t>
            </w:r>
            <w:r>
              <w:rPr>
                <w:rFonts w:hint="default" w:ascii="Times New Roman" w:hAnsi="Times New Roman" w:cs="Times New Roman"/>
                <w:color w:val="000000"/>
                <w:highlight w:val="none"/>
              </w:rPr>
              <w:t>kg/d，船舶不在港区维修保养，无船舶维修保养固废产生。</w:t>
            </w:r>
          </w:p>
          <w:p w14:paraId="1487D98B">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扩建后全港区固体废物产生量为：港区生活垃圾328.5kg</w:t>
            </w:r>
            <w:r>
              <w:rPr>
                <w:rFonts w:hint="default" w:ascii="Times New Roman" w:hAnsi="Times New Roman" w:cs="Times New Roman"/>
                <w:color w:val="000000"/>
                <w:highlight w:val="none"/>
                <w:lang w:eastAsia="zh-CN"/>
              </w:rPr>
              <w:t>/d、</w:t>
            </w:r>
            <w:r>
              <w:rPr>
                <w:rFonts w:hint="default" w:ascii="Times New Roman" w:hAnsi="Times New Roman" w:cs="Times New Roman"/>
                <w:color w:val="000000"/>
                <w:highlight w:val="none"/>
                <w:lang w:val="en-US" w:eastAsia="zh-CN"/>
              </w:rPr>
              <w:t>船舶垃圾861kg</w:t>
            </w:r>
            <w:r>
              <w:rPr>
                <w:rFonts w:hint="default" w:ascii="Times New Roman" w:hAnsi="Times New Roman" w:cs="Times New Roman"/>
                <w:color w:val="000000"/>
                <w:highlight w:val="none"/>
                <w:lang w:eastAsia="zh-CN"/>
              </w:rPr>
              <w:t>/d、</w:t>
            </w:r>
            <w:r>
              <w:rPr>
                <w:rFonts w:hint="default" w:ascii="Times New Roman" w:hAnsi="Times New Roman" w:cs="Times New Roman"/>
                <w:color w:val="000000"/>
                <w:highlight w:val="none"/>
                <w:lang w:val="en-US" w:eastAsia="zh-CN"/>
              </w:rPr>
              <w:t>港区生产固废320.4kg</w:t>
            </w:r>
            <w:r>
              <w:rPr>
                <w:rFonts w:hint="default" w:ascii="Times New Roman" w:hAnsi="Times New Roman" w:cs="Times New Roman"/>
                <w:color w:val="000000"/>
                <w:highlight w:val="none"/>
                <w:lang w:eastAsia="zh-CN"/>
              </w:rPr>
              <w:t>/d、</w:t>
            </w:r>
            <w:r>
              <w:rPr>
                <w:rFonts w:hint="default" w:ascii="Times New Roman" w:hAnsi="Times New Roman" w:cs="Times New Roman"/>
                <w:color w:val="000000"/>
                <w:highlight w:val="none"/>
                <w:lang w:val="en-US" w:eastAsia="zh-CN"/>
              </w:rPr>
              <w:t>污水处理设施污泥57.06</w:t>
            </w:r>
            <w:r>
              <w:rPr>
                <w:rFonts w:hint="default" w:ascii="Times New Roman" w:hAnsi="Times New Roman" w:cs="Times New Roman"/>
                <w:color w:val="000000"/>
                <w:highlight w:val="none"/>
              </w:rPr>
              <w:t>kg/d</w:t>
            </w:r>
            <w:r>
              <w:rPr>
                <w:rFonts w:hint="default" w:ascii="Times New Roman" w:hAnsi="Times New Roman" w:cs="Times New Roman"/>
                <w:color w:val="000000"/>
                <w:highlight w:val="none"/>
                <w:lang w:eastAsia="zh-CN"/>
              </w:rPr>
              <w:t>。</w:t>
            </w:r>
          </w:p>
          <w:p w14:paraId="5E154423">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（2）固体废物对环境影响分析</w:t>
            </w:r>
          </w:p>
          <w:p w14:paraId="7C115702">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本工程营运后的固体废物如不进行妥善处理，将会对海域和陆域环境造成不良的影响。进入海域的垃圾聚集于港口、滩涂时，不仅严重影响环境美观，破坏岸边卫生，同时还会损害船壳、螺旋桨等，造成船舶事故隐患，影响生产。固体废物沉入海底</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也会造成海域和滩涂底质的污染。垃圾在水中浸泡，会产生有害物质，破坏水生生态。</w:t>
            </w:r>
          </w:p>
          <w:p w14:paraId="42A03C60">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港区生活垃圾和</w:t>
            </w:r>
            <w:r>
              <w:rPr>
                <w:rFonts w:hint="default" w:ascii="Times New Roman" w:hAnsi="Times New Roman" w:cs="Times New Roman"/>
                <w:color w:val="000000"/>
                <w:highlight w:val="none"/>
                <w:lang w:val="en-US" w:eastAsia="zh-CN"/>
              </w:rPr>
              <w:t>渔货</w:t>
            </w:r>
            <w:r>
              <w:rPr>
                <w:rFonts w:hint="default" w:ascii="Times New Roman" w:hAnsi="Times New Roman" w:cs="Times New Roman"/>
                <w:color w:val="000000"/>
                <w:highlight w:val="none"/>
              </w:rPr>
              <w:t>交易过</w:t>
            </w:r>
            <w:r>
              <w:rPr>
                <w:rFonts w:hint="default" w:ascii="Times New Roman" w:hAnsi="Times New Roman" w:cs="Times New Roman"/>
                <w:color w:val="000000"/>
                <w:highlight w:val="none"/>
                <w:lang w:eastAsia="zh-CN"/>
              </w:rPr>
              <w:t>程中</w:t>
            </w:r>
            <w:r>
              <w:rPr>
                <w:rFonts w:hint="default" w:ascii="Times New Roman" w:hAnsi="Times New Roman" w:cs="Times New Roman"/>
                <w:color w:val="000000"/>
                <w:highlight w:val="none"/>
              </w:rPr>
              <w:t>产生的渔产品废弃物</w:t>
            </w:r>
            <w:r>
              <w:rPr>
                <w:rFonts w:hint="default" w:ascii="Times New Roman" w:hAnsi="Times New Roman" w:cs="Times New Roman"/>
                <w:color w:val="000000"/>
                <w:highlight w:val="none"/>
                <w:lang w:val="en-US" w:eastAsia="zh-CN"/>
              </w:rPr>
              <w:t>如果未妥善处理</w:t>
            </w:r>
            <w:r>
              <w:rPr>
                <w:rFonts w:hint="default" w:ascii="Times New Roman" w:hAnsi="Times New Roman" w:cs="Times New Roman"/>
                <w:color w:val="000000"/>
                <w:highlight w:val="none"/>
              </w:rPr>
              <w:t>，首先会影响码头形象；其次垃圾中有机物比例较高，极易腐败，散发出氨、硫化氢、硫醇类气体，具有恶臭和毒性，影响周围生态环境</w:t>
            </w:r>
            <w:r>
              <w:rPr>
                <w:rFonts w:hint="default" w:ascii="Times New Roman" w:hAnsi="Times New Roman" w:cs="Times New Roman"/>
                <w:color w:val="000000"/>
                <w:highlight w:val="none"/>
                <w:lang w:val="en-US" w:eastAsia="zh-CN"/>
              </w:rPr>
              <w:t>和人体</w:t>
            </w:r>
            <w:r>
              <w:rPr>
                <w:rFonts w:hint="default" w:ascii="Times New Roman" w:hAnsi="Times New Roman" w:cs="Times New Roman"/>
                <w:color w:val="000000"/>
                <w:highlight w:val="none"/>
              </w:rPr>
              <w:t>健康；此外，垃圾堆</w:t>
            </w:r>
            <w:r>
              <w:rPr>
                <w:rFonts w:hint="default" w:ascii="Times New Roman" w:hAnsi="Times New Roman" w:cs="Times New Roman"/>
                <w:color w:val="000000"/>
                <w:highlight w:val="none"/>
                <w:lang w:val="en-US" w:eastAsia="zh-CN"/>
              </w:rPr>
              <w:t>放</w:t>
            </w:r>
            <w:r>
              <w:rPr>
                <w:rFonts w:hint="default" w:ascii="Times New Roman" w:hAnsi="Times New Roman" w:cs="Times New Roman"/>
                <w:color w:val="000000"/>
                <w:highlight w:val="none"/>
              </w:rPr>
              <w:t>极易产生病菌，</w:t>
            </w:r>
            <w:r>
              <w:rPr>
                <w:rFonts w:hint="default" w:ascii="Times New Roman" w:hAnsi="Times New Roman" w:cs="Times New Roman"/>
                <w:color w:val="000000"/>
                <w:highlight w:val="none"/>
                <w:lang w:eastAsia="zh-CN"/>
              </w:rPr>
              <w:t>滋生</w:t>
            </w:r>
            <w:r>
              <w:rPr>
                <w:rFonts w:hint="default" w:ascii="Times New Roman" w:hAnsi="Times New Roman" w:cs="Times New Roman"/>
                <w:color w:val="000000"/>
                <w:highlight w:val="none"/>
              </w:rPr>
              <w:t>蚊蝇，成为传播疾病的源头。</w:t>
            </w:r>
          </w:p>
          <w:p w14:paraId="46C89B3D">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船舶生活垃圾可能携带致病源生物进港</w:t>
            </w:r>
            <w:r>
              <w:rPr>
                <w:rFonts w:hint="eastAsia" w:cs="Times New Roman"/>
                <w:color w:val="000000"/>
                <w:highlight w:val="none"/>
                <w:lang w:eastAsia="zh-CN"/>
              </w:rPr>
              <w:t>且</w:t>
            </w:r>
            <w:r>
              <w:rPr>
                <w:rFonts w:hint="default" w:ascii="Times New Roman" w:hAnsi="Times New Roman" w:cs="Times New Roman"/>
                <w:color w:val="000000"/>
                <w:highlight w:val="none"/>
              </w:rPr>
              <w:t>其成分复杂，如果直接弃于海域，不仅会影响海洋生物的生态环境，而且将通过食物链危害人体健康。</w:t>
            </w:r>
          </w:p>
          <w:p w14:paraId="724A4663">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（3）建议建设单位对上述固体废物采取如下处理方式：</w:t>
            </w:r>
          </w:p>
          <w:p w14:paraId="0872EC96">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①</w:t>
            </w:r>
            <w:r>
              <w:rPr>
                <w:rFonts w:hint="default" w:ascii="Times New Roman" w:hAnsi="Times New Roman" w:cs="Times New Roman"/>
                <w:color w:val="000000"/>
                <w:highlight w:val="none"/>
                <w:lang w:val="en-US" w:eastAsia="zh-CN"/>
              </w:rPr>
              <w:t>港区陆域</w:t>
            </w:r>
            <w:r>
              <w:rPr>
                <w:rFonts w:hint="default" w:ascii="Times New Roman" w:hAnsi="Times New Roman" w:cs="Times New Roman"/>
                <w:color w:val="000000"/>
                <w:highlight w:val="none"/>
              </w:rPr>
              <w:t>生活垃圾经环卫工人清理收集后，其中可回收利用的由环卫部门统一回收，不能回收利用的由环卫部门统一收集处理，并对垃圾堆放点进行消毒，杀灭害虫，以免散发恶臭，</w:t>
            </w:r>
            <w:r>
              <w:rPr>
                <w:rFonts w:hint="default" w:ascii="Times New Roman" w:hAnsi="Times New Roman" w:cs="Times New Roman"/>
                <w:color w:val="000000"/>
                <w:highlight w:val="none"/>
                <w:lang w:eastAsia="zh-CN"/>
              </w:rPr>
              <w:t>滋生</w:t>
            </w:r>
            <w:r>
              <w:rPr>
                <w:rFonts w:hint="default" w:ascii="Times New Roman" w:hAnsi="Times New Roman" w:cs="Times New Roman"/>
                <w:color w:val="000000"/>
                <w:highlight w:val="none"/>
              </w:rPr>
              <w:t>蚊蝇，影响环境。</w:t>
            </w:r>
          </w:p>
          <w:p w14:paraId="09D7ADA7">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②对码头渔产品及时分拣，较为新鲜和完整的渔产品废弃物回收后作为饲料或加工后作为农田、果树的肥料使用。港区应安排专人负责渔产品废弃物的及时收集与清运，腐烂发臭渔产品及时收集并外运</w:t>
            </w:r>
            <w:r>
              <w:rPr>
                <w:rFonts w:hint="default" w:ascii="Times New Roman" w:hAnsi="Times New Roman" w:cs="Times New Roman"/>
                <w:color w:val="000000"/>
                <w:highlight w:val="none"/>
                <w:lang w:eastAsia="zh-CN"/>
              </w:rPr>
              <w:t>至</w:t>
            </w:r>
            <w:r>
              <w:rPr>
                <w:rFonts w:hint="default" w:ascii="Times New Roman" w:hAnsi="Times New Roman" w:cs="Times New Roman"/>
                <w:color w:val="000000"/>
                <w:highlight w:val="none"/>
              </w:rPr>
              <w:t>生活垃圾处理厂集中处理。</w:t>
            </w:r>
          </w:p>
          <w:p w14:paraId="36362051">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③污水处理设施产生的污泥定期清理后运至生活垃圾处理厂处理。</w:t>
            </w:r>
          </w:p>
          <w:p w14:paraId="564F896B">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④</w:t>
            </w:r>
            <w:r>
              <w:rPr>
                <w:rFonts w:hint="default" w:ascii="Times New Roman" w:hAnsi="Times New Roman" w:cs="Times New Roman"/>
                <w:color w:val="000000"/>
                <w:highlight w:val="none"/>
                <w:lang w:val="en-US" w:eastAsia="zh-CN"/>
              </w:rPr>
              <w:t>船舶生活垃圾由船主收集上岸，交</w:t>
            </w:r>
            <w:r>
              <w:rPr>
                <w:rFonts w:hint="default" w:ascii="Times New Roman" w:hAnsi="Times New Roman" w:cs="Times New Roman"/>
                <w:color w:val="000000"/>
                <w:highlight w:val="none"/>
              </w:rPr>
              <w:t>由海事部门认可的船舶污染物接收单位接收处理，</w:t>
            </w:r>
            <w:r>
              <w:rPr>
                <w:rFonts w:hint="default" w:ascii="Times New Roman" w:hAnsi="Times New Roman" w:cs="Times New Roman"/>
                <w:color w:val="000000"/>
                <w:highlight w:val="none"/>
                <w:lang w:val="en-US" w:eastAsia="zh-CN"/>
              </w:rPr>
              <w:t>不在港区排放</w:t>
            </w:r>
            <w:r>
              <w:rPr>
                <w:rFonts w:hint="default" w:ascii="Times New Roman" w:hAnsi="Times New Roman" w:cs="Times New Roman"/>
                <w:color w:val="000000"/>
                <w:highlight w:val="none"/>
              </w:rPr>
              <w:t>；本码头</w:t>
            </w:r>
            <w:r>
              <w:rPr>
                <w:rFonts w:hint="default" w:ascii="Times New Roman" w:hAnsi="Times New Roman" w:cs="Times New Roman"/>
                <w:color w:val="000000"/>
                <w:highlight w:val="none"/>
                <w:lang w:val="en-US" w:eastAsia="zh-CN"/>
              </w:rPr>
              <w:t>暂</w:t>
            </w:r>
            <w:r>
              <w:rPr>
                <w:rFonts w:hint="default" w:ascii="Times New Roman" w:hAnsi="Times New Roman" w:cs="Times New Roman"/>
                <w:color w:val="000000"/>
                <w:highlight w:val="none"/>
              </w:rPr>
              <w:t>不提供船舶维修场所，船舶定期前往修造船厂保养，维修保养产生的固废由修造船厂处理。</w:t>
            </w:r>
          </w:p>
          <w:p w14:paraId="2B4D8684">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⑤污水处理站污泥经压滤机脱水处理，降低含水率后外运至生活垃圾处理厂处理。</w:t>
            </w:r>
          </w:p>
          <w:p w14:paraId="378FA5B6">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⑥</w:t>
            </w:r>
            <w:r>
              <w:rPr>
                <w:rFonts w:hint="default" w:ascii="Times New Roman" w:hAnsi="Times New Roman" w:cs="Times New Roman"/>
                <w:color w:val="000000"/>
                <w:highlight w:val="none"/>
              </w:rPr>
              <w:t>港区设备保养产生的废机油交由有资质的单位处理；废含油手套和抹布与生活垃圾一并交由环卫部门接收处置。</w:t>
            </w:r>
          </w:p>
          <w:p w14:paraId="1441FA29">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rPr>
              <w:t>综上所述，</w:t>
            </w:r>
            <w:r>
              <w:rPr>
                <w:rFonts w:hint="default" w:ascii="Times New Roman" w:hAnsi="Times New Roman" w:cs="Times New Roman"/>
                <w:color w:val="000000"/>
                <w:highlight w:val="none"/>
                <w:lang w:val="en-US" w:eastAsia="zh-CN"/>
              </w:rPr>
              <w:t>本项目建成后</w:t>
            </w:r>
            <w:r>
              <w:rPr>
                <w:rFonts w:hint="default" w:ascii="Times New Roman" w:hAnsi="Times New Roman" w:cs="Times New Roman"/>
                <w:color w:val="000000"/>
                <w:highlight w:val="none"/>
              </w:rPr>
              <w:t>产生的固体废物均能得到有效的处置，对周边环境影响不大。</w:t>
            </w:r>
          </w:p>
          <w:p w14:paraId="638C2F22">
            <w:pPr>
              <w:pStyle w:val="3"/>
              <w:bidi w:val="0"/>
              <w:rPr>
                <w:rFonts w:hint="default"/>
                <w:lang w:val="en-US" w:eastAsia="zh-CN"/>
              </w:rPr>
            </w:pPr>
            <w:bookmarkStart w:id="404" w:name="_Toc5472"/>
            <w:r>
              <w:rPr>
                <w:rFonts w:hint="default"/>
                <w:lang w:val="en-US" w:eastAsia="zh-CN"/>
              </w:rPr>
              <w:t>环境风险分析与评价</w:t>
            </w:r>
            <w:bookmarkEnd w:id="404"/>
          </w:p>
          <w:p w14:paraId="56BA2C88">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rPr>
              <w:t>根据</w:t>
            </w:r>
            <w:r>
              <w:rPr>
                <w:rFonts w:hint="default" w:ascii="Times New Roman" w:hAnsi="Times New Roman" w:cs="Times New Roman"/>
                <w:color w:val="000000"/>
                <w:highlight w:val="none"/>
                <w:lang w:val="en-US" w:eastAsia="zh-CN"/>
              </w:rPr>
              <w:t>《环境影响评价技术导则 海洋生态环境》（GB/T 1409-2025）、</w:t>
            </w:r>
            <w:r>
              <w:rPr>
                <w:rFonts w:hint="default" w:ascii="Times New Roman" w:hAnsi="Times New Roman" w:cs="Times New Roman"/>
                <w:color w:val="000000"/>
                <w:highlight w:val="none"/>
              </w:rPr>
              <w:t>《建设项目环境风险评价技术导则》（HJ/T 169-2018）和《水上溢油环境风险评估技术导则》（JT/T 1143-2017）的相关要求，结合本项目实际情况，通过风险识别、风险源项分析和环境风险后果预测，对风险事故进行环境影响评价，并有针对性地提出环境风险防范措施及应急预案，以使项目的环境风险降至最低。</w:t>
            </w:r>
          </w:p>
          <w:p w14:paraId="550E4481">
            <w:pPr>
              <w:pStyle w:val="4"/>
              <w:bidi w:val="0"/>
              <w:rPr>
                <w:rFonts w:hint="default"/>
                <w:lang w:val="en-US" w:eastAsia="zh-CN"/>
              </w:rPr>
            </w:pPr>
            <w:bookmarkStart w:id="405" w:name="_Toc8757"/>
            <w:bookmarkStart w:id="406" w:name="_Toc31773"/>
            <w:bookmarkStart w:id="407" w:name="_Toc30220"/>
            <w:r>
              <w:rPr>
                <w:rFonts w:hint="default" w:ascii="Times New Roman" w:hAnsi="Times New Roman" w:cs="Times New Roman"/>
                <w:color w:val="000000"/>
                <w:highlight w:val="none"/>
                <w:lang w:val="en-US" w:eastAsia="zh-CN"/>
              </w:rPr>
              <w:t>风险调查</w:t>
            </w:r>
            <w:bookmarkEnd w:id="405"/>
            <w:bookmarkEnd w:id="406"/>
            <w:bookmarkEnd w:id="407"/>
          </w:p>
          <w:p w14:paraId="141CD0EE">
            <w:pPr>
              <w:pStyle w:val="5"/>
              <w:bidi w:val="0"/>
              <w:rPr>
                <w:rFonts w:hint="default"/>
                <w:lang w:val="en-US" w:eastAsia="zh-CN"/>
              </w:rPr>
            </w:pPr>
            <w:bookmarkStart w:id="408" w:name="_Toc13745"/>
            <w:bookmarkStart w:id="409" w:name="_Toc7375"/>
            <w:r>
              <w:rPr>
                <w:rFonts w:hint="default" w:ascii="Times New Roman" w:hAnsi="Times New Roman" w:cs="Times New Roman"/>
                <w:color w:val="000000"/>
                <w:highlight w:val="none"/>
                <w:lang w:val="en-US" w:eastAsia="zh-CN"/>
              </w:rPr>
              <w:t>风险源调查</w:t>
            </w:r>
            <w:bookmarkEnd w:id="408"/>
            <w:bookmarkEnd w:id="409"/>
          </w:p>
          <w:p w14:paraId="66FEEAE9">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rPr>
              <w:t>本项目为渔港建设，主要建设内容为</w:t>
            </w:r>
            <w:r>
              <w:rPr>
                <w:rFonts w:hint="default" w:ascii="Times New Roman" w:hAnsi="Times New Roman" w:cs="Times New Roman"/>
                <w:color w:val="000000"/>
                <w:highlight w:val="none"/>
                <w:lang w:val="en-US" w:eastAsia="zh-CN"/>
              </w:rPr>
              <w:t>码头、防波堤、</w:t>
            </w:r>
            <w:r>
              <w:rPr>
                <w:rFonts w:hint="default" w:ascii="Times New Roman" w:hAnsi="Times New Roman" w:cs="Times New Roman"/>
                <w:color w:val="000000"/>
                <w:highlight w:val="none"/>
              </w:rPr>
              <w:t>港池疏浚</w:t>
            </w:r>
            <w:r>
              <w:rPr>
                <w:rFonts w:hint="default" w:ascii="Times New Roman" w:hAnsi="Times New Roman" w:cs="Times New Roman"/>
                <w:color w:val="000000"/>
                <w:highlight w:val="none"/>
                <w:lang w:val="en-US" w:eastAsia="zh-CN"/>
              </w:rPr>
              <w:t>及渔港相应配套设施</w:t>
            </w:r>
            <w:r>
              <w:rPr>
                <w:rFonts w:hint="default" w:ascii="Times New Roman" w:hAnsi="Times New Roman" w:cs="Times New Roman"/>
                <w:color w:val="000000"/>
                <w:highlight w:val="none"/>
              </w:rPr>
              <w:t>。港区不设置加油码头、机修车间，不设置油品储罐，不涉及易燃易爆危险品；</w:t>
            </w:r>
            <w:r>
              <w:rPr>
                <w:rFonts w:hint="default" w:ascii="Times New Roman" w:hAnsi="Times New Roman" w:cs="Times New Roman"/>
                <w:color w:val="000000"/>
                <w:highlight w:val="none"/>
                <w:lang w:val="en-US" w:eastAsia="zh-CN"/>
              </w:rPr>
              <w:t>渔</w:t>
            </w:r>
            <w:r>
              <w:rPr>
                <w:rFonts w:hint="default" w:ascii="Times New Roman" w:hAnsi="Times New Roman" w:cs="Times New Roman"/>
                <w:color w:val="000000"/>
                <w:highlight w:val="none"/>
              </w:rPr>
              <w:t>产品废弃物长期堆放可能产生硫化氢，但堆放点位于开放区域且定期清理，发生硫化氢中毒可能性较低。施工过程将使用施工船舶，运营期码头供渔船靠泊，主要装卸物为水产品。由此判断本项目主要危险单元为施工期、运营期船舶进出港区可能发生的碰撞，环境风险源为</w:t>
            </w:r>
            <w:r>
              <w:rPr>
                <w:rFonts w:hint="default" w:ascii="Times New Roman" w:hAnsi="Times New Roman" w:cs="Times New Roman"/>
                <w:color w:val="000000"/>
                <w:highlight w:val="none"/>
                <w:lang w:val="en-US" w:eastAsia="zh-CN"/>
              </w:rPr>
              <w:t>船舶燃油舱</w:t>
            </w:r>
            <w:r>
              <w:rPr>
                <w:rFonts w:hint="default" w:ascii="Times New Roman" w:hAnsi="Times New Roman" w:cs="Times New Roman"/>
                <w:color w:val="000000"/>
                <w:highlight w:val="none"/>
              </w:rPr>
              <w:t>，</w:t>
            </w:r>
            <w:r>
              <w:rPr>
                <w:rFonts w:hint="default" w:ascii="Times New Roman" w:hAnsi="Times New Roman" w:cs="Times New Roman"/>
                <w:color w:val="000000"/>
                <w:highlight w:val="none"/>
                <w:lang w:val="en-US" w:eastAsia="zh-CN"/>
              </w:rPr>
              <w:t>涉及的危险物质为燃料油</w:t>
            </w:r>
            <w:r>
              <w:rPr>
                <w:rFonts w:hint="default" w:ascii="Times New Roman" w:hAnsi="Times New Roman" w:cs="Times New Roman"/>
                <w:color w:val="000000"/>
                <w:highlight w:val="none"/>
              </w:rPr>
              <w:t>。</w:t>
            </w:r>
          </w:p>
          <w:p w14:paraId="4FB10585">
            <w:pPr>
              <w:pStyle w:val="5"/>
              <w:bidi w:val="0"/>
              <w:rPr>
                <w:rFonts w:hint="default"/>
                <w:lang w:val="en-US" w:eastAsia="zh-CN"/>
              </w:rPr>
            </w:pPr>
            <w:bookmarkStart w:id="410" w:name="_Toc12793"/>
            <w:bookmarkStart w:id="411" w:name="_Toc18991"/>
            <w:r>
              <w:rPr>
                <w:rFonts w:hint="default"/>
              </w:rPr>
              <w:t>环境风险保护目标</w:t>
            </w:r>
            <w:bookmarkEnd w:id="410"/>
            <w:bookmarkEnd w:id="411"/>
          </w:p>
          <w:p w14:paraId="0032BD38">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rPr>
              <w:t>本项目的主要环境风险为溢油，主要对海洋环境造成影响，环境风险保护目标为周边海洋生态保护红线区、开放式养殖等，具体</w:t>
            </w:r>
            <w:r>
              <w:rPr>
                <w:rFonts w:hint="default" w:ascii="Times New Roman" w:hAnsi="Times New Roman" w:cs="Times New Roman"/>
                <w:color w:val="000000"/>
                <w:highlight w:val="none"/>
                <w:lang w:val="en-US" w:eastAsia="zh-CN"/>
              </w:rPr>
              <w:t>环境保护</w:t>
            </w:r>
            <w:r>
              <w:rPr>
                <w:rFonts w:hint="default" w:ascii="Times New Roman" w:hAnsi="Times New Roman" w:cs="Times New Roman"/>
                <w:color w:val="000000"/>
                <w:highlight w:val="none"/>
              </w:rPr>
              <w:t>目标分布</w:t>
            </w:r>
            <w:r>
              <w:rPr>
                <w:rFonts w:hint="default" w:ascii="Times New Roman" w:hAnsi="Times New Roman" w:cs="Times New Roman"/>
                <w:color w:val="000000"/>
                <w:highlight w:val="none"/>
                <w:lang w:val="en-US" w:eastAsia="zh-CN"/>
              </w:rPr>
              <w:t>见</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REF _Ref6698 \h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3.16</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1</w:t>
            </w:r>
            <w:r>
              <w:rPr>
                <w:rFonts w:hint="default" w:ascii="Times New Roman" w:hAnsi="Times New Roman" w:cs="Times New Roman"/>
                <w:color w:val="000000"/>
                <w:highlight w:val="none"/>
                <w:lang w:val="en-US" w:eastAsia="zh-CN"/>
              </w:rPr>
              <w:fldChar w:fldCharType="end"/>
            </w:r>
            <w:r>
              <w:rPr>
                <w:rFonts w:hint="eastAsia" w:cs="Times New Roman"/>
                <w:color w:val="000000"/>
                <w:highlight w:val="none"/>
                <w:lang w:val="en-US" w:eastAsia="zh-CN"/>
              </w:rPr>
              <w:t>、</w:t>
            </w:r>
            <w:r>
              <w:rPr>
                <w:rFonts w:hint="eastAsia" w:cs="Times New Roman"/>
                <w:color w:val="000000"/>
                <w:highlight w:val="none"/>
                <w:lang w:val="en-US" w:eastAsia="zh-CN"/>
              </w:rPr>
              <w:fldChar w:fldCharType="begin"/>
            </w:r>
            <w:r>
              <w:rPr>
                <w:rFonts w:hint="eastAsia" w:cs="Times New Roman"/>
                <w:color w:val="000000"/>
                <w:highlight w:val="none"/>
                <w:lang w:val="en-US" w:eastAsia="zh-CN"/>
              </w:rPr>
              <w:instrText xml:space="preserve"> REF _Ref28851 \h </w:instrText>
            </w:r>
            <w:r>
              <w:rPr>
                <w:rFonts w:hint="eastAsia" w:cs="Times New Roman"/>
                <w:color w:val="000000"/>
                <w:highlight w:val="none"/>
                <w:lang w:val="en-US" w:eastAsia="zh-CN"/>
              </w:rPr>
              <w:fldChar w:fldCharType="separate"/>
            </w:r>
            <w:r>
              <w:rPr>
                <w:rFonts w:hint="default" w:ascii="Times New Roman" w:hAnsi="Times New Roman" w:cs="Times New Roman"/>
                <w:color w:val="000000"/>
                <w:highlight w:val="none"/>
              </w:rPr>
              <w:t>图</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3.16</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1</w:t>
            </w:r>
            <w:r>
              <w:rPr>
                <w:rFonts w:hint="eastAsia" w:cs="Times New Roman"/>
                <w:color w:val="000000"/>
                <w:highlight w:val="none"/>
                <w:lang w:val="en-US" w:eastAsia="zh-CN"/>
              </w:rPr>
              <w:fldChar w:fldCharType="end"/>
            </w:r>
            <w:r>
              <w:rPr>
                <w:rFonts w:hint="eastAsia" w:cs="Times New Roman"/>
                <w:color w:val="000000"/>
                <w:highlight w:val="none"/>
                <w:lang w:val="en-US" w:eastAsia="zh-CN"/>
              </w:rPr>
              <w:t>。</w:t>
            </w:r>
          </w:p>
          <w:p w14:paraId="0228B694">
            <w:pPr>
              <w:pStyle w:val="4"/>
              <w:bidi w:val="0"/>
              <w:rPr>
                <w:rFonts w:hint="default"/>
                <w:lang w:val="en-US" w:eastAsia="zh-CN"/>
              </w:rPr>
            </w:pPr>
            <w:bookmarkStart w:id="412" w:name="_Toc3253"/>
            <w:bookmarkStart w:id="413" w:name="_Toc17321"/>
            <w:r>
              <w:rPr>
                <w:rFonts w:hint="default" w:ascii="Times New Roman" w:hAnsi="Times New Roman" w:cs="Times New Roman"/>
                <w:color w:val="000000"/>
                <w:highlight w:val="none"/>
                <w:lang w:val="en-US" w:eastAsia="zh-CN"/>
              </w:rPr>
              <w:t>环境风险评价等级判定</w:t>
            </w:r>
            <w:bookmarkEnd w:id="412"/>
            <w:bookmarkEnd w:id="413"/>
          </w:p>
          <w:p w14:paraId="6C12C86D">
            <w:pPr>
              <w:pStyle w:val="5"/>
              <w:bidi w:val="0"/>
              <w:rPr>
                <w:rFonts w:hint="default"/>
                <w:lang w:val="en-US" w:eastAsia="zh-CN"/>
              </w:rPr>
            </w:pPr>
            <w:bookmarkStart w:id="414" w:name="_Toc13888"/>
            <w:r>
              <w:rPr>
                <w:rFonts w:hint="default" w:ascii="Times New Roman" w:hAnsi="Times New Roman" w:cs="Times New Roman"/>
                <w:color w:val="000000"/>
                <w:highlight w:val="none"/>
                <w:lang w:val="en-US" w:eastAsia="zh-CN"/>
              </w:rPr>
              <w:t>危险物质临界量</w:t>
            </w:r>
            <w:bookmarkEnd w:id="414"/>
          </w:p>
          <w:p w14:paraId="24B8BA79">
            <w:pPr>
              <w:ind w:firstLine="480" w:firstLineChars="20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危险物质主要考虑对海洋生态产生危害的物质，其中油类物质的临界量见《环境影响评价技术导则 海洋生态环境》（GB/T 1409-2025）附录G中表G.1，详见</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REF _Ref6597 \h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4.7</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1</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val="en-US" w:eastAsia="zh-CN"/>
              </w:rPr>
              <w:t>。</w:t>
            </w:r>
          </w:p>
          <w:p w14:paraId="6A4FC08A">
            <w:pPr>
              <w:pStyle w:val="30"/>
              <w:bidi w:val="0"/>
              <w:rPr>
                <w:rFonts w:hint="default" w:ascii="Times New Roman" w:hAnsi="Times New Roman" w:cs="Times New Roman"/>
                <w:color w:val="000000"/>
                <w:highlight w:val="none"/>
                <w:lang w:val="en-US"/>
              </w:rPr>
            </w:pPr>
            <w:bookmarkStart w:id="415" w:name="_Ref6597"/>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4.7</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表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1</w:t>
            </w:r>
            <w:r>
              <w:rPr>
                <w:rFonts w:hint="default" w:ascii="Times New Roman" w:hAnsi="Times New Roman" w:cs="Times New Roman"/>
                <w:color w:val="000000"/>
                <w:highlight w:val="none"/>
              </w:rPr>
              <w:fldChar w:fldCharType="end"/>
            </w:r>
            <w:bookmarkEnd w:id="415"/>
            <w:r>
              <w:rPr>
                <w:rFonts w:hint="default" w:ascii="Times New Roman" w:hAnsi="Times New Roman" w:cs="Times New Roman"/>
                <w:color w:val="000000"/>
                <w:highlight w:val="none"/>
                <w:lang w:val="en-US" w:eastAsia="zh-CN"/>
              </w:rPr>
              <w:t xml:space="preserve"> 油类物质的临界量</w:t>
            </w:r>
          </w:p>
          <w:tbl>
            <w:tblPr>
              <w:tblStyle w:val="22"/>
              <w:tblW w:w="823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11"/>
              <w:gridCol w:w="1428"/>
            </w:tblGrid>
            <w:tr w14:paraId="6FDFBA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6811" w:type="dxa"/>
                  <w:noWrap w:val="0"/>
                  <w:vAlign w:val="center"/>
                </w:tcPr>
                <w:p w14:paraId="31238C81">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物质名称</w:t>
                  </w:r>
                </w:p>
              </w:tc>
              <w:tc>
                <w:tcPr>
                  <w:tcW w:w="1428" w:type="dxa"/>
                  <w:noWrap w:val="0"/>
                  <w:vAlign w:val="center"/>
                </w:tcPr>
                <w:p w14:paraId="5DE2ACD9">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临界量（t）</w:t>
                  </w:r>
                </w:p>
              </w:tc>
            </w:tr>
            <w:tr w14:paraId="71CF4B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6811" w:type="dxa"/>
                  <w:noWrap w:val="0"/>
                  <w:vAlign w:val="center"/>
                </w:tcPr>
                <w:p w14:paraId="5171903C">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油类物质（矿物油类，如石油、汽油、柴油等；生物柴油等）</w:t>
                  </w:r>
                </w:p>
              </w:tc>
              <w:tc>
                <w:tcPr>
                  <w:tcW w:w="1428" w:type="dxa"/>
                  <w:noWrap w:val="0"/>
                  <w:vAlign w:val="center"/>
                </w:tcPr>
                <w:p w14:paraId="50AA58AB">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100</w:t>
                  </w:r>
                </w:p>
              </w:tc>
            </w:tr>
            <w:tr w14:paraId="3CFDEF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8239" w:type="dxa"/>
                  <w:gridSpan w:val="2"/>
                  <w:noWrap w:val="0"/>
                  <w:vAlign w:val="center"/>
                </w:tcPr>
                <w:p w14:paraId="2A17A591">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注：船舶在线量按单个船舶所载货油或船用燃料油全部舱容的数量确定。</w:t>
                  </w:r>
                </w:p>
              </w:tc>
            </w:tr>
          </w:tbl>
          <w:p w14:paraId="1CFBFEA5">
            <w:pPr>
              <w:pStyle w:val="5"/>
              <w:bidi w:val="0"/>
              <w:rPr>
                <w:rFonts w:hint="default"/>
                <w:lang w:val="en-US" w:eastAsia="zh-CN"/>
              </w:rPr>
            </w:pPr>
            <w:bookmarkStart w:id="416" w:name="_Toc22002"/>
            <w:r>
              <w:rPr>
                <w:rFonts w:hint="default"/>
                <w:lang w:val="en-US" w:eastAsia="zh-CN"/>
              </w:rPr>
              <w:t>危险物质及工艺系统危险性（P）的分级确定</w:t>
            </w:r>
            <w:bookmarkEnd w:id="416"/>
          </w:p>
          <w:p w14:paraId="1E427F5E">
            <w:pPr>
              <w:bidi w:val="0"/>
              <w:ind w:firstLine="482" w:firstLineChars="20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（1）危险物质数量与临界量比值（Q）</w:t>
            </w:r>
          </w:p>
          <w:p w14:paraId="1E5D3BB4">
            <w:pPr>
              <w:ind w:firstLine="480" w:firstLineChars="20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计算所涉及的每种危险物质在危险单元的最大存在总量与对应临界量（油类物质参照HJ1409，其他物质参照HJ169）的比值Q。在不同厂区的同一物质，按其在厂界内的最大存在总量计算。</w:t>
            </w:r>
          </w:p>
          <w:p w14:paraId="6F0BB2EA">
            <w:pPr>
              <w:ind w:firstLine="480" w:firstLineChars="20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当只涉及一种危险物质时，计算该物质的总量与临界量比值，即为Q：</w:t>
            </w:r>
          </w:p>
          <w:p w14:paraId="0880CC54">
            <w:pPr>
              <w:ind w:firstLine="480" w:firstLineChars="20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当存在多种物质时，则按以下公式计算物质总量与其临界量比值（Q）：</w:t>
            </w:r>
          </w:p>
          <w:p w14:paraId="728C20E7">
            <w:pPr>
              <w:ind w:left="0" w:leftChars="0"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position w:val="-30"/>
                <w:highlight w:val="none"/>
                <w:lang w:val="en-US" w:eastAsia="zh-CN"/>
              </w:rPr>
              <w:object>
                <v:shape id="_x0000_i1087" o:spt="75" type="#_x0000_t75" style="height:34pt;width:101pt;" o:ole="t" filled="f" o:preferrelative="t" stroked="f" coordsize="21600,21600">
                  <v:path/>
                  <v:fill on="f" focussize="0,0"/>
                  <v:stroke on="f"/>
                  <v:imagedata r:id="rId158" o:title=""/>
                  <o:lock v:ext="edit" aspectratio="t"/>
                  <w10:wrap type="none"/>
                  <w10:anchorlock/>
                </v:shape>
                <o:OLEObject Type="Embed" ProgID="Equation.KSEE3" ShapeID="_x0000_i1087" DrawAspect="Content" ObjectID="_1468075788" r:id="rId157">
                  <o:LockedField>false</o:LockedField>
                </o:OLEObject>
              </w:object>
            </w:r>
          </w:p>
          <w:p w14:paraId="5D2547EA">
            <w:pPr>
              <w:bidi w:val="0"/>
              <w:ind w:firstLine="480" w:firstLineChars="20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式中：q</w:t>
            </w:r>
            <w:r>
              <w:rPr>
                <w:rFonts w:hint="default" w:ascii="Times New Roman" w:hAnsi="Times New Roman" w:cs="Times New Roman"/>
                <w:color w:val="000000"/>
                <w:highlight w:val="none"/>
                <w:vertAlign w:val="subscript"/>
                <w:lang w:val="en-US" w:eastAsia="zh-CN"/>
              </w:rPr>
              <w:t>1</w:t>
            </w:r>
            <w:r>
              <w:rPr>
                <w:rFonts w:hint="default" w:ascii="Times New Roman" w:hAnsi="Times New Roman" w:cs="Times New Roman"/>
                <w:color w:val="000000"/>
                <w:highlight w:val="none"/>
                <w:lang w:val="en-US" w:eastAsia="zh-CN"/>
              </w:rPr>
              <w:t>，q</w:t>
            </w:r>
            <w:r>
              <w:rPr>
                <w:rFonts w:hint="default" w:ascii="Times New Roman" w:hAnsi="Times New Roman" w:cs="Times New Roman"/>
                <w:color w:val="000000"/>
                <w:highlight w:val="none"/>
                <w:vertAlign w:val="subscript"/>
                <w:lang w:val="en-US" w:eastAsia="zh-CN"/>
              </w:rPr>
              <w:t>2</w:t>
            </w:r>
            <w:r>
              <w:rPr>
                <w:rFonts w:hint="default" w:ascii="Times New Roman" w:hAnsi="Times New Roman" w:cs="Times New Roman"/>
                <w:color w:val="000000"/>
                <w:highlight w:val="none"/>
                <w:lang w:val="en-US" w:eastAsia="zh-CN"/>
              </w:rPr>
              <w:t>，……，q</w:t>
            </w:r>
            <w:r>
              <w:rPr>
                <w:rFonts w:hint="default" w:ascii="Times New Roman" w:hAnsi="Times New Roman" w:cs="Times New Roman"/>
                <w:color w:val="000000"/>
                <w:highlight w:val="none"/>
                <w:vertAlign w:val="subscript"/>
                <w:lang w:val="en-US" w:eastAsia="zh-CN"/>
              </w:rPr>
              <w:t>n</w:t>
            </w:r>
            <w:r>
              <w:rPr>
                <w:rFonts w:hint="default" w:ascii="Times New Roman" w:hAnsi="Times New Roman" w:cs="Times New Roman"/>
                <w:color w:val="000000"/>
                <w:highlight w:val="none"/>
                <w:lang w:val="en-US" w:eastAsia="zh-CN"/>
              </w:rPr>
              <w:t>——每种危险物质的最大存在量，t；</w:t>
            </w:r>
          </w:p>
          <w:p w14:paraId="4613B4BC">
            <w:pPr>
              <w:keepNext w:val="0"/>
              <w:keepLines w:val="0"/>
              <w:pageBreakBefore w:val="0"/>
              <w:widowControl w:val="0"/>
              <w:kinsoku/>
              <w:wordWrap/>
              <w:overflowPunct/>
              <w:topLinePunct w:val="0"/>
              <w:autoSpaceDE/>
              <w:autoSpaceDN/>
              <w:bidi w:val="0"/>
              <w:adjustRightInd/>
              <w:snapToGrid/>
              <w:ind w:firstLine="1200" w:firstLineChars="5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Q</w:t>
            </w:r>
            <w:r>
              <w:rPr>
                <w:rFonts w:hint="default" w:ascii="Times New Roman" w:hAnsi="Times New Roman" w:cs="Times New Roman"/>
                <w:color w:val="000000"/>
                <w:highlight w:val="none"/>
                <w:vertAlign w:val="subscript"/>
                <w:lang w:val="en-US" w:eastAsia="zh-CN"/>
              </w:rPr>
              <w:t>1</w:t>
            </w:r>
            <w:r>
              <w:rPr>
                <w:rFonts w:hint="default" w:ascii="Times New Roman" w:hAnsi="Times New Roman" w:cs="Times New Roman"/>
                <w:color w:val="000000"/>
                <w:highlight w:val="none"/>
                <w:lang w:val="en-US" w:eastAsia="zh-CN"/>
              </w:rPr>
              <w:t>，Q</w:t>
            </w:r>
            <w:r>
              <w:rPr>
                <w:rFonts w:hint="default" w:ascii="Times New Roman" w:hAnsi="Times New Roman" w:cs="Times New Roman"/>
                <w:color w:val="000000"/>
                <w:highlight w:val="none"/>
                <w:vertAlign w:val="subscript"/>
                <w:lang w:val="en-US" w:eastAsia="zh-CN"/>
              </w:rPr>
              <w:t>2</w:t>
            </w:r>
            <w:r>
              <w:rPr>
                <w:rFonts w:hint="default" w:ascii="Times New Roman" w:hAnsi="Times New Roman" w:cs="Times New Roman"/>
                <w:color w:val="000000"/>
                <w:highlight w:val="none"/>
                <w:lang w:val="en-US" w:eastAsia="zh-CN"/>
              </w:rPr>
              <w:t>，……，Q</w:t>
            </w:r>
            <w:r>
              <w:rPr>
                <w:rFonts w:hint="default" w:ascii="Times New Roman" w:hAnsi="Times New Roman" w:cs="Times New Roman"/>
                <w:color w:val="000000"/>
                <w:highlight w:val="none"/>
                <w:vertAlign w:val="subscript"/>
                <w:lang w:val="en-US" w:eastAsia="zh-CN"/>
              </w:rPr>
              <w:t>n</w:t>
            </w:r>
            <w:r>
              <w:rPr>
                <w:rFonts w:hint="default" w:ascii="Times New Roman" w:hAnsi="Times New Roman" w:cs="Times New Roman"/>
                <w:color w:val="000000"/>
                <w:highlight w:val="none"/>
                <w:lang w:val="en-US" w:eastAsia="zh-CN"/>
              </w:rPr>
              <w:t>——每种危险物质的临界量，t。</w:t>
            </w:r>
          </w:p>
          <w:p w14:paraId="65419110">
            <w:pPr>
              <w:keepNext w:val="0"/>
              <w:keepLines w:val="0"/>
              <w:pageBreakBefore w:val="0"/>
              <w:widowControl w:val="0"/>
              <w:kinsoku/>
              <w:wordWrap/>
              <w:overflowPunct/>
              <w:topLinePunct w:val="0"/>
              <w:autoSpaceDE/>
              <w:autoSpaceDN/>
              <w:bidi w:val="0"/>
              <w:adjustRightInd/>
              <w:snapToGrid/>
              <w:ind w:firstLine="1200" w:firstLineChars="5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将Q值划分为：（1）Q&lt;1；（2）1≤Q&lt;10；（3）10≤Q&lt;100；（4）Q≥100。</w:t>
            </w:r>
          </w:p>
          <w:p w14:paraId="6AAE76A2">
            <w:pPr>
              <w:ind w:firstLine="480" w:firstLineChars="20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本工程运营期最大代表船型为3000吨冷藏船，船舶油品均为0#柴油，燃料油密度按0.85t/m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估算。根据《水上溢油环境风险评估技术导则》（JT/T 1143-2017）表C.8、C.9，本项目运营期船舶最大风险物质存在量为390m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（331.5t），计算油类物质的总量与其临界量比值，即Q=3.315，1≤Q&lt;10。</w:t>
            </w:r>
          </w:p>
          <w:p w14:paraId="2BE9C408">
            <w:pPr>
              <w:bidi w:val="0"/>
              <w:ind w:firstLine="482" w:firstLineChars="20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（2）行业及生产工艺（M）</w:t>
            </w:r>
          </w:p>
          <w:p w14:paraId="2AA2D388">
            <w:pPr>
              <w:ind w:firstLine="480" w:firstLineChars="20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分析项目所属行业及生产工艺特点，按照HJ169附录C中表C.1评估生产工艺情况。具有多套工艺单元的项目，对每套生产工艺分别评分并求和。将M划分为（1）M&gt;20；（2）10&lt;M≤20；（3）5&lt;M≤10；（4）M=5，分别以M1、M2、M3和M4表示。</w:t>
            </w:r>
          </w:p>
          <w:p w14:paraId="088AE1E9">
            <w:pPr>
              <w:ind w:firstLine="480" w:firstLineChars="20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根据</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REF _Ref6538 \h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4.7</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2</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val="en-US" w:eastAsia="zh-CN"/>
              </w:rPr>
              <w:t>，本项目属于行业“港口/码头”，行业及生产工艺（M）分值为10，属于M3。</w:t>
            </w:r>
          </w:p>
          <w:p w14:paraId="468A3B74">
            <w:pPr>
              <w:pStyle w:val="30"/>
              <w:bidi w:val="0"/>
              <w:rPr>
                <w:rFonts w:hint="default" w:ascii="Times New Roman" w:hAnsi="Times New Roman" w:cs="Times New Roman"/>
                <w:color w:val="000000"/>
                <w:highlight w:val="none"/>
                <w:lang w:val="en-US" w:eastAsia="zh-CN"/>
              </w:rPr>
            </w:pPr>
            <w:bookmarkStart w:id="417" w:name="_Ref6538"/>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4.7</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表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2</w:t>
            </w:r>
            <w:r>
              <w:rPr>
                <w:rFonts w:hint="default" w:ascii="Times New Roman" w:hAnsi="Times New Roman" w:cs="Times New Roman"/>
                <w:color w:val="000000"/>
                <w:highlight w:val="none"/>
              </w:rPr>
              <w:fldChar w:fldCharType="end"/>
            </w:r>
            <w:bookmarkEnd w:id="417"/>
            <w:r>
              <w:rPr>
                <w:rFonts w:hint="default" w:ascii="Times New Roman" w:hAnsi="Times New Roman" w:cs="Times New Roman"/>
                <w:color w:val="000000"/>
                <w:highlight w:val="none"/>
                <w:lang w:val="en-US" w:eastAsia="zh-CN"/>
              </w:rPr>
              <w:t xml:space="preserve"> 行业及生产工艺（M）</w:t>
            </w:r>
          </w:p>
          <w:tbl>
            <w:tblPr>
              <w:tblStyle w:val="22"/>
              <w:tblW w:w="825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18"/>
              <w:gridCol w:w="5764"/>
              <w:gridCol w:w="1177"/>
            </w:tblGrid>
            <w:tr w14:paraId="17E926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7" w:hRule="atLeast"/>
              </w:trPr>
              <w:tc>
                <w:tcPr>
                  <w:tcW w:w="1318" w:type="dxa"/>
                  <w:noWrap w:val="0"/>
                  <w:vAlign w:val="center"/>
                </w:tcPr>
                <w:p w14:paraId="4099C71A">
                  <w:pPr>
                    <w:pStyle w:val="31"/>
                    <w:bidi w:val="0"/>
                    <w:ind w:firstLine="0" w:firstLineChars="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行业</w:t>
                  </w:r>
                </w:p>
              </w:tc>
              <w:tc>
                <w:tcPr>
                  <w:tcW w:w="5764" w:type="dxa"/>
                  <w:noWrap w:val="0"/>
                  <w:vAlign w:val="center"/>
                </w:tcPr>
                <w:p w14:paraId="70E3DC21">
                  <w:pPr>
                    <w:pStyle w:val="31"/>
                    <w:bidi w:val="0"/>
                    <w:ind w:firstLine="0" w:firstLineChars="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评估依据</w:t>
                  </w:r>
                </w:p>
              </w:tc>
              <w:tc>
                <w:tcPr>
                  <w:tcW w:w="1177" w:type="dxa"/>
                  <w:noWrap w:val="0"/>
                  <w:vAlign w:val="center"/>
                </w:tcPr>
                <w:p w14:paraId="3BB40665">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分值</w:t>
                  </w:r>
                </w:p>
              </w:tc>
            </w:tr>
            <w:tr w14:paraId="450729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57" w:hRule="atLeast"/>
              </w:trPr>
              <w:tc>
                <w:tcPr>
                  <w:tcW w:w="1318" w:type="dxa"/>
                  <w:vMerge w:val="restart"/>
                  <w:noWrap w:val="0"/>
                  <w:vAlign w:val="center"/>
                </w:tcPr>
                <w:p w14:paraId="7875C1DB">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石化、化工、医药、轻工、化纤、有色冶炼等</w:t>
                  </w:r>
                </w:p>
              </w:tc>
              <w:tc>
                <w:tcPr>
                  <w:tcW w:w="5764" w:type="dxa"/>
                  <w:noWrap w:val="0"/>
                  <w:vAlign w:val="center"/>
                </w:tcPr>
                <w:p w14:paraId="373B1D2F">
                  <w:pPr>
                    <w:pStyle w:val="31"/>
                    <w:bidi w:val="0"/>
                    <w:ind w:firstLine="0" w:firstLineChars="0"/>
                    <w:jc w:val="left"/>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涉及光气及光气化工艺、电解工艺（氯碱）、氯化工艺、硝化工艺、合成氨工艺、裂解（裂化）工艺、氟化工艺、加氢工艺、重氮化工艺、氧化工艺、过氧化工艺、胺基化工艺、磺化工艺、聚合工艺、烷基化工艺、新型煤化工工艺、电石生产工艺、偶氮化工艺</w:t>
                  </w:r>
                </w:p>
              </w:tc>
              <w:tc>
                <w:tcPr>
                  <w:tcW w:w="1177" w:type="dxa"/>
                  <w:noWrap w:val="0"/>
                  <w:vAlign w:val="center"/>
                </w:tcPr>
                <w:p w14:paraId="4CD22CA9">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10/套</w:t>
                  </w:r>
                </w:p>
              </w:tc>
            </w:tr>
            <w:tr w14:paraId="361644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7" w:hRule="atLeast"/>
              </w:trPr>
              <w:tc>
                <w:tcPr>
                  <w:tcW w:w="1318" w:type="dxa"/>
                  <w:vMerge w:val="continue"/>
                  <w:noWrap w:val="0"/>
                  <w:vAlign w:val="center"/>
                </w:tcPr>
                <w:p w14:paraId="4E60F16F">
                  <w:pPr>
                    <w:pStyle w:val="31"/>
                    <w:bidi w:val="0"/>
                    <w:ind w:firstLine="0" w:firstLineChars="0"/>
                    <w:jc w:val="center"/>
                    <w:rPr>
                      <w:rFonts w:hint="default" w:ascii="Times New Roman" w:hAnsi="Times New Roman" w:cs="Times New Roman"/>
                      <w:color w:val="000000"/>
                      <w:highlight w:val="none"/>
                      <w:lang w:val="en-US" w:eastAsia="zh-CN"/>
                    </w:rPr>
                  </w:pPr>
                </w:p>
              </w:tc>
              <w:tc>
                <w:tcPr>
                  <w:tcW w:w="5764" w:type="dxa"/>
                  <w:noWrap w:val="0"/>
                  <w:vAlign w:val="center"/>
                </w:tcPr>
                <w:p w14:paraId="6009E88F">
                  <w:pPr>
                    <w:pStyle w:val="31"/>
                    <w:bidi w:val="0"/>
                    <w:ind w:firstLine="0" w:firstLineChars="0"/>
                    <w:jc w:val="left"/>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无机酸制酸工艺、焦化工艺</w:t>
                  </w:r>
                </w:p>
              </w:tc>
              <w:tc>
                <w:tcPr>
                  <w:tcW w:w="1177" w:type="dxa"/>
                  <w:noWrap w:val="0"/>
                  <w:vAlign w:val="center"/>
                </w:tcPr>
                <w:p w14:paraId="23DCB6D2">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5/套</w:t>
                  </w:r>
                </w:p>
              </w:tc>
            </w:tr>
            <w:tr w14:paraId="718967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7" w:hRule="atLeast"/>
              </w:trPr>
              <w:tc>
                <w:tcPr>
                  <w:tcW w:w="1318" w:type="dxa"/>
                  <w:vMerge w:val="continue"/>
                  <w:noWrap w:val="0"/>
                  <w:vAlign w:val="center"/>
                </w:tcPr>
                <w:p w14:paraId="0749495A">
                  <w:pPr>
                    <w:pStyle w:val="31"/>
                    <w:bidi w:val="0"/>
                    <w:ind w:firstLine="0" w:firstLineChars="0"/>
                    <w:jc w:val="center"/>
                    <w:rPr>
                      <w:rFonts w:hint="default" w:ascii="Times New Roman" w:hAnsi="Times New Roman" w:cs="Times New Roman"/>
                      <w:color w:val="000000"/>
                      <w:highlight w:val="none"/>
                      <w:lang w:val="en-US" w:eastAsia="zh-CN"/>
                    </w:rPr>
                  </w:pPr>
                </w:p>
              </w:tc>
              <w:tc>
                <w:tcPr>
                  <w:tcW w:w="5764" w:type="dxa"/>
                  <w:noWrap w:val="0"/>
                  <w:vAlign w:val="center"/>
                </w:tcPr>
                <w:p w14:paraId="759572FD">
                  <w:pPr>
                    <w:pStyle w:val="31"/>
                    <w:bidi w:val="0"/>
                    <w:ind w:firstLine="0" w:firstLineChars="0"/>
                    <w:jc w:val="left"/>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其他高温或高压</w:t>
                  </w:r>
                  <w:r>
                    <w:rPr>
                      <w:rFonts w:hint="eastAsia" w:cs="Times New Roman"/>
                      <w:color w:val="000000"/>
                      <w:highlight w:val="none"/>
                      <w:lang w:val="en-US" w:eastAsia="zh-CN"/>
                    </w:rPr>
                    <w:t>且</w:t>
                  </w:r>
                  <w:r>
                    <w:rPr>
                      <w:rFonts w:hint="default" w:ascii="Times New Roman" w:hAnsi="Times New Roman" w:cs="Times New Roman"/>
                      <w:color w:val="000000"/>
                      <w:highlight w:val="none"/>
                      <w:lang w:val="en-US" w:eastAsia="zh-CN"/>
                    </w:rPr>
                    <w:t>涉及危险物质的工艺过程</w:t>
                  </w:r>
                  <w:r>
                    <w:rPr>
                      <w:rFonts w:hint="default" w:ascii="Times New Roman" w:hAnsi="Times New Roman" w:cs="Times New Roman"/>
                      <w:color w:val="000000"/>
                      <w:highlight w:val="none"/>
                      <w:vertAlign w:val="superscript"/>
                      <w:lang w:val="en-US" w:eastAsia="zh-CN"/>
                    </w:rPr>
                    <w:t>a</w:t>
                  </w:r>
                  <w:r>
                    <w:rPr>
                      <w:rFonts w:hint="default" w:ascii="Times New Roman" w:hAnsi="Times New Roman" w:cs="Times New Roman"/>
                      <w:color w:val="000000"/>
                      <w:highlight w:val="none"/>
                      <w:lang w:val="en-US" w:eastAsia="zh-CN"/>
                    </w:rPr>
                    <w:t>、危险物质贮存罐区</w:t>
                  </w:r>
                </w:p>
              </w:tc>
              <w:tc>
                <w:tcPr>
                  <w:tcW w:w="1177" w:type="dxa"/>
                  <w:noWrap w:val="0"/>
                  <w:vAlign w:val="center"/>
                </w:tcPr>
                <w:p w14:paraId="657484E7">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5/套（罐区）</w:t>
                  </w:r>
                </w:p>
              </w:tc>
            </w:tr>
            <w:tr w14:paraId="075B00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3" w:hRule="atLeast"/>
              </w:trPr>
              <w:tc>
                <w:tcPr>
                  <w:tcW w:w="1318" w:type="dxa"/>
                  <w:shd w:val="clear" w:color="auto" w:fill="BEBEBE"/>
                  <w:noWrap w:val="0"/>
                  <w:vAlign w:val="center"/>
                </w:tcPr>
                <w:p w14:paraId="505F8E4A">
                  <w:pPr>
                    <w:pStyle w:val="31"/>
                    <w:bidi w:val="0"/>
                    <w:ind w:firstLine="0" w:firstLineChars="0"/>
                    <w:jc w:val="center"/>
                    <w:rPr>
                      <w:rFonts w:hint="default" w:ascii="Times New Roman" w:hAnsi="Times New Roman" w:cs="Times New Roman"/>
                      <w:b w:val="0"/>
                      <w:bCs w:val="0"/>
                      <w:color w:val="000000"/>
                      <w:highlight w:val="none"/>
                      <w:lang w:val="en-US" w:eastAsia="zh-CN"/>
                    </w:rPr>
                  </w:pPr>
                  <w:r>
                    <w:rPr>
                      <w:rFonts w:hint="default" w:ascii="Times New Roman" w:hAnsi="Times New Roman" w:cs="Times New Roman"/>
                      <w:b w:val="0"/>
                      <w:bCs w:val="0"/>
                      <w:color w:val="000000"/>
                      <w:highlight w:val="none"/>
                      <w:lang w:val="en-US" w:eastAsia="zh-CN"/>
                    </w:rPr>
                    <w:t>管道、港口/码头等</w:t>
                  </w:r>
                </w:p>
              </w:tc>
              <w:tc>
                <w:tcPr>
                  <w:tcW w:w="5764" w:type="dxa"/>
                  <w:shd w:val="clear" w:color="auto" w:fill="BEBEBE"/>
                  <w:noWrap w:val="0"/>
                  <w:vAlign w:val="center"/>
                </w:tcPr>
                <w:p w14:paraId="18ECB40B">
                  <w:pPr>
                    <w:pStyle w:val="31"/>
                    <w:bidi w:val="0"/>
                    <w:ind w:firstLine="0" w:firstLineChars="0"/>
                    <w:jc w:val="left"/>
                    <w:rPr>
                      <w:rFonts w:hint="default" w:ascii="Times New Roman" w:hAnsi="Times New Roman" w:cs="Times New Roman"/>
                      <w:b w:val="0"/>
                      <w:bCs w:val="0"/>
                      <w:color w:val="000000"/>
                      <w:highlight w:val="none"/>
                      <w:lang w:val="en-US" w:eastAsia="zh-CN"/>
                    </w:rPr>
                  </w:pPr>
                  <w:r>
                    <w:rPr>
                      <w:rFonts w:hint="default" w:ascii="Times New Roman" w:hAnsi="Times New Roman" w:cs="Times New Roman"/>
                      <w:b w:val="0"/>
                      <w:bCs w:val="0"/>
                      <w:color w:val="000000"/>
                      <w:highlight w:val="none"/>
                      <w:lang w:val="en-US" w:eastAsia="zh-CN"/>
                    </w:rPr>
                    <w:t>涉及危险物质管道运输项目、港口/码头等</w:t>
                  </w:r>
                </w:p>
              </w:tc>
              <w:tc>
                <w:tcPr>
                  <w:tcW w:w="1177" w:type="dxa"/>
                  <w:shd w:val="clear" w:color="auto" w:fill="BEBEBE"/>
                  <w:noWrap w:val="0"/>
                  <w:vAlign w:val="center"/>
                </w:tcPr>
                <w:p w14:paraId="3F988208">
                  <w:pPr>
                    <w:pStyle w:val="31"/>
                    <w:bidi w:val="0"/>
                    <w:jc w:val="center"/>
                    <w:rPr>
                      <w:rFonts w:hint="default" w:ascii="Times New Roman" w:hAnsi="Times New Roman" w:cs="Times New Roman"/>
                      <w:b w:val="0"/>
                      <w:bCs w:val="0"/>
                      <w:color w:val="000000"/>
                      <w:highlight w:val="none"/>
                      <w:lang w:val="en-US" w:eastAsia="zh-CN"/>
                    </w:rPr>
                  </w:pPr>
                  <w:r>
                    <w:rPr>
                      <w:rFonts w:hint="default" w:ascii="Times New Roman" w:hAnsi="Times New Roman" w:cs="Times New Roman"/>
                      <w:b w:val="0"/>
                      <w:bCs w:val="0"/>
                      <w:color w:val="000000"/>
                      <w:highlight w:val="none"/>
                      <w:lang w:val="en-US" w:eastAsia="zh-CN"/>
                    </w:rPr>
                    <w:t>10</w:t>
                  </w:r>
                </w:p>
              </w:tc>
            </w:tr>
            <w:tr w14:paraId="11591D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3" w:hRule="atLeast"/>
              </w:trPr>
              <w:tc>
                <w:tcPr>
                  <w:tcW w:w="1318" w:type="dxa"/>
                  <w:noWrap w:val="0"/>
                  <w:vAlign w:val="center"/>
                </w:tcPr>
                <w:p w14:paraId="6F6B0ACB">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石油天然气</w:t>
                  </w:r>
                </w:p>
              </w:tc>
              <w:tc>
                <w:tcPr>
                  <w:tcW w:w="5764" w:type="dxa"/>
                  <w:noWrap w:val="0"/>
                  <w:vAlign w:val="center"/>
                </w:tcPr>
                <w:p w14:paraId="38D0E642">
                  <w:pPr>
                    <w:pStyle w:val="31"/>
                    <w:bidi w:val="0"/>
                    <w:ind w:firstLine="0" w:firstLineChars="0"/>
                    <w:jc w:val="left"/>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石油、天然气、页岩气开采（含净化），气库（不含加气站的气库），油库（不含加气站的油库）、油气管线</w:t>
                  </w:r>
                  <w:r>
                    <w:rPr>
                      <w:rFonts w:hint="default" w:ascii="Times New Roman" w:hAnsi="Times New Roman" w:cs="Times New Roman"/>
                      <w:color w:val="000000"/>
                      <w:highlight w:val="none"/>
                      <w:vertAlign w:val="superscript"/>
                      <w:lang w:val="en-US" w:eastAsia="zh-CN"/>
                    </w:rPr>
                    <w:t>b</w:t>
                  </w:r>
                  <w:r>
                    <w:rPr>
                      <w:rFonts w:hint="default" w:ascii="Times New Roman" w:hAnsi="Times New Roman" w:cs="Times New Roman"/>
                      <w:color w:val="000000"/>
                      <w:highlight w:val="none"/>
                      <w:lang w:val="en-US" w:eastAsia="zh-CN"/>
                    </w:rPr>
                    <w:t>（不含城镇燃气管线）</w:t>
                  </w:r>
                </w:p>
              </w:tc>
              <w:tc>
                <w:tcPr>
                  <w:tcW w:w="1177" w:type="dxa"/>
                  <w:noWrap w:val="0"/>
                  <w:vAlign w:val="center"/>
                </w:tcPr>
                <w:p w14:paraId="35C3B5B2">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10</w:t>
                  </w:r>
                </w:p>
              </w:tc>
            </w:tr>
            <w:tr w14:paraId="1EF9D7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7" w:hRule="atLeast"/>
              </w:trPr>
              <w:tc>
                <w:tcPr>
                  <w:tcW w:w="1318" w:type="dxa"/>
                  <w:noWrap w:val="0"/>
                  <w:vAlign w:val="center"/>
                </w:tcPr>
                <w:p w14:paraId="46E6093A">
                  <w:pPr>
                    <w:pStyle w:val="31"/>
                    <w:bidi w:val="0"/>
                    <w:ind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其他</w:t>
                  </w:r>
                </w:p>
              </w:tc>
              <w:tc>
                <w:tcPr>
                  <w:tcW w:w="5764" w:type="dxa"/>
                  <w:noWrap w:val="0"/>
                  <w:vAlign w:val="center"/>
                </w:tcPr>
                <w:p w14:paraId="7101E46E">
                  <w:pPr>
                    <w:pStyle w:val="31"/>
                    <w:bidi w:val="0"/>
                    <w:ind w:firstLine="0" w:firstLineChars="0"/>
                    <w:jc w:val="left"/>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涉及危险物质使用、贮存的项目</w:t>
                  </w:r>
                </w:p>
              </w:tc>
              <w:tc>
                <w:tcPr>
                  <w:tcW w:w="1177" w:type="dxa"/>
                  <w:noWrap w:val="0"/>
                  <w:vAlign w:val="center"/>
                </w:tcPr>
                <w:p w14:paraId="28972CC8">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5</w:t>
                  </w:r>
                </w:p>
              </w:tc>
            </w:tr>
            <w:tr w14:paraId="597AB0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8259" w:type="dxa"/>
                  <w:gridSpan w:val="3"/>
                  <w:noWrap w:val="0"/>
                  <w:vAlign w:val="center"/>
                </w:tcPr>
                <w:p w14:paraId="5699BB56">
                  <w:pPr>
                    <w:pStyle w:val="31"/>
                    <w:bidi w:val="0"/>
                    <w:jc w:val="both"/>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a高温指工艺温度≥300℃，高压指压力容器的设计压力（P）≥10.0MPa；</w:t>
                  </w:r>
                </w:p>
                <w:p w14:paraId="75158AF6">
                  <w:pPr>
                    <w:pStyle w:val="31"/>
                    <w:bidi w:val="0"/>
                    <w:jc w:val="both"/>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b长输管道运输项目应按站场、管线分段进行评价。</w:t>
                  </w:r>
                </w:p>
              </w:tc>
            </w:tr>
          </w:tbl>
          <w:p w14:paraId="2A8C9687">
            <w:pPr>
              <w:bidi w:val="0"/>
              <w:ind w:firstLine="482" w:firstLineChars="20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（3）危险物质及工艺系统危险性（P）分级</w:t>
            </w:r>
          </w:p>
          <w:p w14:paraId="7E3791DE">
            <w:pPr>
              <w:ind w:firstLine="480" w:firstLineChars="20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根据危险物质数量与临界量比值（Q）和行业及生产工艺（M），按照HJ169附录C中表C.2确定危险物质及工艺系统危险性等级（P），分别以P1、P2、P3、P4表示。</w:t>
            </w:r>
          </w:p>
          <w:p w14:paraId="609C0927">
            <w:pPr>
              <w:ind w:firstLine="480" w:firstLineChars="20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根据前文分析，本项目Q值属于1≤Q&lt;10，M分级属于M3；根据</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REF _Ref6460 \h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4.7</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3</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val="en-US" w:eastAsia="zh-CN"/>
              </w:rPr>
              <w:t>，本项目危险物质及工艺系统危险性（P）分级为P4（轻度危害）。</w:t>
            </w:r>
          </w:p>
          <w:p w14:paraId="1C5C27F6">
            <w:pPr>
              <w:pStyle w:val="30"/>
              <w:bidi w:val="0"/>
              <w:rPr>
                <w:rFonts w:hint="default" w:ascii="Times New Roman" w:hAnsi="Times New Roman" w:cs="Times New Roman"/>
                <w:color w:val="000000"/>
                <w:highlight w:val="none"/>
                <w:lang w:val="en-US" w:eastAsia="zh-CN"/>
              </w:rPr>
            </w:pPr>
            <w:bookmarkStart w:id="418" w:name="_Ref6460"/>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4.7</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表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w:t>
            </w:r>
            <w:r>
              <w:rPr>
                <w:rFonts w:hint="default" w:ascii="Times New Roman" w:hAnsi="Times New Roman" w:cs="Times New Roman"/>
                <w:color w:val="000000"/>
                <w:highlight w:val="none"/>
              </w:rPr>
              <w:fldChar w:fldCharType="end"/>
            </w:r>
            <w:bookmarkEnd w:id="418"/>
            <w:r>
              <w:rPr>
                <w:rFonts w:hint="default" w:ascii="Times New Roman" w:hAnsi="Times New Roman" w:cs="Times New Roman"/>
                <w:color w:val="000000"/>
                <w:highlight w:val="none"/>
                <w:lang w:val="en-US" w:eastAsia="zh-CN"/>
              </w:rPr>
              <w:t xml:space="preserve"> 危险物质及工艺系统危险性等级判断（P）</w:t>
            </w:r>
          </w:p>
          <w:tbl>
            <w:tblPr>
              <w:tblStyle w:val="22"/>
              <w:tblW w:w="823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91"/>
              <w:gridCol w:w="1487"/>
              <w:gridCol w:w="1487"/>
              <w:gridCol w:w="1487"/>
              <w:gridCol w:w="1487"/>
            </w:tblGrid>
            <w:tr w14:paraId="16F004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91" w:type="dxa"/>
                  <w:vMerge w:val="restart"/>
                  <w:noWrap w:val="0"/>
                  <w:vAlign w:val="center"/>
                </w:tcPr>
                <w:p w14:paraId="45551A0A">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危险物质及工艺系统危险性等级判断（P）</w:t>
                  </w:r>
                </w:p>
              </w:tc>
              <w:tc>
                <w:tcPr>
                  <w:tcW w:w="5948" w:type="dxa"/>
                  <w:gridSpan w:val="4"/>
                  <w:noWrap w:val="0"/>
                  <w:vAlign w:val="center"/>
                </w:tcPr>
                <w:p w14:paraId="1C799CD0">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危险物质及工艺系统危险性等级判断（P）</w:t>
                  </w:r>
                </w:p>
              </w:tc>
            </w:tr>
            <w:tr w14:paraId="4250AA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91" w:type="dxa"/>
                  <w:vMerge w:val="continue"/>
                  <w:noWrap w:val="0"/>
                  <w:vAlign w:val="center"/>
                </w:tcPr>
                <w:p w14:paraId="7337C52F">
                  <w:pPr>
                    <w:pStyle w:val="31"/>
                    <w:bidi w:val="0"/>
                    <w:jc w:val="center"/>
                    <w:rPr>
                      <w:rFonts w:hint="default" w:ascii="Times New Roman" w:hAnsi="Times New Roman" w:cs="Times New Roman"/>
                      <w:b/>
                      <w:bCs/>
                      <w:color w:val="000000"/>
                      <w:highlight w:val="none"/>
                      <w:lang w:val="en-US" w:eastAsia="zh-CN"/>
                    </w:rPr>
                  </w:pPr>
                </w:p>
              </w:tc>
              <w:tc>
                <w:tcPr>
                  <w:tcW w:w="1487" w:type="dxa"/>
                  <w:noWrap w:val="0"/>
                  <w:vAlign w:val="center"/>
                </w:tcPr>
                <w:p w14:paraId="2E088F9E">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M1</w:t>
                  </w:r>
                </w:p>
              </w:tc>
              <w:tc>
                <w:tcPr>
                  <w:tcW w:w="1487" w:type="dxa"/>
                  <w:noWrap w:val="0"/>
                  <w:vAlign w:val="center"/>
                </w:tcPr>
                <w:p w14:paraId="342F39A7">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M2</w:t>
                  </w:r>
                </w:p>
              </w:tc>
              <w:tc>
                <w:tcPr>
                  <w:tcW w:w="1487" w:type="dxa"/>
                  <w:noWrap w:val="0"/>
                  <w:vAlign w:val="center"/>
                </w:tcPr>
                <w:p w14:paraId="4FFC19A2">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M3</w:t>
                  </w:r>
                </w:p>
              </w:tc>
              <w:tc>
                <w:tcPr>
                  <w:tcW w:w="1487" w:type="dxa"/>
                  <w:noWrap w:val="0"/>
                  <w:vAlign w:val="center"/>
                </w:tcPr>
                <w:p w14:paraId="4DC0DDEA">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M4</w:t>
                  </w:r>
                </w:p>
              </w:tc>
            </w:tr>
            <w:tr w14:paraId="7D817D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91" w:type="dxa"/>
                  <w:noWrap w:val="0"/>
                  <w:vAlign w:val="center"/>
                </w:tcPr>
                <w:p w14:paraId="28C0AEAA">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Q≥100</w:t>
                  </w:r>
                </w:p>
              </w:tc>
              <w:tc>
                <w:tcPr>
                  <w:tcW w:w="1487" w:type="dxa"/>
                  <w:noWrap w:val="0"/>
                  <w:vAlign w:val="center"/>
                </w:tcPr>
                <w:p w14:paraId="669F4339">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P1</w:t>
                  </w:r>
                </w:p>
              </w:tc>
              <w:tc>
                <w:tcPr>
                  <w:tcW w:w="1487" w:type="dxa"/>
                  <w:noWrap w:val="0"/>
                  <w:vAlign w:val="center"/>
                </w:tcPr>
                <w:p w14:paraId="366C0576">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P1</w:t>
                  </w:r>
                </w:p>
              </w:tc>
              <w:tc>
                <w:tcPr>
                  <w:tcW w:w="1487" w:type="dxa"/>
                  <w:noWrap w:val="0"/>
                  <w:vAlign w:val="center"/>
                </w:tcPr>
                <w:p w14:paraId="799EA1A4">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P2</w:t>
                  </w:r>
                </w:p>
              </w:tc>
              <w:tc>
                <w:tcPr>
                  <w:tcW w:w="1487" w:type="dxa"/>
                  <w:noWrap w:val="0"/>
                  <w:vAlign w:val="center"/>
                </w:tcPr>
                <w:p w14:paraId="37F6C8A9">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P3</w:t>
                  </w:r>
                </w:p>
              </w:tc>
            </w:tr>
            <w:tr w14:paraId="46A36E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91" w:type="dxa"/>
                  <w:noWrap w:val="0"/>
                  <w:vAlign w:val="center"/>
                </w:tcPr>
                <w:p w14:paraId="6AD02A22">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10≤Q&lt;100</w:t>
                  </w:r>
                </w:p>
              </w:tc>
              <w:tc>
                <w:tcPr>
                  <w:tcW w:w="1487" w:type="dxa"/>
                  <w:noWrap w:val="0"/>
                  <w:vAlign w:val="center"/>
                </w:tcPr>
                <w:p w14:paraId="75F8D241">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P1</w:t>
                  </w:r>
                </w:p>
              </w:tc>
              <w:tc>
                <w:tcPr>
                  <w:tcW w:w="1487" w:type="dxa"/>
                  <w:noWrap w:val="0"/>
                  <w:vAlign w:val="center"/>
                </w:tcPr>
                <w:p w14:paraId="06A4667A">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P2</w:t>
                  </w:r>
                </w:p>
              </w:tc>
              <w:tc>
                <w:tcPr>
                  <w:tcW w:w="1487" w:type="dxa"/>
                  <w:noWrap w:val="0"/>
                  <w:vAlign w:val="center"/>
                </w:tcPr>
                <w:p w14:paraId="004034D7">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P3</w:t>
                  </w:r>
                </w:p>
              </w:tc>
              <w:tc>
                <w:tcPr>
                  <w:tcW w:w="1487" w:type="dxa"/>
                  <w:noWrap w:val="0"/>
                  <w:vAlign w:val="center"/>
                </w:tcPr>
                <w:p w14:paraId="799F105B">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P4</w:t>
                  </w:r>
                </w:p>
              </w:tc>
            </w:tr>
            <w:tr w14:paraId="5A60B0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91" w:type="dxa"/>
                  <w:shd w:val="clear" w:color="auto" w:fill="auto"/>
                  <w:noWrap w:val="0"/>
                  <w:vAlign w:val="center"/>
                </w:tcPr>
                <w:p w14:paraId="02A76BD8">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1≤Q&lt;10</w:t>
                  </w:r>
                </w:p>
              </w:tc>
              <w:tc>
                <w:tcPr>
                  <w:tcW w:w="1487" w:type="dxa"/>
                  <w:shd w:val="clear" w:color="auto" w:fill="auto"/>
                  <w:noWrap w:val="0"/>
                  <w:vAlign w:val="center"/>
                </w:tcPr>
                <w:p w14:paraId="06058549">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P2</w:t>
                  </w:r>
                </w:p>
              </w:tc>
              <w:tc>
                <w:tcPr>
                  <w:tcW w:w="1487" w:type="dxa"/>
                  <w:shd w:val="clear" w:color="auto" w:fill="auto"/>
                  <w:noWrap w:val="0"/>
                  <w:vAlign w:val="center"/>
                </w:tcPr>
                <w:p w14:paraId="0F083827">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P3</w:t>
                  </w:r>
                </w:p>
              </w:tc>
              <w:tc>
                <w:tcPr>
                  <w:tcW w:w="1487" w:type="dxa"/>
                  <w:shd w:val="clear" w:color="auto" w:fill="auto"/>
                  <w:noWrap w:val="0"/>
                  <w:vAlign w:val="center"/>
                </w:tcPr>
                <w:p w14:paraId="325C36C6">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P4</w:t>
                  </w:r>
                </w:p>
              </w:tc>
              <w:tc>
                <w:tcPr>
                  <w:tcW w:w="1487" w:type="dxa"/>
                  <w:shd w:val="clear" w:color="auto" w:fill="A4A4A4"/>
                  <w:noWrap w:val="0"/>
                  <w:vAlign w:val="center"/>
                </w:tcPr>
                <w:p w14:paraId="1DF9A408">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P4</w:t>
                  </w:r>
                </w:p>
              </w:tc>
            </w:tr>
          </w:tbl>
          <w:p w14:paraId="7B8E5610">
            <w:pPr>
              <w:pStyle w:val="5"/>
              <w:bidi w:val="0"/>
              <w:rPr>
                <w:rFonts w:hint="default"/>
                <w:lang w:val="en-US" w:eastAsia="zh-CN"/>
              </w:rPr>
            </w:pPr>
            <w:bookmarkStart w:id="419" w:name="_Toc1325"/>
            <w:r>
              <w:rPr>
                <w:rFonts w:hint="default"/>
                <w:lang w:val="en-US" w:eastAsia="zh-CN"/>
              </w:rPr>
              <w:t>环境敏感程度（E）的分级确定</w:t>
            </w:r>
            <w:bookmarkEnd w:id="419"/>
          </w:p>
          <w:p w14:paraId="5BDC59AA">
            <w:pPr>
              <w:ind w:firstLine="480" w:firstLineChars="20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按照《环境影响评价技术导则 海洋生态环境》（GB/T 1409-2025）附录G中的表G.2，依据事故情况下危险物质泄漏可能影响生态敏感区的情况，分为三种类型，E1为环境高度敏感区，E2为环境中度敏感区，E3为环境低度敏感区。</w:t>
            </w:r>
          </w:p>
          <w:p w14:paraId="2A8AD9D6">
            <w:pPr>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本工程溢油点所处海域为海坛海峡-兴化湾二类区（FZ28-B-Ⅱ），执行《海水水质标准》（GB3097-1997）中第二类标准。根据</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REF _Ref6786 \h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4.7</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4</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val="en-US" w:eastAsia="zh-CN"/>
              </w:rPr>
              <w:t>，本项目环境敏感程度为E2。</w:t>
            </w:r>
          </w:p>
          <w:p w14:paraId="72F11174">
            <w:pPr>
              <w:pStyle w:val="30"/>
              <w:bidi w:val="0"/>
              <w:rPr>
                <w:rFonts w:hint="default" w:ascii="Times New Roman" w:hAnsi="Times New Roman" w:cs="Times New Roman"/>
                <w:color w:val="000000"/>
                <w:highlight w:val="none"/>
                <w:lang w:val="en-US" w:eastAsia="zh-CN"/>
              </w:rPr>
            </w:pPr>
            <w:bookmarkStart w:id="420" w:name="_Ref6786"/>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4.7</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表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w:t>
            </w:r>
            <w:r>
              <w:rPr>
                <w:rFonts w:hint="default" w:ascii="Times New Roman" w:hAnsi="Times New Roman" w:cs="Times New Roman"/>
                <w:color w:val="000000"/>
                <w:highlight w:val="none"/>
              </w:rPr>
              <w:fldChar w:fldCharType="end"/>
            </w:r>
            <w:bookmarkEnd w:id="420"/>
            <w:r>
              <w:rPr>
                <w:rFonts w:hint="default" w:ascii="Times New Roman" w:hAnsi="Times New Roman" w:cs="Times New Roman"/>
                <w:color w:val="000000"/>
                <w:highlight w:val="none"/>
                <w:lang w:val="en-US" w:eastAsia="zh-CN"/>
              </w:rPr>
              <w:t xml:space="preserve"> 环境敏感程度分级</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40"/>
              <w:gridCol w:w="6893"/>
            </w:tblGrid>
            <w:tr w14:paraId="3CB0F5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4" w:type="pct"/>
                  <w:noWrap w:val="0"/>
                  <w:vAlign w:val="center"/>
                </w:tcPr>
                <w:p w14:paraId="580DFF21">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敏感性</w:t>
                  </w:r>
                </w:p>
              </w:tc>
              <w:tc>
                <w:tcPr>
                  <w:tcW w:w="4185" w:type="pct"/>
                  <w:noWrap w:val="0"/>
                  <w:vAlign w:val="center"/>
                </w:tcPr>
                <w:p w14:paraId="65B091A8">
                  <w:pPr>
                    <w:pStyle w:val="31"/>
                    <w:bidi w:val="0"/>
                    <w:jc w:val="cente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环境敏感特征</w:t>
                  </w:r>
                </w:p>
              </w:tc>
            </w:tr>
            <w:tr w14:paraId="6F3CE8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4" w:type="pct"/>
                  <w:noWrap w:val="0"/>
                  <w:vAlign w:val="center"/>
                </w:tcPr>
                <w:p w14:paraId="07980491">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E1</w:t>
                  </w:r>
                </w:p>
              </w:tc>
              <w:tc>
                <w:tcPr>
                  <w:tcW w:w="4185" w:type="pct"/>
                  <w:noWrap w:val="0"/>
                  <w:vAlign w:val="center"/>
                </w:tcPr>
                <w:p w14:paraId="75F3FA95">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危险物质泄漏到海洋的排放点位于海水水质分类第一类区域或重要敏感区</w:t>
                  </w:r>
                </w:p>
              </w:tc>
            </w:tr>
            <w:tr w14:paraId="06BEB5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4" w:type="pct"/>
                  <w:shd w:val="clear" w:color="auto" w:fill="BEBEBE"/>
                  <w:noWrap w:val="0"/>
                  <w:vAlign w:val="center"/>
                </w:tcPr>
                <w:p w14:paraId="7AFC18DE">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E2</w:t>
                  </w:r>
                </w:p>
              </w:tc>
              <w:tc>
                <w:tcPr>
                  <w:tcW w:w="4185" w:type="pct"/>
                  <w:shd w:val="clear" w:color="auto" w:fill="BEBEBE"/>
                  <w:noWrap w:val="0"/>
                  <w:vAlign w:val="center"/>
                </w:tcPr>
                <w:p w14:paraId="505F20F4">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危险物质泄漏到海洋的排放点位于海水水质分类第二类区域或一般敏感区</w:t>
                  </w:r>
                </w:p>
              </w:tc>
            </w:tr>
            <w:tr w14:paraId="572221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4" w:type="pct"/>
                  <w:noWrap w:val="0"/>
                  <w:vAlign w:val="center"/>
                </w:tcPr>
                <w:p w14:paraId="3098E6CE">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E3</w:t>
                  </w:r>
                </w:p>
              </w:tc>
              <w:tc>
                <w:tcPr>
                  <w:tcW w:w="4185" w:type="pct"/>
                  <w:noWrap w:val="0"/>
                  <w:vAlign w:val="center"/>
                </w:tcPr>
                <w:p w14:paraId="157ABC54">
                  <w:pPr>
                    <w:pStyle w:val="31"/>
                    <w:bidi w:val="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上述地区之外的其他地区</w:t>
                  </w:r>
                </w:p>
              </w:tc>
            </w:tr>
          </w:tbl>
          <w:p w14:paraId="51947985">
            <w:pPr>
              <w:pStyle w:val="5"/>
              <w:bidi w:val="0"/>
              <w:rPr>
                <w:rFonts w:hint="default"/>
                <w:lang w:val="en-US" w:eastAsia="zh-CN"/>
              </w:rPr>
            </w:pPr>
            <w:bookmarkStart w:id="421" w:name="_Toc11900"/>
            <w:r>
              <w:rPr>
                <w:rFonts w:hint="default"/>
                <w:lang w:val="en-US" w:eastAsia="zh-CN"/>
              </w:rPr>
              <w:t>环境风险潜势划分</w:t>
            </w:r>
            <w:bookmarkEnd w:id="421"/>
          </w:p>
          <w:p w14:paraId="0FF9FD7F">
            <w:pPr>
              <w:ind w:firstLine="480" w:firstLineChars="20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建设项目环境风险潜势划分为Ⅰ、Ⅱ、Ⅲ、Ⅳ/Ⅳ+级。根据建设项目涉及的物质和工艺系统的危险性及其所在地的环境敏感程度，结合事故情形下环境影响途径，对建设项目潜在的环境危害程度进行概化分析。</w:t>
            </w:r>
          </w:p>
          <w:p w14:paraId="31891A83">
            <w:pPr>
              <w:ind w:firstLine="480" w:firstLineChars="20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根据前文分析，本项目危险物质及工艺系统危险性为P4，环境敏感程度为E2。根据</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REF _Ref32450 \h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4.7</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5</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val="en-US" w:eastAsia="zh-CN"/>
              </w:rPr>
              <w:t>可知，本项目的环境风险潜势为Ⅱ。</w:t>
            </w:r>
          </w:p>
          <w:p w14:paraId="2D9D46B5">
            <w:pPr>
              <w:pStyle w:val="30"/>
              <w:bidi w:val="0"/>
              <w:rPr>
                <w:rFonts w:hint="default" w:ascii="Times New Roman" w:hAnsi="Times New Roman" w:cs="Times New Roman"/>
                <w:color w:val="000000"/>
                <w:highlight w:val="none"/>
              </w:rPr>
            </w:pPr>
            <w:bookmarkStart w:id="422" w:name="_Ref32450"/>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4.7</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表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5</w:t>
            </w:r>
            <w:r>
              <w:rPr>
                <w:rFonts w:hint="default" w:ascii="Times New Roman" w:hAnsi="Times New Roman" w:cs="Times New Roman"/>
                <w:color w:val="000000"/>
                <w:highlight w:val="none"/>
              </w:rPr>
              <w:fldChar w:fldCharType="end"/>
            </w:r>
            <w:bookmarkEnd w:id="422"/>
            <w:r>
              <w:rPr>
                <w:rFonts w:hint="default" w:ascii="Times New Roman" w:hAnsi="Times New Roman" w:cs="Times New Roman"/>
                <w:color w:val="000000"/>
                <w:highlight w:val="none"/>
                <w:lang w:val="en-US" w:eastAsia="zh-CN"/>
              </w:rPr>
              <w:t xml:space="preserve"> </w:t>
            </w:r>
            <w:r>
              <w:rPr>
                <w:rFonts w:hint="default" w:ascii="Times New Roman" w:hAnsi="Times New Roman" w:cs="Times New Roman"/>
                <w:color w:val="000000"/>
                <w:highlight w:val="none"/>
              </w:rPr>
              <w:t>建设项目环境风险潜势划分</w:t>
            </w:r>
          </w:p>
          <w:tbl>
            <w:tblPr>
              <w:tblStyle w:val="32"/>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2168"/>
              <w:gridCol w:w="1513"/>
              <w:gridCol w:w="1516"/>
              <w:gridCol w:w="1516"/>
              <w:gridCol w:w="1518"/>
            </w:tblGrid>
            <w:tr w14:paraId="7F7AAB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1317" w:type="pct"/>
                  <w:vMerge w:val="restart"/>
                  <w:noWrap w:val="0"/>
                  <w:vAlign w:val="center"/>
                </w:tcPr>
                <w:p w14:paraId="6027AAC7">
                  <w:pPr>
                    <w:pStyle w:val="31"/>
                    <w:bidi w:val="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环境敏感程度（E）</w:t>
                  </w:r>
                </w:p>
              </w:tc>
              <w:tc>
                <w:tcPr>
                  <w:tcW w:w="3682" w:type="pct"/>
                  <w:gridSpan w:val="4"/>
                  <w:noWrap w:val="0"/>
                  <w:vAlign w:val="center"/>
                </w:tcPr>
                <w:p w14:paraId="3BD2ACC3">
                  <w:pPr>
                    <w:pStyle w:val="31"/>
                    <w:bidi w:val="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危险物质及工艺系统危险性（P）</w:t>
                  </w:r>
                </w:p>
              </w:tc>
            </w:tr>
            <w:tr w14:paraId="162DAE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1317" w:type="pct"/>
                  <w:vMerge w:val="continue"/>
                  <w:noWrap w:val="0"/>
                  <w:vAlign w:val="center"/>
                </w:tcPr>
                <w:p w14:paraId="5401AAC7">
                  <w:pPr>
                    <w:pStyle w:val="31"/>
                    <w:bidi w:val="0"/>
                    <w:rPr>
                      <w:rFonts w:hint="default" w:ascii="Times New Roman" w:hAnsi="Times New Roman" w:cs="Times New Roman"/>
                      <w:b/>
                      <w:bCs/>
                      <w:color w:val="000000"/>
                      <w:highlight w:val="none"/>
                      <w:lang w:val="en-US" w:eastAsia="zh-CN"/>
                    </w:rPr>
                  </w:pPr>
                </w:p>
              </w:tc>
              <w:tc>
                <w:tcPr>
                  <w:tcW w:w="919" w:type="pct"/>
                  <w:noWrap w:val="0"/>
                  <w:vAlign w:val="center"/>
                </w:tcPr>
                <w:p w14:paraId="62E28F4D">
                  <w:pPr>
                    <w:pStyle w:val="31"/>
                    <w:bidi w:val="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极度危害（P1）</w:t>
                  </w:r>
                </w:p>
              </w:tc>
              <w:tc>
                <w:tcPr>
                  <w:tcW w:w="921" w:type="pct"/>
                  <w:noWrap w:val="0"/>
                  <w:vAlign w:val="center"/>
                </w:tcPr>
                <w:p w14:paraId="3E3B2997">
                  <w:pPr>
                    <w:pStyle w:val="31"/>
                    <w:bidi w:val="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高度危害（P2）</w:t>
                  </w:r>
                </w:p>
              </w:tc>
              <w:tc>
                <w:tcPr>
                  <w:tcW w:w="921" w:type="pct"/>
                  <w:noWrap w:val="0"/>
                  <w:vAlign w:val="center"/>
                </w:tcPr>
                <w:p w14:paraId="3308C1EF">
                  <w:pPr>
                    <w:pStyle w:val="31"/>
                    <w:bidi w:val="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中度危害（P3）</w:t>
                  </w:r>
                </w:p>
              </w:tc>
              <w:tc>
                <w:tcPr>
                  <w:tcW w:w="920" w:type="pct"/>
                  <w:noWrap w:val="0"/>
                  <w:vAlign w:val="center"/>
                </w:tcPr>
                <w:p w14:paraId="371731C3">
                  <w:pPr>
                    <w:pStyle w:val="31"/>
                    <w:bidi w:val="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轻度危害（P4）</w:t>
                  </w:r>
                </w:p>
              </w:tc>
            </w:tr>
            <w:tr w14:paraId="6217FC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1317" w:type="pct"/>
                  <w:noWrap w:val="0"/>
                  <w:vAlign w:val="center"/>
                </w:tcPr>
                <w:p w14:paraId="1FE5F6AC">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环境高度敏感区（E1）</w:t>
                  </w:r>
                </w:p>
              </w:tc>
              <w:tc>
                <w:tcPr>
                  <w:tcW w:w="919" w:type="pct"/>
                  <w:noWrap w:val="0"/>
                  <w:vAlign w:val="center"/>
                </w:tcPr>
                <w:p w14:paraId="20B69033">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Ⅳ+</w:t>
                  </w:r>
                </w:p>
              </w:tc>
              <w:tc>
                <w:tcPr>
                  <w:tcW w:w="921" w:type="pct"/>
                  <w:noWrap w:val="0"/>
                  <w:vAlign w:val="center"/>
                </w:tcPr>
                <w:p w14:paraId="502A3EE0">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Ⅳ</w:t>
                  </w:r>
                </w:p>
              </w:tc>
              <w:tc>
                <w:tcPr>
                  <w:tcW w:w="921" w:type="pct"/>
                  <w:noWrap w:val="0"/>
                  <w:vAlign w:val="center"/>
                </w:tcPr>
                <w:p w14:paraId="362F0FAA">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Ⅲ</w:t>
                  </w:r>
                </w:p>
              </w:tc>
              <w:tc>
                <w:tcPr>
                  <w:tcW w:w="920" w:type="pct"/>
                  <w:noWrap w:val="0"/>
                  <w:vAlign w:val="center"/>
                </w:tcPr>
                <w:p w14:paraId="7DAC77DB">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Ⅲ</w:t>
                  </w:r>
                </w:p>
              </w:tc>
            </w:tr>
            <w:tr w14:paraId="0758A0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1317" w:type="pct"/>
                  <w:shd w:val="clear" w:color="auto" w:fill="auto"/>
                  <w:noWrap w:val="0"/>
                  <w:vAlign w:val="center"/>
                </w:tcPr>
                <w:p w14:paraId="573C47D6">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环境中度敏感区（E2）</w:t>
                  </w:r>
                </w:p>
              </w:tc>
              <w:tc>
                <w:tcPr>
                  <w:tcW w:w="919" w:type="pct"/>
                  <w:shd w:val="clear" w:color="auto" w:fill="auto"/>
                  <w:noWrap w:val="0"/>
                  <w:vAlign w:val="center"/>
                </w:tcPr>
                <w:p w14:paraId="31D76F36">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Ⅳ</w:t>
                  </w:r>
                </w:p>
              </w:tc>
              <w:tc>
                <w:tcPr>
                  <w:tcW w:w="921" w:type="pct"/>
                  <w:shd w:val="clear" w:color="auto" w:fill="auto"/>
                  <w:noWrap w:val="0"/>
                  <w:vAlign w:val="center"/>
                </w:tcPr>
                <w:p w14:paraId="5F91D802">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Ⅲ</w:t>
                  </w:r>
                </w:p>
              </w:tc>
              <w:tc>
                <w:tcPr>
                  <w:tcW w:w="921" w:type="pct"/>
                  <w:shd w:val="clear" w:color="auto" w:fill="auto"/>
                  <w:noWrap w:val="0"/>
                  <w:vAlign w:val="center"/>
                </w:tcPr>
                <w:p w14:paraId="36420694">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Ⅲ</w:t>
                  </w:r>
                </w:p>
              </w:tc>
              <w:tc>
                <w:tcPr>
                  <w:tcW w:w="920" w:type="pct"/>
                  <w:shd w:val="clear" w:color="auto" w:fill="BEBEBE"/>
                  <w:noWrap w:val="0"/>
                  <w:vAlign w:val="center"/>
                </w:tcPr>
                <w:p w14:paraId="1A739453">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Ⅱ</w:t>
                  </w:r>
                </w:p>
              </w:tc>
            </w:tr>
            <w:tr w14:paraId="1E89AD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1317" w:type="pct"/>
                  <w:noWrap w:val="0"/>
                  <w:vAlign w:val="center"/>
                </w:tcPr>
                <w:p w14:paraId="263630C8">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环境低度敏感区（E3）</w:t>
                  </w:r>
                </w:p>
              </w:tc>
              <w:tc>
                <w:tcPr>
                  <w:tcW w:w="919" w:type="pct"/>
                  <w:noWrap w:val="0"/>
                  <w:vAlign w:val="center"/>
                </w:tcPr>
                <w:p w14:paraId="67299C6D">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Ⅲ</w:t>
                  </w:r>
                </w:p>
              </w:tc>
              <w:tc>
                <w:tcPr>
                  <w:tcW w:w="921" w:type="pct"/>
                  <w:noWrap w:val="0"/>
                  <w:vAlign w:val="center"/>
                </w:tcPr>
                <w:p w14:paraId="64393A98">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Ⅲ</w:t>
                  </w:r>
                </w:p>
              </w:tc>
              <w:tc>
                <w:tcPr>
                  <w:tcW w:w="921" w:type="pct"/>
                  <w:noWrap w:val="0"/>
                  <w:vAlign w:val="center"/>
                </w:tcPr>
                <w:p w14:paraId="6006A42C">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Ⅱ</w:t>
                  </w:r>
                </w:p>
              </w:tc>
              <w:tc>
                <w:tcPr>
                  <w:tcW w:w="920" w:type="pct"/>
                  <w:noWrap w:val="0"/>
                  <w:vAlign w:val="center"/>
                </w:tcPr>
                <w:p w14:paraId="77C12067">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Ⅰ</w:t>
                  </w:r>
                </w:p>
              </w:tc>
            </w:tr>
            <w:tr w14:paraId="10F3E1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5000" w:type="pct"/>
                  <w:gridSpan w:val="5"/>
                  <w:noWrap w:val="0"/>
                  <w:vAlign w:val="center"/>
                </w:tcPr>
                <w:p w14:paraId="59556513">
                  <w:pPr>
                    <w:pStyle w:val="31"/>
                    <w:bidi w:val="0"/>
                    <w:jc w:val="both"/>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注：Ⅳ+为极高环境风险。</w:t>
                  </w:r>
                </w:p>
              </w:tc>
            </w:tr>
          </w:tbl>
          <w:p w14:paraId="04A3FC23">
            <w:pPr>
              <w:pStyle w:val="5"/>
              <w:bidi w:val="0"/>
              <w:rPr>
                <w:rFonts w:hint="default"/>
                <w:lang w:val="en-US" w:eastAsia="zh-CN"/>
              </w:rPr>
            </w:pPr>
            <w:bookmarkStart w:id="423" w:name="_Toc10173"/>
            <w:r>
              <w:rPr>
                <w:rFonts w:hint="default"/>
                <w:lang w:val="en-US" w:eastAsia="zh-CN"/>
              </w:rPr>
              <w:t>环境风险评价工作等级</w:t>
            </w:r>
            <w:bookmarkEnd w:id="423"/>
          </w:p>
          <w:p w14:paraId="68531AC6">
            <w:pPr>
              <w:bidi w:val="0"/>
              <w:ind w:firstLine="480" w:firstLineChars="20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环境风险评价工作等级划分为一级、二级、三级。根据建设项目涉及的物质及工艺系统危险性和所在地的环境敏感性确定环境风险潜势，按照</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REF _Ref7779 \h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4.7</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6</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val="en-US" w:eastAsia="zh-CN"/>
              </w:rPr>
              <w:t>确定评价工作等级。</w:t>
            </w:r>
          </w:p>
          <w:p w14:paraId="32A0997C">
            <w:pPr>
              <w:bidi w:val="0"/>
              <w:ind w:firstLine="480" w:firstLineChars="20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根据前述环境风险潜势判定结果，本项目环境风险潜势为Ⅱ，因此，本项目环境风险评价工作等级为三级。</w:t>
            </w:r>
          </w:p>
          <w:p w14:paraId="6B7EAD23">
            <w:pPr>
              <w:pStyle w:val="30"/>
              <w:bidi w:val="0"/>
              <w:rPr>
                <w:rFonts w:hint="default" w:ascii="Times New Roman" w:hAnsi="Times New Roman" w:cs="Times New Roman"/>
                <w:color w:val="000000"/>
                <w:highlight w:val="none"/>
              </w:rPr>
            </w:pPr>
            <w:bookmarkStart w:id="424" w:name="_Ref7779"/>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4.7</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表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6</w:t>
            </w:r>
            <w:r>
              <w:rPr>
                <w:rFonts w:hint="default" w:ascii="Times New Roman" w:hAnsi="Times New Roman" w:cs="Times New Roman"/>
                <w:color w:val="000000"/>
                <w:highlight w:val="none"/>
              </w:rPr>
              <w:fldChar w:fldCharType="end"/>
            </w:r>
            <w:bookmarkEnd w:id="424"/>
            <w:r>
              <w:rPr>
                <w:rFonts w:hint="default" w:ascii="Times New Roman" w:hAnsi="Times New Roman" w:cs="Times New Roman"/>
                <w:color w:val="000000"/>
                <w:highlight w:val="none"/>
                <w:lang w:val="en-US" w:eastAsia="zh-CN"/>
              </w:rPr>
              <w:t xml:space="preserve"> </w:t>
            </w:r>
            <w:r>
              <w:rPr>
                <w:rFonts w:hint="default" w:ascii="Times New Roman" w:hAnsi="Times New Roman" w:cs="Times New Roman"/>
                <w:color w:val="000000"/>
                <w:highlight w:val="none"/>
              </w:rPr>
              <w:t>评价工作等级划分</w:t>
            </w:r>
          </w:p>
          <w:tbl>
            <w:tblPr>
              <w:tblStyle w:val="32"/>
              <w:tblW w:w="50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648"/>
              <w:gridCol w:w="1646"/>
              <w:gridCol w:w="1648"/>
              <w:gridCol w:w="1648"/>
              <w:gridCol w:w="1650"/>
            </w:tblGrid>
            <w:tr w14:paraId="5B6BC6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1000" w:type="pct"/>
                  <w:noWrap w:val="0"/>
                  <w:vAlign w:val="center"/>
                </w:tcPr>
                <w:p w14:paraId="13ABC2A1">
                  <w:pPr>
                    <w:pStyle w:val="31"/>
                    <w:bidi w:val="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环境风险潜势</w:t>
                  </w:r>
                </w:p>
              </w:tc>
              <w:tc>
                <w:tcPr>
                  <w:tcW w:w="999" w:type="pct"/>
                  <w:noWrap w:val="0"/>
                  <w:vAlign w:val="center"/>
                </w:tcPr>
                <w:p w14:paraId="5EC91757">
                  <w:pPr>
                    <w:pStyle w:val="31"/>
                    <w:bidi w:val="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Ⅳ、Ⅳ+</w:t>
                  </w:r>
                </w:p>
              </w:tc>
              <w:tc>
                <w:tcPr>
                  <w:tcW w:w="1000" w:type="pct"/>
                  <w:noWrap w:val="0"/>
                  <w:vAlign w:val="center"/>
                </w:tcPr>
                <w:p w14:paraId="4A007A70">
                  <w:pPr>
                    <w:pStyle w:val="31"/>
                    <w:bidi w:val="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Ⅲ</w:t>
                  </w:r>
                </w:p>
              </w:tc>
              <w:tc>
                <w:tcPr>
                  <w:tcW w:w="1000" w:type="pct"/>
                  <w:noWrap w:val="0"/>
                  <w:vAlign w:val="center"/>
                </w:tcPr>
                <w:p w14:paraId="545EA873">
                  <w:pPr>
                    <w:pStyle w:val="31"/>
                    <w:bidi w:val="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Ⅱ</w:t>
                  </w:r>
                </w:p>
              </w:tc>
              <w:tc>
                <w:tcPr>
                  <w:tcW w:w="1000" w:type="pct"/>
                  <w:noWrap w:val="0"/>
                  <w:vAlign w:val="center"/>
                </w:tcPr>
                <w:p w14:paraId="3E089611">
                  <w:pPr>
                    <w:pStyle w:val="31"/>
                    <w:bidi w:val="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Ⅰ</w:t>
                  </w:r>
                </w:p>
              </w:tc>
            </w:tr>
            <w:tr w14:paraId="0E5B43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1000" w:type="pct"/>
                  <w:noWrap w:val="0"/>
                  <w:vAlign w:val="center"/>
                </w:tcPr>
                <w:p w14:paraId="5B76F4FE">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评价工作等级</w:t>
                  </w:r>
                </w:p>
              </w:tc>
              <w:tc>
                <w:tcPr>
                  <w:tcW w:w="999" w:type="pct"/>
                  <w:noWrap w:val="0"/>
                  <w:vAlign w:val="center"/>
                </w:tcPr>
                <w:p w14:paraId="39E86018">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一</w:t>
                  </w:r>
                </w:p>
              </w:tc>
              <w:tc>
                <w:tcPr>
                  <w:tcW w:w="1000" w:type="pct"/>
                  <w:noWrap w:val="0"/>
                  <w:vAlign w:val="center"/>
                </w:tcPr>
                <w:p w14:paraId="381EC537">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二</w:t>
                  </w:r>
                </w:p>
              </w:tc>
              <w:tc>
                <w:tcPr>
                  <w:tcW w:w="1000" w:type="pct"/>
                  <w:noWrap w:val="0"/>
                  <w:vAlign w:val="center"/>
                </w:tcPr>
                <w:p w14:paraId="209FFE62">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三</w:t>
                  </w:r>
                </w:p>
              </w:tc>
              <w:tc>
                <w:tcPr>
                  <w:tcW w:w="1000" w:type="pct"/>
                  <w:noWrap w:val="0"/>
                  <w:vAlign w:val="center"/>
                </w:tcPr>
                <w:p w14:paraId="28D2A1B0">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简单分析</w:t>
                  </w:r>
                  <w:r>
                    <w:rPr>
                      <w:rFonts w:hint="default" w:ascii="Times New Roman" w:hAnsi="Times New Roman" w:cs="Times New Roman"/>
                      <w:color w:val="000000"/>
                      <w:highlight w:val="none"/>
                      <w:vertAlign w:val="superscript"/>
                      <w:lang w:val="en-US" w:eastAsia="zh-CN"/>
                    </w:rPr>
                    <w:t>a</w:t>
                  </w:r>
                </w:p>
              </w:tc>
            </w:tr>
            <w:tr w14:paraId="4DE0A2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5000" w:type="pct"/>
                  <w:gridSpan w:val="5"/>
                  <w:noWrap w:val="0"/>
                  <w:vAlign w:val="center"/>
                </w:tcPr>
                <w:p w14:paraId="22B47773">
                  <w:pPr>
                    <w:pStyle w:val="31"/>
                    <w:bidi w:val="0"/>
                    <w:jc w:val="both"/>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注：a 是相对于详细评价工作内容而言，在描述危险物质、环境影响途径、环境危害后果、风险防范措施等方面给出定性的说明</w:t>
                  </w:r>
                </w:p>
              </w:tc>
            </w:tr>
          </w:tbl>
          <w:p w14:paraId="204235B1">
            <w:pPr>
              <w:pStyle w:val="4"/>
              <w:bidi w:val="0"/>
              <w:rPr>
                <w:rFonts w:hint="default"/>
                <w:lang w:val="en-US" w:eastAsia="zh-CN"/>
              </w:rPr>
            </w:pPr>
            <w:bookmarkStart w:id="425" w:name="_Toc17471"/>
            <w:bookmarkStart w:id="426" w:name="_Toc31632"/>
            <w:bookmarkStart w:id="427" w:name="_Toc19937"/>
            <w:r>
              <w:rPr>
                <w:rFonts w:hint="default"/>
                <w:lang w:val="en-US" w:eastAsia="zh-CN"/>
              </w:rPr>
              <w:t>环境风险识别</w:t>
            </w:r>
            <w:bookmarkEnd w:id="425"/>
            <w:bookmarkEnd w:id="426"/>
            <w:bookmarkEnd w:id="427"/>
          </w:p>
          <w:p w14:paraId="7D587031">
            <w:pPr>
              <w:pStyle w:val="5"/>
              <w:bidi w:val="0"/>
              <w:rPr>
                <w:rFonts w:hint="default"/>
                <w:lang w:val="en-US" w:eastAsia="zh-CN"/>
              </w:rPr>
            </w:pPr>
            <w:bookmarkStart w:id="428" w:name="_Toc22155"/>
            <w:bookmarkStart w:id="429" w:name="_Toc4464"/>
            <w:r>
              <w:rPr>
                <w:rFonts w:hint="default"/>
                <w:lang w:val="en-US" w:eastAsia="zh-CN"/>
              </w:rPr>
              <w:t>物质危险性识别</w:t>
            </w:r>
            <w:bookmarkEnd w:id="428"/>
            <w:bookmarkEnd w:id="429"/>
          </w:p>
          <w:p w14:paraId="45787091">
            <w:pPr>
              <w:ind w:firstLine="480" w:firstLineChars="20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本项目为渔港项目，港区不设置加油码头，不设置油品储罐，不涉及易燃易爆危险品；渔产品废弃物长期堆放可能产生硫化氢，但堆放点位于开放区域且定期清理，发生硫化氢中毒可能性较低。</w:t>
            </w:r>
          </w:p>
          <w:p w14:paraId="0C301BB0">
            <w:pPr>
              <w:ind w:firstLine="480" w:firstLineChars="20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因此，本工程涉及的主要危险物质为船舶燃油。本次溢油点选在渔港口门附近，泄漏量为331.5t，燃料油均为柴油。</w:t>
            </w:r>
          </w:p>
          <w:p w14:paraId="4910E2C2">
            <w:pPr>
              <w:ind w:firstLine="482" w:firstLineChars="20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（1）危险物品的理化性质</w:t>
            </w:r>
          </w:p>
          <w:p w14:paraId="396D0342">
            <w:pPr>
              <w:ind w:firstLine="480" w:firstLineChars="20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本项目所涉及的危险物质为柴油（船舶燃料油），油品具有易燃、易爆、持久性污染环境等危险特性，其理化性质见</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REF _Ref3101 \h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4.7</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7</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val="en-US" w:eastAsia="zh-CN"/>
              </w:rPr>
              <w:t>。</w:t>
            </w:r>
          </w:p>
          <w:p w14:paraId="58205EA9">
            <w:pPr>
              <w:pStyle w:val="30"/>
              <w:bidi w:val="0"/>
              <w:rPr>
                <w:rFonts w:hint="default" w:ascii="Times New Roman" w:hAnsi="Times New Roman" w:cs="Times New Roman"/>
                <w:color w:val="000000"/>
                <w:highlight w:val="none"/>
              </w:rPr>
            </w:pPr>
            <w:bookmarkStart w:id="430" w:name="_Ref3101"/>
          </w:p>
          <w:p w14:paraId="32649D47">
            <w:pPr>
              <w:pStyle w:val="30"/>
              <w:bidi w:val="0"/>
              <w:rPr>
                <w:rFonts w:hint="default" w:ascii="Times New Roman" w:hAnsi="Times New Roman" w:cs="Times New Roman"/>
                <w:color w:val="000000"/>
                <w:highlight w:val="none"/>
              </w:rPr>
            </w:pPr>
          </w:p>
          <w:p w14:paraId="22EB6BD6">
            <w:pPr>
              <w:pStyle w:val="30"/>
              <w:bidi w:val="0"/>
              <w:rPr>
                <w:rFonts w:hint="default" w:ascii="Times New Roman" w:hAnsi="Times New Roman" w:cs="Times New Roman"/>
                <w:color w:val="000000"/>
                <w:highlight w:val="none"/>
              </w:rPr>
            </w:pPr>
          </w:p>
          <w:p w14:paraId="0681F60A">
            <w:pPr>
              <w:pStyle w:val="30"/>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4.7</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表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7</w:t>
            </w:r>
            <w:r>
              <w:rPr>
                <w:rFonts w:hint="default" w:ascii="Times New Roman" w:hAnsi="Times New Roman" w:cs="Times New Roman"/>
                <w:color w:val="000000"/>
                <w:highlight w:val="none"/>
              </w:rPr>
              <w:fldChar w:fldCharType="end"/>
            </w:r>
            <w:bookmarkEnd w:id="430"/>
            <w:r>
              <w:rPr>
                <w:rFonts w:hint="default" w:ascii="Times New Roman" w:hAnsi="Times New Roman" w:cs="Times New Roman"/>
                <w:color w:val="000000"/>
                <w:highlight w:val="none"/>
                <w:lang w:val="en-US" w:eastAsia="zh-CN"/>
              </w:rPr>
              <w:t xml:space="preserve"> </w:t>
            </w:r>
            <w:r>
              <w:rPr>
                <w:rFonts w:hint="default" w:ascii="Times New Roman" w:hAnsi="Times New Roman" w:cs="Times New Roman"/>
                <w:color w:val="000000"/>
                <w:highlight w:val="none"/>
              </w:rPr>
              <w:t>船用燃料油特性一览表</w:t>
            </w:r>
          </w:p>
          <w:tbl>
            <w:tblPr>
              <w:tblStyle w:val="32"/>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13"/>
              <w:gridCol w:w="418"/>
              <w:gridCol w:w="624"/>
              <w:gridCol w:w="1137"/>
              <w:gridCol w:w="631"/>
              <w:gridCol w:w="631"/>
              <w:gridCol w:w="1479"/>
              <w:gridCol w:w="829"/>
              <w:gridCol w:w="829"/>
              <w:gridCol w:w="1235"/>
            </w:tblGrid>
            <w:tr w14:paraId="6BF052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9" w:hRule="atLeast"/>
              </w:trPr>
              <w:tc>
                <w:tcPr>
                  <w:tcW w:w="251" w:type="pct"/>
                  <w:noWrap w:val="0"/>
                  <w:vAlign w:val="center"/>
                </w:tcPr>
                <w:p w14:paraId="2C7550D9">
                  <w:pPr>
                    <w:pStyle w:val="31"/>
                    <w:bidi w:val="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名称</w:t>
                  </w:r>
                </w:p>
              </w:tc>
              <w:tc>
                <w:tcPr>
                  <w:tcW w:w="254" w:type="pct"/>
                  <w:noWrap w:val="0"/>
                  <w:vAlign w:val="center"/>
                </w:tcPr>
                <w:p w14:paraId="75BB8A87">
                  <w:pPr>
                    <w:pStyle w:val="31"/>
                    <w:bidi w:val="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状态</w:t>
                  </w:r>
                </w:p>
              </w:tc>
              <w:tc>
                <w:tcPr>
                  <w:tcW w:w="379" w:type="pct"/>
                  <w:noWrap w:val="0"/>
                  <w:vAlign w:val="center"/>
                </w:tcPr>
                <w:p w14:paraId="4323F5CF">
                  <w:pPr>
                    <w:pStyle w:val="31"/>
                    <w:bidi w:val="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分子量</w:t>
                  </w:r>
                </w:p>
              </w:tc>
              <w:tc>
                <w:tcPr>
                  <w:tcW w:w="690" w:type="pct"/>
                  <w:noWrap w:val="0"/>
                  <w:vAlign w:val="center"/>
                </w:tcPr>
                <w:p w14:paraId="06F569F1">
                  <w:pPr>
                    <w:pStyle w:val="31"/>
                    <w:bidi w:val="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爆炸极限（%）</w:t>
                  </w:r>
                </w:p>
              </w:tc>
              <w:tc>
                <w:tcPr>
                  <w:tcW w:w="383" w:type="pct"/>
                  <w:noWrap w:val="0"/>
                  <w:vAlign w:val="center"/>
                </w:tcPr>
                <w:p w14:paraId="424F8860">
                  <w:pPr>
                    <w:pStyle w:val="31"/>
                    <w:bidi w:val="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闪点℃</w:t>
                  </w:r>
                </w:p>
              </w:tc>
              <w:tc>
                <w:tcPr>
                  <w:tcW w:w="383" w:type="pct"/>
                  <w:noWrap w:val="0"/>
                  <w:vAlign w:val="center"/>
                </w:tcPr>
                <w:p w14:paraId="66EB1032">
                  <w:pPr>
                    <w:pStyle w:val="31"/>
                    <w:bidi w:val="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熔点℃</w:t>
                  </w:r>
                </w:p>
              </w:tc>
              <w:tc>
                <w:tcPr>
                  <w:tcW w:w="898" w:type="pct"/>
                  <w:noWrap w:val="0"/>
                  <w:vAlign w:val="center"/>
                </w:tcPr>
                <w:p w14:paraId="2DE3306C">
                  <w:pPr>
                    <w:pStyle w:val="31"/>
                    <w:bidi w:val="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饱和蒸汽压（kPa）</w:t>
                  </w:r>
                </w:p>
              </w:tc>
              <w:tc>
                <w:tcPr>
                  <w:tcW w:w="503" w:type="pct"/>
                  <w:noWrap w:val="0"/>
                  <w:vAlign w:val="center"/>
                </w:tcPr>
                <w:p w14:paraId="2EE9FEF5">
                  <w:pPr>
                    <w:pStyle w:val="31"/>
                    <w:bidi w:val="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相对密度</w:t>
                  </w:r>
                </w:p>
              </w:tc>
              <w:tc>
                <w:tcPr>
                  <w:tcW w:w="503" w:type="pct"/>
                  <w:noWrap w:val="0"/>
                  <w:vAlign w:val="center"/>
                </w:tcPr>
                <w:p w14:paraId="0A0DBCE2">
                  <w:pPr>
                    <w:pStyle w:val="31"/>
                    <w:bidi w:val="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水溶性</w:t>
                  </w:r>
                </w:p>
              </w:tc>
              <w:tc>
                <w:tcPr>
                  <w:tcW w:w="750" w:type="pct"/>
                  <w:noWrap w:val="0"/>
                  <w:vAlign w:val="center"/>
                </w:tcPr>
                <w:p w14:paraId="4AAF826A">
                  <w:pPr>
                    <w:pStyle w:val="31"/>
                    <w:bidi w:val="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火灾危险等级</w:t>
                  </w:r>
                </w:p>
              </w:tc>
            </w:tr>
            <w:tr w14:paraId="1A4C85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9" w:hRule="atLeast"/>
              </w:trPr>
              <w:tc>
                <w:tcPr>
                  <w:tcW w:w="251" w:type="pct"/>
                  <w:noWrap w:val="0"/>
                  <w:vAlign w:val="center"/>
                </w:tcPr>
                <w:p w14:paraId="5C5558C0">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柴油</w:t>
                  </w:r>
                </w:p>
              </w:tc>
              <w:tc>
                <w:tcPr>
                  <w:tcW w:w="254" w:type="pct"/>
                  <w:noWrap w:val="0"/>
                  <w:vAlign w:val="center"/>
                </w:tcPr>
                <w:p w14:paraId="1D997EE2">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液体</w:t>
                  </w:r>
                </w:p>
              </w:tc>
              <w:tc>
                <w:tcPr>
                  <w:tcW w:w="379" w:type="pct"/>
                  <w:noWrap w:val="0"/>
                  <w:vAlign w:val="center"/>
                </w:tcPr>
                <w:p w14:paraId="573CA1C0">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w:t>
                  </w:r>
                </w:p>
              </w:tc>
              <w:tc>
                <w:tcPr>
                  <w:tcW w:w="690" w:type="pct"/>
                  <w:noWrap w:val="0"/>
                  <w:vAlign w:val="center"/>
                </w:tcPr>
                <w:p w14:paraId="0D2C148E">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0.6—6.5</w:t>
                  </w:r>
                </w:p>
              </w:tc>
              <w:tc>
                <w:tcPr>
                  <w:tcW w:w="383" w:type="pct"/>
                  <w:noWrap w:val="0"/>
                  <w:vAlign w:val="center"/>
                </w:tcPr>
                <w:p w14:paraId="4E678399">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55</w:t>
                  </w:r>
                </w:p>
              </w:tc>
              <w:tc>
                <w:tcPr>
                  <w:tcW w:w="383" w:type="pct"/>
                  <w:noWrap w:val="0"/>
                  <w:vAlign w:val="center"/>
                </w:tcPr>
                <w:p w14:paraId="23D77BC1">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-18</w:t>
                  </w:r>
                </w:p>
              </w:tc>
              <w:tc>
                <w:tcPr>
                  <w:tcW w:w="898" w:type="pct"/>
                  <w:noWrap w:val="0"/>
                  <w:vAlign w:val="center"/>
                </w:tcPr>
                <w:p w14:paraId="0F14EED5">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4.0kPa/20℃</w:t>
                  </w:r>
                </w:p>
              </w:tc>
              <w:tc>
                <w:tcPr>
                  <w:tcW w:w="503" w:type="pct"/>
                  <w:noWrap w:val="0"/>
                  <w:vAlign w:val="center"/>
                </w:tcPr>
                <w:p w14:paraId="443564CF">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0.82-0.87</w:t>
                  </w:r>
                </w:p>
              </w:tc>
              <w:tc>
                <w:tcPr>
                  <w:tcW w:w="503" w:type="pct"/>
                  <w:noWrap w:val="0"/>
                  <w:vAlign w:val="center"/>
                </w:tcPr>
                <w:p w14:paraId="28ABFB6E">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不溶于水</w:t>
                  </w:r>
                </w:p>
              </w:tc>
              <w:tc>
                <w:tcPr>
                  <w:tcW w:w="750" w:type="pct"/>
                  <w:noWrap w:val="0"/>
                  <w:vAlign w:val="center"/>
                </w:tcPr>
                <w:p w14:paraId="2FF94D4C">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乙</w:t>
                  </w:r>
                </w:p>
              </w:tc>
            </w:tr>
          </w:tbl>
          <w:p w14:paraId="2E87CB3E">
            <w:pPr>
              <w:ind w:firstLine="482" w:firstLineChars="20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（2）化学品的危害毒性</w:t>
            </w:r>
          </w:p>
          <w:p w14:paraId="6454832A">
            <w:pPr>
              <w:ind w:firstLine="480" w:firstLineChars="20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本项目涉及的危险品的危害毒理见</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REF _Ref3735 \h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4.7</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8</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val="en-US" w:eastAsia="zh-CN"/>
              </w:rPr>
              <w:t>。</w:t>
            </w:r>
          </w:p>
          <w:p w14:paraId="05FACF09">
            <w:pPr>
              <w:pStyle w:val="30"/>
              <w:bidi w:val="0"/>
              <w:rPr>
                <w:rFonts w:hint="default" w:ascii="Times New Roman" w:hAnsi="Times New Roman" w:cs="Times New Roman"/>
                <w:color w:val="000000"/>
                <w:highlight w:val="none"/>
                <w:lang w:val="en-US" w:eastAsia="zh-CN"/>
              </w:rPr>
            </w:pPr>
            <w:bookmarkStart w:id="431" w:name="_Ref3735"/>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4.7</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表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8</w:t>
            </w:r>
            <w:r>
              <w:rPr>
                <w:rFonts w:hint="default" w:ascii="Times New Roman" w:hAnsi="Times New Roman" w:cs="Times New Roman"/>
                <w:color w:val="000000"/>
                <w:highlight w:val="none"/>
              </w:rPr>
              <w:fldChar w:fldCharType="end"/>
            </w:r>
            <w:bookmarkEnd w:id="431"/>
            <w:r>
              <w:rPr>
                <w:rFonts w:hint="default" w:ascii="Times New Roman" w:hAnsi="Times New Roman" w:cs="Times New Roman"/>
                <w:color w:val="000000"/>
                <w:highlight w:val="none"/>
                <w:lang w:val="en-US" w:eastAsia="zh-CN"/>
              </w:rPr>
              <w:t xml:space="preserve"> </w:t>
            </w:r>
            <w:r>
              <w:rPr>
                <w:rFonts w:hint="default" w:ascii="Times New Roman" w:hAnsi="Times New Roman" w:cs="Times New Roman"/>
                <w:color w:val="000000"/>
                <w:highlight w:val="none"/>
              </w:rPr>
              <w:t>主要危险品危害毒理</w:t>
            </w:r>
          </w:p>
          <w:tbl>
            <w:tblPr>
              <w:tblStyle w:val="32"/>
              <w:tblW w:w="500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640"/>
              <w:gridCol w:w="1546"/>
              <w:gridCol w:w="6060"/>
            </w:tblGrid>
            <w:tr w14:paraId="3F39A9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388" w:type="pct"/>
                  <w:noWrap w:val="0"/>
                  <w:vAlign w:val="center"/>
                </w:tcPr>
                <w:p w14:paraId="299E67D1">
                  <w:pPr>
                    <w:pStyle w:val="31"/>
                    <w:bidi w:val="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名称</w:t>
                  </w:r>
                </w:p>
              </w:tc>
              <w:tc>
                <w:tcPr>
                  <w:tcW w:w="937" w:type="pct"/>
                  <w:noWrap w:val="0"/>
                  <w:vAlign w:val="center"/>
                </w:tcPr>
                <w:p w14:paraId="53F031DC">
                  <w:pPr>
                    <w:pStyle w:val="31"/>
                    <w:bidi w:val="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危险品类别</w:t>
                  </w:r>
                </w:p>
              </w:tc>
              <w:tc>
                <w:tcPr>
                  <w:tcW w:w="3673" w:type="pct"/>
                  <w:noWrap w:val="0"/>
                  <w:vAlign w:val="center"/>
                </w:tcPr>
                <w:p w14:paraId="6EF2229C">
                  <w:pPr>
                    <w:pStyle w:val="31"/>
                    <w:bidi w:val="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主要健康危害</w:t>
                  </w:r>
                </w:p>
              </w:tc>
            </w:tr>
            <w:tr w14:paraId="4B5326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388" w:type="pct"/>
                  <w:vMerge w:val="restart"/>
                  <w:noWrap w:val="0"/>
                  <w:vAlign w:val="center"/>
                </w:tcPr>
                <w:p w14:paraId="5D0964E2">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柴油</w:t>
                  </w:r>
                </w:p>
              </w:tc>
              <w:tc>
                <w:tcPr>
                  <w:tcW w:w="937" w:type="pct"/>
                  <w:vMerge w:val="restart"/>
                  <w:noWrap w:val="0"/>
                  <w:vAlign w:val="center"/>
                </w:tcPr>
                <w:p w14:paraId="4E85258B">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第3.2类中闪点</w:t>
                  </w:r>
                </w:p>
                <w:p w14:paraId="0EFA3D78">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易燃液体</w:t>
                  </w:r>
                </w:p>
              </w:tc>
              <w:tc>
                <w:tcPr>
                  <w:tcW w:w="3673" w:type="pct"/>
                  <w:noWrap w:val="0"/>
                  <w:vAlign w:val="center"/>
                </w:tcPr>
                <w:p w14:paraId="37DD50F1">
                  <w:pPr>
                    <w:pStyle w:val="31"/>
                    <w:bidi w:val="0"/>
                    <w:jc w:val="left"/>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一、健康危害侵入途径：吸入、食入、经皮吸收。健康危害：可致急性肾 脏损害，接触性皮炎，油性痤疮，吸入雾滴可引起吸入性肺炎，引起眼鼻 刺激征状，头晕及头痛。</w:t>
                  </w:r>
                </w:p>
              </w:tc>
            </w:tr>
            <w:tr w14:paraId="5A6541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388" w:type="pct"/>
                  <w:vMerge w:val="continue"/>
                  <w:noWrap w:val="0"/>
                  <w:vAlign w:val="center"/>
                </w:tcPr>
                <w:p w14:paraId="698EE1DF">
                  <w:pPr>
                    <w:pStyle w:val="31"/>
                    <w:bidi w:val="0"/>
                    <w:rPr>
                      <w:rFonts w:hint="default" w:ascii="Times New Roman" w:hAnsi="Times New Roman" w:cs="Times New Roman"/>
                      <w:color w:val="000000"/>
                      <w:highlight w:val="none"/>
                      <w:lang w:val="en-US" w:eastAsia="zh-CN"/>
                    </w:rPr>
                  </w:pPr>
                </w:p>
              </w:tc>
              <w:tc>
                <w:tcPr>
                  <w:tcW w:w="937" w:type="pct"/>
                  <w:vMerge w:val="continue"/>
                  <w:noWrap w:val="0"/>
                  <w:vAlign w:val="center"/>
                </w:tcPr>
                <w:p w14:paraId="44C2C56B">
                  <w:pPr>
                    <w:pStyle w:val="31"/>
                    <w:bidi w:val="0"/>
                    <w:rPr>
                      <w:rFonts w:hint="default" w:ascii="Times New Roman" w:hAnsi="Times New Roman" w:cs="Times New Roman"/>
                      <w:color w:val="000000"/>
                      <w:highlight w:val="none"/>
                      <w:lang w:val="en-US" w:eastAsia="zh-CN"/>
                    </w:rPr>
                  </w:pPr>
                </w:p>
              </w:tc>
              <w:tc>
                <w:tcPr>
                  <w:tcW w:w="3673" w:type="pct"/>
                  <w:noWrap w:val="0"/>
                  <w:vAlign w:val="center"/>
                </w:tcPr>
                <w:p w14:paraId="44B5FF7F">
                  <w:pPr>
                    <w:pStyle w:val="31"/>
                    <w:bidi w:val="0"/>
                    <w:jc w:val="left"/>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二、毒理学资料及环境行为急性毒性：LD</w:t>
                  </w:r>
                  <w:r>
                    <w:rPr>
                      <w:rFonts w:hint="default" w:ascii="Times New Roman" w:hAnsi="Times New Roman" w:cs="Times New Roman"/>
                      <w:color w:val="000000"/>
                      <w:highlight w:val="none"/>
                      <w:vertAlign w:val="subscript"/>
                      <w:lang w:val="en-US" w:eastAsia="zh-CN"/>
                    </w:rPr>
                    <w:t>50</w:t>
                  </w:r>
                  <w:r>
                    <w:rPr>
                      <w:rFonts w:hint="default" w:ascii="Times New Roman" w:hAnsi="Times New Roman" w:cs="Times New Roman"/>
                      <w:color w:val="000000"/>
                      <w:highlight w:val="none"/>
                      <w:lang w:val="en-US" w:eastAsia="zh-CN"/>
                    </w:rPr>
                    <w:t>：7500mg/kg（大鼠经口）；</w:t>
                  </w:r>
                </w:p>
                <w:p w14:paraId="44BB2C81">
                  <w:pPr>
                    <w:pStyle w:val="31"/>
                    <w:bidi w:val="0"/>
                    <w:jc w:val="left"/>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LC</w:t>
                  </w:r>
                  <w:r>
                    <w:rPr>
                      <w:rFonts w:hint="default" w:ascii="Times New Roman" w:hAnsi="Times New Roman" w:cs="Times New Roman"/>
                      <w:color w:val="000000"/>
                      <w:highlight w:val="none"/>
                      <w:vertAlign w:val="subscript"/>
                      <w:lang w:val="en-US" w:eastAsia="zh-CN"/>
                    </w:rPr>
                    <w:t>50</w:t>
                  </w:r>
                  <w:r>
                    <w:rPr>
                      <w:rFonts w:hint="default" w:ascii="Times New Roman" w:hAnsi="Times New Roman" w:cs="Times New Roman"/>
                      <w:color w:val="000000"/>
                      <w:highlight w:val="none"/>
                      <w:lang w:val="en-US" w:eastAsia="zh-CN"/>
                    </w:rPr>
                    <w:t>：5000mg/kg，4小时（大鼠吸入）；危险特性：易燃，遇明火、高热能引起燃烧爆炸。燃烧（分解）产物：一氧化碳、二氧化碳。</w:t>
                  </w:r>
                </w:p>
              </w:tc>
            </w:tr>
          </w:tbl>
          <w:p w14:paraId="57255251">
            <w:pPr>
              <w:pStyle w:val="5"/>
              <w:bidi w:val="0"/>
              <w:rPr>
                <w:rFonts w:hint="default"/>
                <w:lang w:val="en-US" w:eastAsia="zh-CN"/>
              </w:rPr>
            </w:pPr>
            <w:bookmarkStart w:id="432" w:name="_Toc7392"/>
            <w:bookmarkStart w:id="433" w:name="_Toc8644"/>
            <w:r>
              <w:rPr>
                <w:rFonts w:hint="default"/>
                <w:lang w:val="en-US" w:eastAsia="zh-CN"/>
              </w:rPr>
              <w:t>生产系统危险性识别</w:t>
            </w:r>
            <w:bookmarkEnd w:id="432"/>
            <w:bookmarkEnd w:id="433"/>
          </w:p>
          <w:p w14:paraId="7E044B23">
            <w:pPr>
              <w:ind w:firstLine="480" w:firstLineChars="20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本工程渔港不具备生产功能，不涉及生产过程中的危险物质使用、储存。其风险事故主要是船舶碰撞事故引发的燃料油泄漏，主要环境风险致因分析见</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REF _Ref11593 \h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rPr>
              <w:t>图</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4.7</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1</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val="en-US" w:eastAsia="zh-CN"/>
              </w:rPr>
              <w:t>。</w:t>
            </w:r>
          </w:p>
          <w:p w14:paraId="08FCCF65">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drawing>
                <wp:inline distT="0" distB="0" distL="114300" distR="114300">
                  <wp:extent cx="5286375" cy="419100"/>
                  <wp:effectExtent l="0" t="0" r="9525" b="0"/>
                  <wp:docPr id="34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图片 23"/>
                          <pic:cNvPicPr>
                            <a:picLocks noChangeAspect="1"/>
                          </pic:cNvPicPr>
                        </pic:nvPicPr>
                        <pic:blipFill>
                          <a:blip r:embed="rId159"/>
                          <a:stretch>
                            <a:fillRect/>
                          </a:stretch>
                        </pic:blipFill>
                        <pic:spPr>
                          <a:xfrm>
                            <a:off x="0" y="0"/>
                            <a:ext cx="5286375" cy="419100"/>
                          </a:xfrm>
                          <a:prstGeom prst="rect">
                            <a:avLst/>
                          </a:prstGeom>
                          <a:noFill/>
                          <a:ln>
                            <a:noFill/>
                          </a:ln>
                        </pic:spPr>
                      </pic:pic>
                    </a:graphicData>
                  </a:graphic>
                </wp:inline>
              </w:drawing>
            </w:r>
          </w:p>
          <w:p w14:paraId="2EAAA210">
            <w:pPr>
              <w:pStyle w:val="30"/>
              <w:bidi w:val="0"/>
              <w:rPr>
                <w:rFonts w:hint="default" w:ascii="Times New Roman" w:hAnsi="Times New Roman" w:cs="Times New Roman"/>
                <w:color w:val="000000"/>
                <w:highlight w:val="none"/>
                <w:lang w:val="en-US" w:eastAsia="zh-CN"/>
              </w:rPr>
            </w:pPr>
            <w:bookmarkStart w:id="434" w:name="_Ref11593"/>
            <w:r>
              <w:rPr>
                <w:rFonts w:hint="default" w:ascii="Times New Roman" w:hAnsi="Times New Roman" w:cs="Times New Roman"/>
                <w:color w:val="000000"/>
                <w:highlight w:val="none"/>
              </w:rPr>
              <w:t>图</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4.7</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图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1</w:t>
            </w:r>
            <w:r>
              <w:rPr>
                <w:rFonts w:hint="default" w:ascii="Times New Roman" w:hAnsi="Times New Roman" w:cs="Times New Roman"/>
                <w:color w:val="000000"/>
                <w:highlight w:val="none"/>
              </w:rPr>
              <w:fldChar w:fldCharType="end"/>
            </w:r>
            <w:bookmarkEnd w:id="434"/>
            <w:r>
              <w:rPr>
                <w:rFonts w:hint="default" w:ascii="Times New Roman" w:hAnsi="Times New Roman" w:cs="Times New Roman"/>
                <w:color w:val="000000"/>
                <w:highlight w:val="none"/>
                <w:lang w:val="en-US" w:eastAsia="zh-CN"/>
              </w:rPr>
              <w:t xml:space="preserve"> 环境风险致因分析图</w:t>
            </w:r>
          </w:p>
          <w:p w14:paraId="39F813DF">
            <w:pPr>
              <w:pStyle w:val="5"/>
              <w:bidi w:val="0"/>
              <w:rPr>
                <w:rFonts w:hint="default"/>
                <w:lang w:val="en-US" w:eastAsia="zh-CN"/>
              </w:rPr>
            </w:pPr>
            <w:bookmarkStart w:id="435" w:name="_Toc20259"/>
            <w:bookmarkStart w:id="436" w:name="_Toc10486"/>
            <w:r>
              <w:rPr>
                <w:rFonts w:hint="default"/>
                <w:lang w:val="en-US" w:eastAsia="zh-CN"/>
              </w:rPr>
              <w:t>危险物质向环境转移的途径识别</w:t>
            </w:r>
            <w:bookmarkEnd w:id="435"/>
            <w:bookmarkEnd w:id="436"/>
          </w:p>
          <w:p w14:paraId="3AB3DD3B">
            <w:pPr>
              <w:ind w:firstLine="480" w:firstLineChars="20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根据危险物质及生产系统危险性的识别结果，可以分析出造成本项目风险及伴生事故的事故类型主要是燃料油的泄漏，事故发生后危险物质进入环境进而造成环境事故的途径具体为潮流风浪，可能受影响的环境敏感目标为周边的海水养殖区和生态保护红线区等。</w:t>
            </w:r>
          </w:p>
          <w:p w14:paraId="1C1F6721">
            <w:pPr>
              <w:pStyle w:val="5"/>
              <w:bidi w:val="0"/>
              <w:rPr>
                <w:rFonts w:hint="default"/>
                <w:lang w:val="en-US" w:eastAsia="zh-CN"/>
              </w:rPr>
            </w:pPr>
            <w:bookmarkStart w:id="437" w:name="_Toc29127"/>
            <w:bookmarkStart w:id="438" w:name="_Toc20293"/>
            <w:r>
              <w:rPr>
                <w:rFonts w:hint="default"/>
                <w:lang w:val="en-US" w:eastAsia="zh-CN"/>
              </w:rPr>
              <w:t>风险事故类型与危害</w:t>
            </w:r>
            <w:bookmarkEnd w:id="437"/>
            <w:bookmarkEnd w:id="438"/>
          </w:p>
          <w:p w14:paraId="092C3A98">
            <w:pPr>
              <w:ind w:firstLine="480" w:firstLineChars="20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本次事故分析不考虑外部事故风险因素（如地震、台风等自然灾害以及战争、人为蓄意破坏等）。根据建设项目特点可知，本工程的潜在风险事故为船舶运输、施工过程中因误操作、碰撞等导致的油品泄漏，可能造成附近海域局部水域污染。</w:t>
            </w:r>
          </w:p>
          <w:p w14:paraId="02D64902">
            <w:pPr>
              <w:ind w:firstLine="480" w:firstLineChars="20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风险特征如</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REF _Ref15285 \h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4.7</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9</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val="en-US" w:eastAsia="zh-CN"/>
              </w:rPr>
              <w:t>所示。</w:t>
            </w:r>
          </w:p>
          <w:p w14:paraId="48F851AA">
            <w:pPr>
              <w:pStyle w:val="30"/>
              <w:bidi w:val="0"/>
              <w:rPr>
                <w:rFonts w:hint="default" w:ascii="Times New Roman" w:hAnsi="Times New Roman" w:cs="Times New Roman"/>
                <w:color w:val="000000"/>
                <w:highlight w:val="none"/>
                <w:lang w:val="en-US" w:eastAsia="zh-CN"/>
              </w:rPr>
            </w:pPr>
            <w:bookmarkStart w:id="439" w:name="_Ref15285"/>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4.7</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表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9</w:t>
            </w:r>
            <w:r>
              <w:rPr>
                <w:rFonts w:hint="default" w:ascii="Times New Roman" w:hAnsi="Times New Roman" w:cs="Times New Roman"/>
                <w:color w:val="000000"/>
                <w:highlight w:val="none"/>
              </w:rPr>
              <w:fldChar w:fldCharType="end"/>
            </w:r>
            <w:bookmarkEnd w:id="439"/>
            <w:r>
              <w:rPr>
                <w:rFonts w:hint="default" w:ascii="Times New Roman" w:hAnsi="Times New Roman" w:cs="Times New Roman"/>
                <w:color w:val="000000"/>
                <w:highlight w:val="none"/>
                <w:lang w:val="en-US" w:eastAsia="zh-CN"/>
              </w:rPr>
              <w:t xml:space="preserve"> </w:t>
            </w:r>
            <w:r>
              <w:rPr>
                <w:rFonts w:hint="default" w:ascii="Times New Roman" w:hAnsi="Times New Roman" w:cs="Times New Roman"/>
                <w:color w:val="000000"/>
                <w:highlight w:val="none"/>
              </w:rPr>
              <w:t>本工程风险特征一览</w:t>
            </w:r>
            <w:r>
              <w:rPr>
                <w:rFonts w:hint="default" w:ascii="Times New Roman" w:hAnsi="Times New Roman" w:cs="Times New Roman"/>
                <w:color w:val="000000"/>
                <w:highlight w:val="none"/>
                <w:lang w:val="en-US" w:eastAsia="zh-CN"/>
              </w:rPr>
              <w:t>表</w:t>
            </w:r>
          </w:p>
          <w:tbl>
            <w:tblPr>
              <w:tblStyle w:val="32"/>
              <w:tblW w:w="509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06"/>
              <w:gridCol w:w="831"/>
              <w:gridCol w:w="975"/>
              <w:gridCol w:w="1044"/>
              <w:gridCol w:w="926"/>
              <w:gridCol w:w="898"/>
              <w:gridCol w:w="846"/>
              <w:gridCol w:w="2358"/>
            </w:tblGrid>
            <w:tr w14:paraId="502070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3" w:hRule="atLeast"/>
                <w:jc w:val="center"/>
              </w:trPr>
              <w:tc>
                <w:tcPr>
                  <w:tcW w:w="302" w:type="pct"/>
                  <w:noWrap w:val="0"/>
                  <w:vAlign w:val="center"/>
                </w:tcPr>
                <w:p w14:paraId="437FB862">
                  <w:pPr>
                    <w:pStyle w:val="31"/>
                    <w:bidi w:val="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危险单元</w:t>
                  </w:r>
                </w:p>
              </w:tc>
              <w:tc>
                <w:tcPr>
                  <w:tcW w:w="495" w:type="pct"/>
                  <w:noWrap w:val="0"/>
                  <w:vAlign w:val="center"/>
                </w:tcPr>
                <w:p w14:paraId="58500018">
                  <w:pPr>
                    <w:pStyle w:val="31"/>
                    <w:bidi w:val="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风险源</w:t>
                  </w:r>
                </w:p>
              </w:tc>
              <w:tc>
                <w:tcPr>
                  <w:tcW w:w="581" w:type="pct"/>
                  <w:noWrap w:val="0"/>
                  <w:vAlign w:val="center"/>
                </w:tcPr>
                <w:p w14:paraId="4BD6AD49">
                  <w:pPr>
                    <w:pStyle w:val="31"/>
                    <w:bidi w:val="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涉及的危险物质</w:t>
                  </w:r>
                </w:p>
              </w:tc>
              <w:tc>
                <w:tcPr>
                  <w:tcW w:w="622" w:type="pct"/>
                  <w:noWrap w:val="0"/>
                  <w:vAlign w:val="center"/>
                </w:tcPr>
                <w:p w14:paraId="395C0674">
                  <w:pPr>
                    <w:pStyle w:val="31"/>
                    <w:bidi w:val="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原因简析</w:t>
                  </w:r>
                </w:p>
              </w:tc>
              <w:tc>
                <w:tcPr>
                  <w:tcW w:w="552" w:type="pct"/>
                  <w:noWrap w:val="0"/>
                  <w:vAlign w:val="center"/>
                </w:tcPr>
                <w:p w14:paraId="09135BD2">
                  <w:pPr>
                    <w:pStyle w:val="31"/>
                    <w:bidi w:val="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环境风险类型</w:t>
                  </w:r>
                </w:p>
              </w:tc>
              <w:tc>
                <w:tcPr>
                  <w:tcW w:w="535" w:type="pct"/>
                  <w:noWrap w:val="0"/>
                  <w:vAlign w:val="center"/>
                </w:tcPr>
                <w:p w14:paraId="5384143F">
                  <w:pPr>
                    <w:pStyle w:val="31"/>
                    <w:bidi w:val="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危害</w:t>
                  </w:r>
                </w:p>
              </w:tc>
              <w:tc>
                <w:tcPr>
                  <w:tcW w:w="504" w:type="pct"/>
                  <w:noWrap w:val="0"/>
                  <w:vAlign w:val="center"/>
                </w:tcPr>
                <w:p w14:paraId="23296301">
                  <w:pPr>
                    <w:pStyle w:val="31"/>
                    <w:bidi w:val="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环境影响途径</w:t>
                  </w:r>
                </w:p>
              </w:tc>
              <w:tc>
                <w:tcPr>
                  <w:tcW w:w="1405" w:type="pct"/>
                  <w:noWrap w:val="0"/>
                  <w:vAlign w:val="center"/>
                </w:tcPr>
                <w:p w14:paraId="163EC2B6">
                  <w:pPr>
                    <w:pStyle w:val="31"/>
                    <w:bidi w:val="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可能受影响的环境敏感目标</w:t>
                  </w:r>
                </w:p>
              </w:tc>
            </w:tr>
            <w:tr w14:paraId="234E77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57" w:hRule="atLeast"/>
                <w:jc w:val="center"/>
              </w:trPr>
              <w:tc>
                <w:tcPr>
                  <w:tcW w:w="302" w:type="pct"/>
                  <w:noWrap w:val="0"/>
                  <w:vAlign w:val="center"/>
                </w:tcPr>
                <w:p w14:paraId="503E003A">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船舶</w:t>
                  </w:r>
                </w:p>
              </w:tc>
              <w:tc>
                <w:tcPr>
                  <w:tcW w:w="495" w:type="pct"/>
                  <w:noWrap w:val="0"/>
                  <w:vAlign w:val="center"/>
                </w:tcPr>
                <w:p w14:paraId="004B3064">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燃油舱</w:t>
                  </w:r>
                </w:p>
              </w:tc>
              <w:tc>
                <w:tcPr>
                  <w:tcW w:w="581" w:type="pct"/>
                  <w:noWrap w:val="0"/>
                  <w:vAlign w:val="center"/>
                </w:tcPr>
                <w:p w14:paraId="006557EF">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柴油</w:t>
                  </w:r>
                </w:p>
              </w:tc>
              <w:tc>
                <w:tcPr>
                  <w:tcW w:w="622" w:type="pct"/>
                  <w:noWrap w:val="0"/>
                  <w:vAlign w:val="center"/>
                </w:tcPr>
                <w:p w14:paraId="3C68991D">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船舶碰撞或沉没</w:t>
                  </w:r>
                </w:p>
              </w:tc>
              <w:tc>
                <w:tcPr>
                  <w:tcW w:w="552" w:type="pct"/>
                  <w:noWrap w:val="0"/>
                  <w:vAlign w:val="center"/>
                </w:tcPr>
                <w:p w14:paraId="3FF484B4">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泄漏</w:t>
                  </w:r>
                </w:p>
              </w:tc>
              <w:tc>
                <w:tcPr>
                  <w:tcW w:w="535" w:type="pct"/>
                  <w:noWrap w:val="0"/>
                  <w:vAlign w:val="center"/>
                </w:tcPr>
                <w:p w14:paraId="675348E3">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污染海域火灾爆炸</w:t>
                  </w:r>
                </w:p>
              </w:tc>
              <w:tc>
                <w:tcPr>
                  <w:tcW w:w="504" w:type="pct"/>
                  <w:noWrap w:val="0"/>
                  <w:vAlign w:val="center"/>
                </w:tcPr>
                <w:p w14:paraId="5E23353A">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潮流风浪</w:t>
                  </w:r>
                </w:p>
              </w:tc>
              <w:tc>
                <w:tcPr>
                  <w:tcW w:w="1405" w:type="pct"/>
                  <w:noWrap w:val="0"/>
                  <w:vAlign w:val="center"/>
                </w:tcPr>
                <w:p w14:paraId="73CB4CFC">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海水养殖区、生态保护红线等周边水环境敏感目标</w:t>
                  </w:r>
                </w:p>
              </w:tc>
            </w:tr>
          </w:tbl>
          <w:p w14:paraId="015A61BC">
            <w:pPr>
              <w:pStyle w:val="4"/>
              <w:bidi w:val="0"/>
              <w:rPr>
                <w:rFonts w:hint="default"/>
                <w:lang w:val="en-US" w:eastAsia="zh-CN"/>
              </w:rPr>
            </w:pPr>
            <w:bookmarkStart w:id="440" w:name="_Toc15193"/>
            <w:bookmarkStart w:id="441" w:name="_Toc16896"/>
            <w:bookmarkStart w:id="442" w:name="_Toc7071"/>
            <w:r>
              <w:rPr>
                <w:rFonts w:hint="default"/>
                <w:lang w:val="en-US" w:eastAsia="zh-CN"/>
              </w:rPr>
              <w:t>风险事故情形与概率分析</w:t>
            </w:r>
            <w:bookmarkEnd w:id="440"/>
            <w:bookmarkEnd w:id="441"/>
            <w:bookmarkEnd w:id="442"/>
          </w:p>
          <w:p w14:paraId="416668A7">
            <w:pPr>
              <w:pStyle w:val="5"/>
              <w:bidi w:val="0"/>
              <w:rPr>
                <w:rFonts w:hint="default"/>
                <w:lang w:val="en-US" w:eastAsia="zh-CN"/>
              </w:rPr>
            </w:pPr>
            <w:bookmarkStart w:id="443" w:name="_Toc15255"/>
            <w:bookmarkStart w:id="444" w:name="_Toc25096"/>
            <w:r>
              <w:rPr>
                <w:rFonts w:hint="default"/>
                <w:lang w:val="en-US" w:eastAsia="zh-CN"/>
              </w:rPr>
              <w:t>最大可信事故</w:t>
            </w:r>
            <w:bookmarkEnd w:id="443"/>
            <w:bookmarkEnd w:id="444"/>
          </w:p>
          <w:p w14:paraId="227C9863">
            <w:pPr>
              <w:ind w:firstLine="480" w:firstLineChars="20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由于操作不当或航行碰撞等发生溢油入海的可能性较大，对海域生态环境存在潜在的事故风险。因此，本工程最大可信事故主要为船舶溢油事故，主要污染的环境要素是海域生态环境。</w:t>
            </w:r>
          </w:p>
          <w:p w14:paraId="1FA3691F">
            <w:pPr>
              <w:pStyle w:val="5"/>
              <w:bidi w:val="0"/>
              <w:rPr>
                <w:rFonts w:hint="default"/>
                <w:lang w:val="en-US" w:eastAsia="zh-CN"/>
              </w:rPr>
            </w:pPr>
            <w:bookmarkStart w:id="445" w:name="_Toc6142"/>
            <w:bookmarkStart w:id="446" w:name="_Toc21861"/>
            <w:r>
              <w:rPr>
                <w:rFonts w:hint="default"/>
                <w:lang w:val="en-US" w:eastAsia="zh-CN"/>
              </w:rPr>
              <w:t>风险事故情形判定</w:t>
            </w:r>
            <w:bookmarkEnd w:id="445"/>
            <w:bookmarkEnd w:id="446"/>
          </w:p>
          <w:p w14:paraId="02E95D32">
            <w:pPr>
              <w:ind w:firstLine="480" w:firstLineChars="20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风险事故情形是在风险识别的基础上，选择对环境影响较大并具有代表性的事故类型，设定风险事故情形。</w:t>
            </w:r>
          </w:p>
          <w:p w14:paraId="7A9EADD8">
            <w:pPr>
              <w:ind w:firstLine="480" w:firstLineChars="20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按事故原因可将船舶溢油事故分为操作性事故和海损性事故。对船舶溢油事故原因分析表明，操作性事故指在装/卸货油、加燃油、其他作业期间发生的事故，也包括故意违章排放。海损性事故指由于碰撞、触礁/搁浅、船体损坏、火灾爆炸等引起的船舶事故。</w:t>
            </w:r>
          </w:p>
          <w:p w14:paraId="7424050A">
            <w:pPr>
              <w:ind w:firstLine="480" w:firstLineChars="20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本工程运营期渔船众多，若不加强管理，容易发生船舶溢油事故。</w:t>
            </w:r>
          </w:p>
          <w:p w14:paraId="414EC02A">
            <w:pPr>
              <w:pStyle w:val="5"/>
              <w:bidi w:val="0"/>
              <w:rPr>
                <w:rFonts w:hint="default"/>
                <w:lang w:val="en-US" w:eastAsia="zh-CN"/>
              </w:rPr>
            </w:pPr>
            <w:bookmarkStart w:id="447" w:name="_Toc3196"/>
            <w:bookmarkStart w:id="448" w:name="_Toc2692"/>
            <w:r>
              <w:rPr>
                <w:rFonts w:hint="default"/>
                <w:lang w:val="en-US" w:eastAsia="zh-CN"/>
              </w:rPr>
              <w:t>历史事故统计分析</w:t>
            </w:r>
            <w:bookmarkEnd w:id="447"/>
          </w:p>
          <w:bookmarkEnd w:id="448"/>
          <w:p w14:paraId="375A17F8">
            <w:pPr>
              <w:ind w:firstLine="480" w:firstLineChars="20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海难性船舶污染事故发生概率预测采用评价海域内历年发生的船舶交通事故数据预测海难性污染事故概率。公式如下：</w:t>
            </w:r>
          </w:p>
          <w:p w14:paraId="74324C99">
            <w:pPr>
              <w:ind w:left="0" w:leftChars="0"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position w:val="-26"/>
                <w:highlight w:val="none"/>
                <w:lang w:val="en-US" w:eastAsia="zh-CN"/>
              </w:rPr>
              <w:object>
                <v:shape id="_x0000_i1088" o:spt="75" type="#_x0000_t75" style="height:33pt;width:240pt;" o:ole="t" filled="f" o:preferrelative="t" stroked="f" coordsize="21600,21600">
                  <v:path/>
                  <v:fill on="f" focussize="0,0"/>
                  <v:stroke on="f"/>
                  <v:imagedata r:id="rId161" o:title=""/>
                  <o:lock v:ext="edit" aspectratio="t"/>
                  <w10:wrap type="none"/>
                  <w10:anchorlock/>
                </v:shape>
                <o:OLEObject Type="Embed" ProgID="Equation.KSEE3" ShapeID="_x0000_i1088" DrawAspect="Content" ObjectID="_1468075789" r:id="rId160">
                  <o:LockedField>false</o:LockedField>
                </o:OLEObject>
              </w:object>
            </w:r>
          </w:p>
          <w:p w14:paraId="5C0B7834">
            <w:pPr>
              <w:ind w:firstLine="480" w:firstLineChars="20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式中，P为海难性污染事故概率；K为船舶发生海难性事故后导致的污染事故的概率。参考波罗的海的相关研究，油船K值取0.25，非油船K值取0.12。</w:t>
            </w:r>
          </w:p>
          <w:p w14:paraId="2501F894">
            <w:pPr>
              <w:ind w:firstLine="480" w:firstLineChars="20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参考福州港2018~2025年进出船舶数量约为114.16万艘，2019~2025年间，项目区海域共发生碰撞事故8起；根据项目可研、初设，预计本项目建成后渔船数量总计为929艘，码头泊位作业天数为225天，渔船平均出海周期为10天，船舶出海率为90%，则本渔港全年船舶进港数量为929×（225÷10）×0.9=18812艘次/年，本项目海难性污染事故概率为8÷1141600÷8×18812×0.12=0.001977起/年。</w:t>
            </w:r>
          </w:p>
          <w:p w14:paraId="42920C89">
            <w:pPr>
              <w:bidi w:val="0"/>
              <w:ind w:firstLine="482" w:firstLineChars="20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（4）风险事故预测源强</w:t>
            </w:r>
          </w:p>
          <w:p w14:paraId="2D93C3FC">
            <w:pPr>
              <w:ind w:firstLine="480" w:firstLineChars="20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本项目涉及的主要危险物质为船舶燃油，本工程运营期最大代表船型为3000吨冷藏船，船舶油品均为0#柴油，燃料油密度按0.85t/m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估算，运营期船舶最大风险物质存在量为331.5t。溢油点取渔港口门处，该处船舶交通往来密集，发生船舶碰撞溢油的概率最大。溢油点位置及周围敏感区分布如</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REF _Ref15615 \h </w:instrText>
            </w:r>
            <w:r>
              <w:rPr>
                <w:rFonts w:hint="default" w:ascii="Times New Roman" w:hAnsi="Times New Roman" w:cs="Times New Roman"/>
                <w:color w:val="000000"/>
                <w:highlight w:val="none"/>
                <w:lang w:val="en-US" w:eastAsia="zh-CN"/>
              </w:rPr>
              <w:fldChar w:fldCharType="separate"/>
            </w:r>
            <w:r>
              <w:rPr>
                <w:rFonts w:hint="default"/>
              </w:rPr>
              <w:t>图</w:t>
            </w:r>
            <w:r>
              <w:rPr>
                <w:rFonts w:hint="default"/>
              </w:rPr>
              <w:fldChar w:fldCharType="begin"/>
            </w:r>
            <w:r>
              <w:rPr>
                <w:rFonts w:hint="default"/>
              </w:rPr>
              <w:instrText xml:space="preserve"> STYLEREF 2 \s </w:instrText>
            </w:r>
            <w:r>
              <w:rPr>
                <w:rFonts w:hint="default"/>
              </w:rPr>
              <w:fldChar w:fldCharType="separate"/>
            </w:r>
            <w:r>
              <w:rPr>
                <w:rFonts w:hint="default"/>
              </w:rPr>
              <w:t>4.7</w:t>
            </w:r>
            <w:r>
              <w:rPr>
                <w:rFonts w:hint="default"/>
              </w:rPr>
              <w:fldChar w:fldCharType="end"/>
            </w:r>
            <w:r>
              <w:rPr>
                <w:rFonts w:hint="default"/>
                <w:lang w:eastAsia="zh-CN"/>
              </w:rPr>
              <w:t>-</w:t>
            </w:r>
            <w:r>
              <w:rPr>
                <w:rFonts w:hint="default"/>
              </w:rPr>
              <w:t>2</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val="en-US" w:eastAsia="zh-CN"/>
              </w:rPr>
              <w:t>。</w:t>
            </w:r>
          </w:p>
          <w:p w14:paraId="7E8E2FFE">
            <w:pPr>
              <w:pStyle w:val="31"/>
              <w:bidi w:val="0"/>
              <w:rPr>
                <w:rFonts w:hint="default" w:ascii="Times New Roman" w:hAnsi="Times New Roman" w:cs="Times New Roman"/>
                <w:color w:val="000000"/>
                <w:highlight w:val="none"/>
                <w:lang w:val="en-US" w:eastAsia="zh-CN"/>
              </w:rPr>
            </w:pPr>
            <w:r>
              <w:rPr>
                <w:rFonts w:hint="eastAsia"/>
                <w:lang w:val="en-US" w:eastAsia="zh-CN"/>
              </w:rPr>
              <w:t>（涉密删除）</w:t>
            </w:r>
          </w:p>
          <w:p w14:paraId="7F7B95E6">
            <w:pPr>
              <w:pStyle w:val="30"/>
              <w:bidi w:val="0"/>
              <w:rPr>
                <w:rFonts w:hint="default"/>
                <w:lang w:val="en-US" w:eastAsia="zh-CN"/>
              </w:rPr>
            </w:pPr>
            <w:bookmarkStart w:id="449" w:name="_Ref15615"/>
            <w:r>
              <w:rPr>
                <w:rFonts w:hint="default"/>
              </w:rPr>
              <w:t>图</w:t>
            </w:r>
            <w:r>
              <w:rPr>
                <w:rFonts w:hint="default"/>
              </w:rPr>
              <w:fldChar w:fldCharType="begin"/>
            </w:r>
            <w:r>
              <w:rPr>
                <w:rFonts w:hint="default"/>
              </w:rPr>
              <w:instrText xml:space="preserve"> STYLEREF 2 \s </w:instrText>
            </w:r>
            <w:r>
              <w:rPr>
                <w:rFonts w:hint="default"/>
              </w:rPr>
              <w:fldChar w:fldCharType="separate"/>
            </w:r>
            <w:r>
              <w:rPr>
                <w:rFonts w:hint="default"/>
              </w:rPr>
              <w:t>4.7</w:t>
            </w:r>
            <w:r>
              <w:rPr>
                <w:rFonts w:hint="default"/>
              </w:rPr>
              <w:fldChar w:fldCharType="end"/>
            </w:r>
            <w:r>
              <w:rPr>
                <w:rFonts w:hint="default"/>
                <w:lang w:eastAsia="zh-CN"/>
              </w:rPr>
              <w:t>-</w:t>
            </w:r>
            <w:r>
              <w:rPr>
                <w:rFonts w:hint="default"/>
              </w:rPr>
              <w:fldChar w:fldCharType="begin"/>
            </w:r>
            <w:r>
              <w:rPr>
                <w:rFonts w:hint="default"/>
              </w:rPr>
              <w:instrText xml:space="preserve"> SEQ 图 \* ARABIC \s 2 </w:instrText>
            </w:r>
            <w:r>
              <w:rPr>
                <w:rFonts w:hint="default"/>
              </w:rPr>
              <w:fldChar w:fldCharType="separate"/>
            </w:r>
            <w:r>
              <w:rPr>
                <w:rFonts w:hint="default"/>
              </w:rPr>
              <w:t>2</w:t>
            </w:r>
            <w:r>
              <w:rPr>
                <w:rFonts w:hint="default"/>
              </w:rPr>
              <w:fldChar w:fldCharType="end"/>
            </w:r>
            <w:bookmarkEnd w:id="449"/>
            <w:r>
              <w:rPr>
                <w:rFonts w:hint="default"/>
                <w:lang w:val="en-US" w:eastAsia="zh-CN"/>
              </w:rPr>
              <w:t xml:space="preserve"> 溢油点位及周边敏感区示意图</w:t>
            </w:r>
          </w:p>
          <w:p w14:paraId="7E20A1CB">
            <w:pPr>
              <w:pStyle w:val="3"/>
              <w:bidi w:val="0"/>
              <w:rPr>
                <w:rFonts w:hint="default" w:ascii="Times New Roman" w:hAnsi="Times New Roman" w:cs="Times New Roman"/>
                <w:color w:val="000000"/>
                <w:highlight w:val="none"/>
              </w:rPr>
            </w:pPr>
            <w:bookmarkStart w:id="450" w:name="_Toc20093"/>
            <w:bookmarkStart w:id="451" w:name="_Toc497"/>
            <w:bookmarkStart w:id="452" w:name="_Toc5355"/>
            <w:bookmarkStart w:id="453" w:name="_Toc7516"/>
            <w:r>
              <w:rPr>
                <w:rFonts w:hint="default" w:ascii="Times New Roman" w:hAnsi="Times New Roman" w:cs="Times New Roman"/>
                <w:color w:val="000000"/>
                <w:highlight w:val="none"/>
              </w:rPr>
              <w:t>风险预测与评价</w:t>
            </w:r>
            <w:bookmarkEnd w:id="450"/>
            <w:bookmarkEnd w:id="451"/>
            <w:bookmarkEnd w:id="452"/>
            <w:bookmarkEnd w:id="453"/>
          </w:p>
          <w:p w14:paraId="5D48F9D9">
            <w:pPr>
              <w:pStyle w:val="4"/>
              <w:bidi w:val="0"/>
              <w:rPr>
                <w:rFonts w:hint="default" w:ascii="Times New Roman" w:hAnsi="Times New Roman" w:cs="Times New Roman"/>
                <w:color w:val="000000"/>
                <w:highlight w:val="none"/>
              </w:rPr>
            </w:pPr>
            <w:bookmarkStart w:id="454" w:name="_Toc19266"/>
            <w:bookmarkStart w:id="455" w:name="_Toc20777"/>
            <w:r>
              <w:rPr>
                <w:rFonts w:hint="default" w:ascii="Times New Roman" w:hAnsi="Times New Roman" w:cs="Times New Roman"/>
                <w:color w:val="000000"/>
                <w:highlight w:val="none"/>
              </w:rPr>
              <w:t>溢油事故预测方法</w:t>
            </w:r>
            <w:bookmarkEnd w:id="454"/>
            <w:bookmarkEnd w:id="455"/>
          </w:p>
          <w:p w14:paraId="15CC1A0B">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rPr>
              <w:t>（1）溢油模型基本原理</w:t>
            </w:r>
          </w:p>
          <w:p w14:paraId="1F674B36">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油粒子模型是基于拉格朗日体系具有高稳定性和高效率的特点。油粒子模型就是把溢油离散为大量的油粒子，每个油粒子代表一定的油量，油膜就是由这些大量的油粒子所组成的云团。首先计算各个油粒子的位置变化、组分变化等，然后统计各网格上的油粒子数和各组分含量变化，再通过热量平衡计算模拟出油膜温度的变化，最后根据油膜的组分变化和温度变化计算出油膜物理化学性质的变化。</w:t>
            </w:r>
          </w:p>
          <w:p w14:paraId="27C17A9B">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rPr>
              <w:t>（2）风化过程</w:t>
            </w:r>
          </w:p>
          <w:p w14:paraId="03CBAC20">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油粒子的风化包括蒸发、溶解和形成乳化物等过程，在这些过程中油粒子的组成发生改变，但油粒子水平位置没有变化。</w:t>
            </w:r>
          </w:p>
          <w:p w14:paraId="7DC8934A">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蒸发</w:t>
            </w:r>
            <w:r>
              <w:rPr>
                <w:rFonts w:hint="default" w:ascii="Times New Roman" w:hAnsi="Times New Roman" w:eastAsia="宋体" w:cs="Times New Roman"/>
                <w:color w:val="000000"/>
                <w:highlight w:val="none"/>
                <w:lang w:eastAsia="zh-CN"/>
              </w:rPr>
              <w:t>：</w:t>
            </w:r>
            <w:r>
              <w:rPr>
                <w:rFonts w:hint="default" w:ascii="Times New Roman" w:hAnsi="Times New Roman" w:eastAsia="宋体" w:cs="Times New Roman"/>
                <w:color w:val="000000"/>
                <w:highlight w:val="none"/>
              </w:rPr>
              <w:t>油膜蒸发受油分、气温和水温、溢油面积、风速、太阳辐射和油膜厚度等因素的影响。假定在油膜内部扩散不受限制（气温高于0°C以及油膜厚度低于5~10cm时基本如此）；油膜完全混合；油组分在大气中的分压与蒸气压相比可忽略不计。蒸发率可由下式表示：</w:t>
            </w:r>
          </w:p>
          <w:p w14:paraId="43821734">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drawing>
                <wp:inline distT="0" distB="0" distL="114300" distR="114300">
                  <wp:extent cx="2386965" cy="414020"/>
                  <wp:effectExtent l="0" t="0" r="13335" b="4445"/>
                  <wp:docPr id="342" name="图片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图片 699"/>
                          <pic:cNvPicPr>
                            <a:picLocks noChangeAspect="1"/>
                          </pic:cNvPicPr>
                        </pic:nvPicPr>
                        <pic:blipFill>
                          <a:blip r:embed="rId162"/>
                          <a:stretch>
                            <a:fillRect/>
                          </a:stretch>
                        </pic:blipFill>
                        <pic:spPr>
                          <a:xfrm>
                            <a:off x="0" y="0"/>
                            <a:ext cx="2386965" cy="414020"/>
                          </a:xfrm>
                          <a:prstGeom prst="rect">
                            <a:avLst/>
                          </a:prstGeom>
                          <a:noFill/>
                          <a:ln>
                            <a:noFill/>
                          </a:ln>
                        </pic:spPr>
                      </pic:pic>
                    </a:graphicData>
                  </a:graphic>
                </wp:inline>
              </w:drawing>
            </w:r>
          </w:p>
          <w:p w14:paraId="6F5443AA">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其中，</w:t>
            </w:r>
            <w:r>
              <w:rPr>
                <w:rFonts w:hint="default" w:ascii="Times New Roman" w:hAnsi="Times New Roman" w:cs="Times New Roman"/>
                <w:i/>
                <w:iCs/>
                <w:color w:val="000000"/>
                <w:highlight w:val="none"/>
              </w:rPr>
              <w:t>N</w:t>
            </w:r>
            <w:r>
              <w:rPr>
                <w:rFonts w:hint="default" w:ascii="Times New Roman" w:hAnsi="Times New Roman" w:cs="Times New Roman"/>
                <w:color w:val="000000"/>
                <w:highlight w:val="none"/>
              </w:rPr>
              <w:t>为蒸发率；</w:t>
            </w:r>
            <w:r>
              <w:rPr>
                <w:rFonts w:hint="default" w:ascii="Times New Roman" w:hAnsi="Times New Roman" w:cs="Times New Roman"/>
                <w:i/>
                <w:iCs/>
                <w:color w:val="000000"/>
                <w:highlight w:val="none"/>
              </w:rPr>
              <w:t>Ke</w:t>
            </w:r>
            <w:r>
              <w:rPr>
                <w:rFonts w:hint="default" w:ascii="Times New Roman" w:hAnsi="Times New Roman" w:cs="Times New Roman"/>
                <w:color w:val="000000"/>
                <w:highlight w:val="none"/>
              </w:rPr>
              <w:t>为物质输移系数；</w:t>
            </w:r>
            <w:r>
              <w:rPr>
                <w:rFonts w:hint="default" w:ascii="Times New Roman" w:hAnsi="Times New Roman" w:cs="Times New Roman"/>
                <w:i/>
                <w:iCs/>
                <w:color w:val="000000"/>
                <w:highlight w:val="none"/>
              </w:rPr>
              <w:t>P</w:t>
            </w:r>
            <w:r>
              <w:rPr>
                <w:rFonts w:hint="default" w:ascii="Times New Roman" w:hAnsi="Times New Roman" w:cs="Times New Roman"/>
                <w:i/>
                <w:iCs/>
                <w:color w:val="000000"/>
                <w:highlight w:val="none"/>
                <w:vertAlign w:val="superscript"/>
              </w:rPr>
              <w:t>SAT</w:t>
            </w:r>
            <w:r>
              <w:rPr>
                <w:rFonts w:hint="default" w:ascii="Times New Roman" w:hAnsi="Times New Roman" w:cs="Times New Roman"/>
                <w:color w:val="000000"/>
                <w:highlight w:val="none"/>
              </w:rPr>
              <w:t>为蒸汽压；</w:t>
            </w:r>
            <w:r>
              <w:rPr>
                <w:rFonts w:hint="default" w:ascii="Times New Roman" w:hAnsi="Times New Roman" w:cs="Times New Roman"/>
                <w:i/>
                <w:iCs/>
                <w:color w:val="000000"/>
                <w:highlight w:val="none"/>
              </w:rPr>
              <w:t>R</w:t>
            </w:r>
            <w:r>
              <w:rPr>
                <w:rFonts w:hint="default" w:ascii="Times New Roman" w:hAnsi="Times New Roman" w:cs="Times New Roman"/>
                <w:color w:val="000000"/>
                <w:highlight w:val="none"/>
              </w:rPr>
              <w:t>为气体常数；</w:t>
            </w:r>
            <w:r>
              <w:rPr>
                <w:rFonts w:hint="default" w:ascii="Times New Roman" w:hAnsi="Times New Roman" w:cs="Times New Roman"/>
                <w:i/>
                <w:iCs/>
                <w:color w:val="000000"/>
                <w:highlight w:val="none"/>
              </w:rPr>
              <w:t>T</w:t>
            </w:r>
            <w:r>
              <w:rPr>
                <w:rFonts w:hint="default" w:ascii="Times New Roman" w:hAnsi="Times New Roman" w:cs="Times New Roman"/>
                <w:color w:val="000000"/>
                <w:highlight w:val="none"/>
              </w:rPr>
              <w:t>为温度，</w:t>
            </w:r>
            <w:r>
              <w:rPr>
                <w:rFonts w:hint="default" w:ascii="Times New Roman" w:hAnsi="Times New Roman" w:cs="Times New Roman"/>
                <w:i/>
                <w:iCs/>
                <w:color w:val="000000"/>
                <w:highlight w:val="none"/>
                <w:lang w:val="en-US" w:eastAsia="zh-CN"/>
              </w:rPr>
              <w:t>m</w:t>
            </w:r>
            <w:r>
              <w:rPr>
                <w:rFonts w:hint="default" w:ascii="Times New Roman" w:hAnsi="Times New Roman" w:cs="Times New Roman"/>
                <w:color w:val="000000"/>
                <w:highlight w:val="none"/>
              </w:rPr>
              <w:t>为分子质量；</w:t>
            </w:r>
            <w:r>
              <w:rPr>
                <w:rFonts w:hint="default" w:ascii="Times New Roman" w:hAnsi="Times New Roman" w:cs="Times New Roman"/>
                <w:i/>
                <w:iCs/>
                <w:color w:val="000000"/>
                <w:highlight w:val="none"/>
              </w:rPr>
              <w:t>ρ</w:t>
            </w:r>
            <w:r>
              <w:rPr>
                <w:rFonts w:hint="default" w:ascii="Times New Roman" w:hAnsi="Times New Roman" w:cs="Times New Roman"/>
                <w:color w:val="000000"/>
                <w:highlight w:val="none"/>
              </w:rPr>
              <w:t>为油组分的密度；</w:t>
            </w:r>
            <w:r>
              <w:rPr>
                <w:rFonts w:hint="default" w:ascii="Times New Roman" w:hAnsi="Times New Roman" w:cs="Times New Roman"/>
                <w:i/>
                <w:iCs/>
                <w:color w:val="000000"/>
                <w:highlight w:val="none"/>
              </w:rPr>
              <w:t>i</w:t>
            </w:r>
            <w:r>
              <w:rPr>
                <w:rFonts w:hint="default" w:ascii="Times New Roman" w:hAnsi="Times New Roman" w:cs="Times New Roman"/>
                <w:color w:val="000000"/>
                <w:highlight w:val="none"/>
              </w:rPr>
              <w:t>为各种油组分。</w:t>
            </w:r>
            <w:r>
              <w:rPr>
                <w:rFonts w:hint="default" w:ascii="Times New Roman" w:hAnsi="Times New Roman" w:cs="Times New Roman"/>
                <w:color w:val="000000"/>
                <w:highlight w:val="none"/>
              </w:rPr>
              <w:drawing>
                <wp:inline distT="0" distB="0" distL="114300" distR="114300">
                  <wp:extent cx="203200" cy="228600"/>
                  <wp:effectExtent l="0" t="0" r="6350" b="0"/>
                  <wp:docPr id="343" name="图片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图片 700"/>
                          <pic:cNvPicPr>
                            <a:picLocks noChangeAspect="1"/>
                          </pic:cNvPicPr>
                        </pic:nvPicPr>
                        <pic:blipFill>
                          <a:blip r:embed="rId163"/>
                          <a:stretch>
                            <a:fillRect/>
                          </a:stretch>
                        </pic:blipFill>
                        <pic:spPr>
                          <a:xfrm>
                            <a:off x="0" y="0"/>
                            <a:ext cx="203200" cy="228600"/>
                          </a:xfrm>
                          <a:prstGeom prst="rect">
                            <a:avLst/>
                          </a:prstGeom>
                          <a:noFill/>
                          <a:ln>
                            <a:noFill/>
                          </a:ln>
                        </pic:spPr>
                      </pic:pic>
                    </a:graphicData>
                  </a:graphic>
                </wp:inline>
              </w:drawing>
            </w:r>
            <w:r>
              <w:rPr>
                <w:rFonts w:hint="default" w:ascii="Times New Roman" w:hAnsi="Times New Roman" w:cs="Times New Roman"/>
                <w:color w:val="000000"/>
                <w:highlight w:val="none"/>
              </w:rPr>
              <w:t>可</w:t>
            </w:r>
            <w:r>
              <w:rPr>
                <w:rFonts w:hint="default" w:ascii="Times New Roman" w:hAnsi="Times New Roman" w:cs="Times New Roman"/>
                <w:color w:val="000000"/>
                <w:highlight w:val="none"/>
                <w:lang w:val="en-US" w:eastAsia="zh-CN"/>
              </w:rPr>
              <w:t>由</w:t>
            </w:r>
            <w:r>
              <w:rPr>
                <w:rFonts w:hint="default" w:ascii="Times New Roman" w:hAnsi="Times New Roman" w:cs="Times New Roman"/>
                <w:color w:val="000000"/>
                <w:highlight w:val="none"/>
              </w:rPr>
              <w:t>下式估算：</w:t>
            </w:r>
          </w:p>
          <w:p w14:paraId="3CA8BF15">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drawing>
                <wp:inline distT="0" distB="0" distL="114300" distR="114300">
                  <wp:extent cx="1951990" cy="292100"/>
                  <wp:effectExtent l="0" t="0" r="0" b="13970"/>
                  <wp:docPr id="344" name="图片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701"/>
                          <pic:cNvPicPr>
                            <a:picLocks noChangeAspect="1"/>
                          </pic:cNvPicPr>
                        </pic:nvPicPr>
                        <pic:blipFill>
                          <a:blip r:embed="rId164"/>
                          <a:stretch>
                            <a:fillRect/>
                          </a:stretch>
                        </pic:blipFill>
                        <pic:spPr>
                          <a:xfrm>
                            <a:off x="0" y="0"/>
                            <a:ext cx="1951990" cy="292100"/>
                          </a:xfrm>
                          <a:prstGeom prst="rect">
                            <a:avLst/>
                          </a:prstGeom>
                          <a:noFill/>
                          <a:ln>
                            <a:noFill/>
                          </a:ln>
                        </pic:spPr>
                      </pic:pic>
                    </a:graphicData>
                  </a:graphic>
                </wp:inline>
              </w:drawing>
            </w:r>
          </w:p>
          <w:p w14:paraId="1E916F21">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其中，K为蒸发系数；</w:t>
            </w:r>
            <w:r>
              <w:rPr>
                <w:rFonts w:hint="default" w:ascii="Times New Roman" w:hAnsi="Times New Roman" w:eastAsia="宋体" w:cs="Times New Roman"/>
                <w:color w:val="000000"/>
                <w:highlight w:val="none"/>
              </w:rPr>
              <w:drawing>
                <wp:inline distT="0" distB="0" distL="114300" distR="114300">
                  <wp:extent cx="228600" cy="228600"/>
                  <wp:effectExtent l="0" t="0" r="0" b="0"/>
                  <wp:docPr id="345" name="图片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图片 702"/>
                          <pic:cNvPicPr>
                            <a:picLocks noChangeAspect="1"/>
                          </pic:cNvPicPr>
                        </pic:nvPicPr>
                        <pic:blipFill>
                          <a:blip r:embed="rId165"/>
                          <a:stretch>
                            <a:fillRect/>
                          </a:stretch>
                        </pic:blipFill>
                        <pic:spPr>
                          <a:xfrm>
                            <a:off x="0" y="0"/>
                            <a:ext cx="228600" cy="228600"/>
                          </a:xfrm>
                          <a:prstGeom prst="rect">
                            <a:avLst/>
                          </a:prstGeom>
                          <a:noFill/>
                          <a:ln>
                            <a:noFill/>
                          </a:ln>
                        </pic:spPr>
                      </pic:pic>
                    </a:graphicData>
                  </a:graphic>
                </wp:inline>
              </w:drawing>
            </w:r>
            <w:r>
              <w:rPr>
                <w:rFonts w:hint="default" w:ascii="Times New Roman" w:hAnsi="Times New Roman" w:eastAsia="宋体" w:cs="Times New Roman"/>
                <w:color w:val="000000"/>
                <w:highlight w:val="none"/>
              </w:rPr>
              <w:t>为组分i的蒸汽Schmidts数。</w:t>
            </w:r>
          </w:p>
          <w:p w14:paraId="1341DE8F">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eastAsia="宋体" w:cs="Times New Roman"/>
                <w:b/>
                <w:bCs/>
                <w:color w:val="000000"/>
                <w:highlight w:val="none"/>
              </w:rPr>
            </w:pPr>
            <w:r>
              <w:rPr>
                <w:rFonts w:hint="default" w:ascii="Times New Roman" w:hAnsi="Times New Roman" w:eastAsia="宋体" w:cs="Times New Roman"/>
                <w:b/>
                <w:bCs/>
                <w:color w:val="000000"/>
                <w:highlight w:val="none"/>
              </w:rPr>
              <w:t>（3）输移过程</w:t>
            </w:r>
          </w:p>
          <w:p w14:paraId="631F98DF">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油粒子的输移包括了扩展、漂移、扩散等过程，这些过程是油粒子位置发生变化的主要原因，而油粒子的组分在这些过程中不发生变化。</w:t>
            </w:r>
          </w:p>
          <w:p w14:paraId="7D131EC2">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lang w:val="en-US" w:eastAsia="zh-CN"/>
              </w:rPr>
              <w:t>①</w:t>
            </w:r>
            <w:r>
              <w:rPr>
                <w:rFonts w:hint="default" w:ascii="Times New Roman" w:hAnsi="Times New Roman" w:eastAsia="宋体" w:cs="Times New Roman"/>
                <w:color w:val="000000"/>
                <w:highlight w:val="none"/>
              </w:rPr>
              <w:t>扩展运动</w:t>
            </w:r>
          </w:p>
          <w:p w14:paraId="0731490D">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采用修正的Fay重力-粘力公式计算油膜的扩展：</w:t>
            </w:r>
          </w:p>
          <w:p w14:paraId="22C1A59A">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drawing>
                <wp:inline distT="0" distB="0" distL="114300" distR="114300">
                  <wp:extent cx="1588135" cy="455295"/>
                  <wp:effectExtent l="0" t="0" r="12065" b="1905"/>
                  <wp:docPr id="346" name="图片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703"/>
                          <pic:cNvPicPr>
                            <a:picLocks noChangeAspect="1"/>
                          </pic:cNvPicPr>
                        </pic:nvPicPr>
                        <pic:blipFill>
                          <a:blip r:embed="rId166"/>
                          <a:stretch>
                            <a:fillRect/>
                          </a:stretch>
                        </pic:blipFill>
                        <pic:spPr>
                          <a:xfrm>
                            <a:off x="0" y="0"/>
                            <a:ext cx="1588135" cy="455295"/>
                          </a:xfrm>
                          <a:prstGeom prst="rect">
                            <a:avLst/>
                          </a:prstGeom>
                          <a:noFill/>
                          <a:ln>
                            <a:noFill/>
                          </a:ln>
                        </pic:spPr>
                      </pic:pic>
                    </a:graphicData>
                  </a:graphic>
                </wp:inline>
              </w:drawing>
            </w:r>
          </w:p>
          <w:p w14:paraId="321082BC">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式中：</w:t>
            </w:r>
            <w:r>
              <w:rPr>
                <w:rFonts w:hint="default" w:ascii="Times New Roman" w:hAnsi="Times New Roman" w:eastAsia="宋体" w:cs="Times New Roman"/>
                <w:i/>
                <w:iCs/>
                <w:color w:val="000000"/>
                <w:highlight w:val="none"/>
              </w:rPr>
              <w:t>K</w:t>
            </w:r>
            <w:r>
              <w:rPr>
                <w:rFonts w:hint="default" w:ascii="Times New Roman" w:hAnsi="Times New Roman" w:eastAsia="宋体" w:cs="Times New Roman"/>
                <w:i/>
                <w:iCs/>
                <w:color w:val="000000"/>
                <w:highlight w:val="none"/>
                <w:vertAlign w:val="subscript"/>
              </w:rPr>
              <w:t>a</w:t>
            </w:r>
            <w:r>
              <w:rPr>
                <w:rFonts w:hint="default" w:ascii="Times New Roman" w:hAnsi="Times New Roman" w:eastAsia="宋体" w:cs="Times New Roman"/>
                <w:color w:val="000000"/>
                <w:highlight w:val="none"/>
                <w:lang w:eastAsia="zh-CN"/>
              </w:rPr>
              <w:t>：</w:t>
            </w:r>
            <w:r>
              <w:rPr>
                <w:rFonts w:hint="default" w:ascii="Times New Roman" w:hAnsi="Times New Roman" w:eastAsia="宋体" w:cs="Times New Roman"/>
                <w:color w:val="000000"/>
                <w:highlight w:val="none"/>
              </w:rPr>
              <w:t>系数[S</w:t>
            </w:r>
            <w:r>
              <w:rPr>
                <w:rFonts w:hint="default" w:ascii="Times New Roman" w:hAnsi="Times New Roman" w:eastAsia="宋体" w:cs="Times New Roman"/>
                <w:color w:val="000000"/>
                <w:highlight w:val="none"/>
                <w:vertAlign w:val="superscript"/>
              </w:rPr>
              <w:t>-1</w:t>
            </w:r>
            <w:r>
              <w:rPr>
                <w:rFonts w:hint="default" w:ascii="Times New Roman" w:hAnsi="Times New Roman" w:eastAsia="宋体" w:cs="Times New Roman"/>
                <w:color w:val="000000"/>
                <w:highlight w:val="none"/>
              </w:rPr>
              <w:t>]；</w:t>
            </w:r>
            <w:r>
              <w:rPr>
                <w:rFonts w:hint="default" w:ascii="Times New Roman" w:hAnsi="Times New Roman" w:eastAsia="宋体" w:cs="Times New Roman"/>
                <w:i/>
                <w:iCs/>
                <w:color w:val="000000"/>
                <w:highlight w:val="none"/>
              </w:rPr>
              <w:t>t</w:t>
            </w:r>
            <w:r>
              <w:rPr>
                <w:rFonts w:hint="default" w:ascii="Times New Roman" w:hAnsi="Times New Roman" w:eastAsia="宋体" w:cs="Times New Roman"/>
                <w:color w:val="000000"/>
                <w:highlight w:val="none"/>
              </w:rPr>
              <w:t>为时间；</w:t>
            </w:r>
            <w:r>
              <w:rPr>
                <w:rFonts w:hint="default" w:ascii="Times New Roman" w:hAnsi="Times New Roman" w:eastAsia="宋体" w:cs="Times New Roman"/>
                <w:i/>
                <w:iCs/>
                <w:color w:val="000000"/>
                <w:highlight w:val="none"/>
              </w:rPr>
              <w:t>A</w:t>
            </w:r>
            <w:r>
              <w:rPr>
                <w:rFonts w:hint="default" w:ascii="Times New Roman" w:hAnsi="Times New Roman" w:eastAsia="宋体" w:cs="Times New Roman"/>
                <w:i/>
                <w:iCs/>
                <w:color w:val="000000"/>
                <w:highlight w:val="none"/>
                <w:vertAlign w:val="subscript"/>
              </w:rPr>
              <w:t>oil</w:t>
            </w:r>
            <w:r>
              <w:rPr>
                <w:rFonts w:hint="default" w:ascii="Times New Roman" w:hAnsi="Times New Roman" w:eastAsia="宋体" w:cs="Times New Roman"/>
                <w:i/>
                <w:iCs/>
                <w:color w:val="000000"/>
                <w:highlight w:val="none"/>
              </w:rPr>
              <w:t>:</w:t>
            </w:r>
            <w:r>
              <w:rPr>
                <w:rFonts w:hint="default" w:ascii="Times New Roman" w:hAnsi="Times New Roman" w:eastAsia="宋体" w:cs="Times New Roman"/>
                <w:color w:val="000000"/>
                <w:highlight w:val="none"/>
              </w:rPr>
              <w:t>油膜的面积，其值大小为</w:t>
            </w:r>
            <w:r>
              <w:rPr>
                <w:rFonts w:hint="default" w:ascii="Times New Roman" w:hAnsi="Times New Roman" w:eastAsia="宋体" w:cs="Times New Roman"/>
                <w:i/>
                <w:iCs/>
                <w:color w:val="000000"/>
                <w:highlight w:val="none"/>
              </w:rPr>
              <w:t>A</w:t>
            </w:r>
            <w:r>
              <w:rPr>
                <w:rFonts w:hint="default" w:ascii="Times New Roman" w:hAnsi="Times New Roman" w:eastAsia="宋体" w:cs="Times New Roman"/>
                <w:i/>
                <w:iCs/>
                <w:color w:val="000000"/>
                <w:highlight w:val="none"/>
                <w:vertAlign w:val="subscript"/>
              </w:rPr>
              <w:t>oil</w:t>
            </w:r>
            <w:r>
              <w:rPr>
                <w:rFonts w:hint="default" w:ascii="Times New Roman" w:hAnsi="Times New Roman" w:eastAsia="宋体" w:cs="Times New Roman"/>
                <w:color w:val="000000"/>
                <w:highlight w:val="none"/>
              </w:rPr>
              <w:t>=</w:t>
            </w:r>
            <w:r>
              <w:rPr>
                <w:rFonts w:hint="default" w:ascii="Times New Roman" w:hAnsi="Times New Roman" w:eastAsia="宋体" w:cs="Times New Roman"/>
                <w:color w:val="000000"/>
                <w:highlight w:val="none"/>
              </w:rPr>
              <w:drawing>
                <wp:inline distT="0" distB="0" distL="114300" distR="114300">
                  <wp:extent cx="355600" cy="254000"/>
                  <wp:effectExtent l="0" t="0" r="6350" b="13970"/>
                  <wp:docPr id="347" name="图片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图片 704"/>
                          <pic:cNvPicPr>
                            <a:picLocks noChangeAspect="1"/>
                          </pic:cNvPicPr>
                        </pic:nvPicPr>
                        <pic:blipFill>
                          <a:blip r:embed="rId167"/>
                          <a:stretch>
                            <a:fillRect/>
                          </a:stretch>
                        </pic:blipFill>
                        <pic:spPr>
                          <a:xfrm>
                            <a:off x="0" y="0"/>
                            <a:ext cx="355600" cy="254000"/>
                          </a:xfrm>
                          <a:prstGeom prst="rect">
                            <a:avLst/>
                          </a:prstGeom>
                          <a:noFill/>
                          <a:ln>
                            <a:noFill/>
                          </a:ln>
                        </pic:spPr>
                      </pic:pic>
                    </a:graphicData>
                  </a:graphic>
                </wp:inline>
              </w:drawing>
            </w:r>
            <w:r>
              <w:rPr>
                <w:rFonts w:hint="default" w:ascii="Times New Roman" w:hAnsi="Times New Roman" w:eastAsia="宋体" w:cs="Times New Roman"/>
                <w:color w:val="000000"/>
                <w:highlight w:val="none"/>
              </w:rPr>
              <w:t>；</w:t>
            </w:r>
            <w:r>
              <w:rPr>
                <w:rFonts w:hint="default" w:ascii="Times New Roman" w:hAnsi="Times New Roman" w:eastAsia="宋体" w:cs="Times New Roman"/>
                <w:color w:val="000000"/>
                <w:highlight w:val="none"/>
              </w:rPr>
              <w:drawing>
                <wp:inline distT="0" distB="0" distL="114300" distR="114300">
                  <wp:extent cx="254000" cy="254000"/>
                  <wp:effectExtent l="0" t="0" r="12700" b="13970"/>
                  <wp:docPr id="348" name="图片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705"/>
                          <pic:cNvPicPr>
                            <a:picLocks noChangeAspect="1"/>
                          </pic:cNvPicPr>
                        </pic:nvPicPr>
                        <pic:blipFill>
                          <a:blip r:embed="rId168"/>
                          <a:stretch>
                            <a:fillRect/>
                          </a:stretch>
                        </pic:blipFill>
                        <pic:spPr>
                          <a:xfrm>
                            <a:off x="0" y="0"/>
                            <a:ext cx="254000" cy="254000"/>
                          </a:xfrm>
                          <a:prstGeom prst="rect">
                            <a:avLst/>
                          </a:prstGeom>
                          <a:noFill/>
                          <a:ln>
                            <a:noFill/>
                          </a:ln>
                        </pic:spPr>
                      </pic:pic>
                    </a:graphicData>
                  </a:graphic>
                </wp:inline>
              </w:drawing>
            </w:r>
            <w:r>
              <w:rPr>
                <w:rFonts w:hint="default" w:ascii="Times New Roman" w:hAnsi="Times New Roman" w:eastAsia="宋体" w:cs="Times New Roman"/>
                <w:color w:val="000000"/>
                <w:highlight w:val="none"/>
              </w:rPr>
              <w:t>为油膜的直径；油膜的体积为：</w:t>
            </w:r>
            <w:r>
              <w:rPr>
                <w:rFonts w:hint="default" w:ascii="Times New Roman" w:hAnsi="Times New Roman" w:eastAsia="宋体" w:cs="Times New Roman"/>
                <w:color w:val="000000"/>
                <w:highlight w:val="none"/>
              </w:rPr>
              <w:drawing>
                <wp:inline distT="0" distB="0" distL="114300" distR="114300">
                  <wp:extent cx="990600" cy="254000"/>
                  <wp:effectExtent l="0" t="0" r="0" b="13970"/>
                  <wp:docPr id="349" name="图片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706"/>
                          <pic:cNvPicPr>
                            <a:picLocks noChangeAspect="1"/>
                          </pic:cNvPicPr>
                        </pic:nvPicPr>
                        <pic:blipFill>
                          <a:blip r:embed="rId169"/>
                          <a:stretch>
                            <a:fillRect/>
                          </a:stretch>
                        </pic:blipFill>
                        <pic:spPr>
                          <a:xfrm>
                            <a:off x="0" y="0"/>
                            <a:ext cx="990600" cy="254000"/>
                          </a:xfrm>
                          <a:prstGeom prst="rect">
                            <a:avLst/>
                          </a:prstGeom>
                          <a:noFill/>
                          <a:ln>
                            <a:noFill/>
                          </a:ln>
                        </pic:spPr>
                      </pic:pic>
                    </a:graphicData>
                  </a:graphic>
                </wp:inline>
              </w:drawing>
            </w:r>
            <w:r>
              <w:rPr>
                <w:rFonts w:hint="default" w:ascii="Times New Roman" w:hAnsi="Times New Roman" w:eastAsia="宋体" w:cs="Times New Roman"/>
                <w:color w:val="000000"/>
                <w:highlight w:val="none"/>
              </w:rPr>
              <w:t>，</w:t>
            </w:r>
            <w:r>
              <w:rPr>
                <w:rFonts w:hint="default" w:ascii="Times New Roman" w:hAnsi="Times New Roman" w:eastAsia="宋体" w:cs="Times New Roman"/>
                <w:color w:val="000000"/>
                <w:highlight w:val="none"/>
              </w:rPr>
              <w:drawing>
                <wp:inline distT="0" distB="0" distL="114300" distR="114300">
                  <wp:extent cx="165100" cy="228600"/>
                  <wp:effectExtent l="0" t="0" r="6350" b="0"/>
                  <wp:docPr id="350" name="图片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图片 707"/>
                          <pic:cNvPicPr>
                            <a:picLocks noChangeAspect="1"/>
                          </pic:cNvPicPr>
                        </pic:nvPicPr>
                        <pic:blipFill>
                          <a:blip r:embed="rId170"/>
                          <a:stretch>
                            <a:fillRect/>
                          </a:stretch>
                        </pic:blipFill>
                        <pic:spPr>
                          <a:xfrm>
                            <a:off x="0" y="0"/>
                            <a:ext cx="165100" cy="228600"/>
                          </a:xfrm>
                          <a:prstGeom prst="rect">
                            <a:avLst/>
                          </a:prstGeom>
                          <a:noFill/>
                          <a:ln>
                            <a:noFill/>
                          </a:ln>
                        </pic:spPr>
                      </pic:pic>
                    </a:graphicData>
                  </a:graphic>
                </wp:inline>
              </w:drawing>
            </w:r>
            <w:r>
              <w:rPr>
                <w:rFonts w:hint="default" w:ascii="Times New Roman" w:hAnsi="Times New Roman" w:eastAsia="宋体" w:cs="Times New Roman"/>
                <w:color w:val="000000"/>
                <w:highlight w:val="none"/>
              </w:rPr>
              <w:t>为油膜厚度，其初始值取值为</w:t>
            </w:r>
            <w:r>
              <w:rPr>
                <w:rFonts w:hint="default" w:ascii="Times New Roman" w:hAnsi="Times New Roman" w:eastAsia="宋体" w:cs="Times New Roman"/>
                <w:color w:val="000000"/>
                <w:highlight w:val="none"/>
              </w:rPr>
              <w:drawing>
                <wp:inline distT="0" distB="0" distL="114300" distR="114300">
                  <wp:extent cx="647700" cy="228600"/>
                  <wp:effectExtent l="0" t="0" r="0" b="0"/>
                  <wp:docPr id="351" name="图片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图片 708"/>
                          <pic:cNvPicPr>
                            <a:picLocks noChangeAspect="1"/>
                          </pic:cNvPicPr>
                        </pic:nvPicPr>
                        <pic:blipFill>
                          <a:blip r:embed="rId171"/>
                          <a:stretch>
                            <a:fillRect/>
                          </a:stretch>
                        </pic:blipFill>
                        <pic:spPr>
                          <a:xfrm>
                            <a:off x="0" y="0"/>
                            <a:ext cx="647700" cy="228600"/>
                          </a:xfrm>
                          <a:prstGeom prst="rect">
                            <a:avLst/>
                          </a:prstGeom>
                          <a:noFill/>
                          <a:ln>
                            <a:noFill/>
                          </a:ln>
                        </pic:spPr>
                      </pic:pic>
                    </a:graphicData>
                  </a:graphic>
                </wp:inline>
              </w:drawing>
            </w:r>
            <w:r>
              <w:rPr>
                <w:rFonts w:hint="default" w:ascii="Times New Roman" w:hAnsi="Times New Roman" w:eastAsia="宋体" w:cs="Times New Roman"/>
                <w:color w:val="000000"/>
                <w:highlight w:val="none"/>
              </w:rPr>
              <w:t>。</w:t>
            </w:r>
          </w:p>
          <w:p w14:paraId="1E2D03C8">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lang w:val="en-US" w:eastAsia="zh-CN"/>
              </w:rPr>
              <w:t>②</w:t>
            </w:r>
            <w:r>
              <w:rPr>
                <w:rFonts w:hint="default" w:ascii="Times New Roman" w:hAnsi="Times New Roman" w:eastAsia="宋体" w:cs="Times New Roman"/>
                <w:color w:val="000000"/>
                <w:highlight w:val="none"/>
              </w:rPr>
              <w:t>漂移运动</w:t>
            </w:r>
          </w:p>
          <w:p w14:paraId="1F41CF32">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油粒子漂移的作用力是水流和风拽力，油粒子总漂移速度由以下权重公式计算：</w:t>
            </w:r>
          </w:p>
          <w:p w14:paraId="7BB0C191">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drawing>
                <wp:inline distT="0" distB="0" distL="114300" distR="114300">
                  <wp:extent cx="1333500" cy="228600"/>
                  <wp:effectExtent l="0" t="0" r="0" b="0"/>
                  <wp:docPr id="352" name="图片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709"/>
                          <pic:cNvPicPr>
                            <a:picLocks noChangeAspect="1"/>
                          </pic:cNvPicPr>
                        </pic:nvPicPr>
                        <pic:blipFill>
                          <a:blip r:embed="rId172"/>
                          <a:stretch>
                            <a:fillRect/>
                          </a:stretch>
                        </pic:blipFill>
                        <pic:spPr>
                          <a:xfrm>
                            <a:off x="0" y="0"/>
                            <a:ext cx="1333500" cy="228600"/>
                          </a:xfrm>
                          <a:prstGeom prst="rect">
                            <a:avLst/>
                          </a:prstGeom>
                          <a:noFill/>
                          <a:ln>
                            <a:noFill/>
                          </a:ln>
                        </pic:spPr>
                      </pic:pic>
                    </a:graphicData>
                  </a:graphic>
                </wp:inline>
              </w:drawing>
            </w:r>
          </w:p>
          <w:p w14:paraId="3DA2623B">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其中</w:t>
            </w:r>
            <w:r>
              <w:rPr>
                <w:rFonts w:hint="default" w:ascii="Times New Roman" w:hAnsi="Times New Roman" w:eastAsia="宋体" w:cs="Times New Roman"/>
                <w:i/>
                <w:iCs/>
                <w:color w:val="000000"/>
                <w:highlight w:val="none"/>
              </w:rPr>
              <w:t>Uw</w:t>
            </w:r>
            <w:r>
              <w:rPr>
                <w:rFonts w:hint="default" w:ascii="Times New Roman" w:hAnsi="Times New Roman" w:eastAsia="宋体" w:cs="Times New Roman"/>
                <w:color w:val="000000"/>
                <w:highlight w:val="none"/>
              </w:rPr>
              <w:t>为水面以上10m处的风速；</w:t>
            </w:r>
            <w:r>
              <w:rPr>
                <w:rFonts w:hint="default" w:ascii="Times New Roman" w:hAnsi="Times New Roman" w:eastAsia="宋体" w:cs="Times New Roman"/>
                <w:i/>
                <w:iCs/>
                <w:color w:val="000000"/>
                <w:highlight w:val="none"/>
              </w:rPr>
              <w:t>U</w:t>
            </w:r>
            <w:r>
              <w:rPr>
                <w:rFonts w:hint="default" w:ascii="Times New Roman" w:hAnsi="Times New Roman" w:eastAsia="宋体" w:cs="Times New Roman"/>
                <w:i/>
                <w:iCs/>
                <w:color w:val="000000"/>
                <w:highlight w:val="none"/>
                <w:lang w:val="en-US" w:eastAsia="zh-CN"/>
              </w:rPr>
              <w:t>s</w:t>
            </w:r>
            <w:r>
              <w:rPr>
                <w:rFonts w:hint="default" w:ascii="Times New Roman" w:hAnsi="Times New Roman" w:eastAsia="宋体" w:cs="Times New Roman"/>
                <w:color w:val="000000"/>
                <w:highlight w:val="none"/>
              </w:rPr>
              <w:t>为水体的表面流速；</w:t>
            </w:r>
            <w:r>
              <w:rPr>
                <w:rFonts w:hint="default" w:ascii="Times New Roman" w:hAnsi="Times New Roman" w:eastAsia="宋体" w:cs="Times New Roman"/>
                <w:i/>
                <w:iCs/>
                <w:color w:val="000000"/>
                <w:highlight w:val="none"/>
              </w:rPr>
              <w:t>Cw</w:t>
            </w:r>
            <w:r>
              <w:rPr>
                <w:rFonts w:hint="default" w:ascii="Times New Roman" w:hAnsi="Times New Roman" w:eastAsia="宋体" w:cs="Times New Roman"/>
                <w:color w:val="000000"/>
                <w:highlight w:val="none"/>
              </w:rPr>
              <w:t>为风的漂移系数，一般取在0.03~0.04之间。</w:t>
            </w:r>
          </w:p>
          <w:p w14:paraId="1E80B4CF">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风场数据从气象部门获得，而流场从水动力模型计算结果获得。假定其符合以下分布：</w:t>
            </w:r>
          </w:p>
          <w:p w14:paraId="7A1E4142">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drawing>
                <wp:inline distT="0" distB="0" distL="114300" distR="114300">
                  <wp:extent cx="1435735" cy="457835"/>
                  <wp:effectExtent l="0" t="0" r="12065" b="18415"/>
                  <wp:docPr id="353" name="图片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710"/>
                          <pic:cNvPicPr>
                            <a:picLocks noChangeAspect="1"/>
                          </pic:cNvPicPr>
                        </pic:nvPicPr>
                        <pic:blipFill>
                          <a:blip r:embed="rId173"/>
                          <a:stretch>
                            <a:fillRect/>
                          </a:stretch>
                        </pic:blipFill>
                        <pic:spPr>
                          <a:xfrm>
                            <a:off x="0" y="0"/>
                            <a:ext cx="1435735" cy="457835"/>
                          </a:xfrm>
                          <a:prstGeom prst="rect">
                            <a:avLst/>
                          </a:prstGeom>
                          <a:noFill/>
                          <a:ln>
                            <a:noFill/>
                          </a:ln>
                        </pic:spPr>
                      </pic:pic>
                    </a:graphicData>
                  </a:graphic>
                </wp:inline>
              </w:drawing>
            </w:r>
          </w:p>
          <w:p w14:paraId="52431B06">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式中：</w:t>
            </w:r>
            <w:r>
              <w:rPr>
                <w:rFonts w:hint="default" w:ascii="Times New Roman" w:hAnsi="Times New Roman" w:eastAsia="宋体" w:cs="Times New Roman"/>
                <w:i/>
                <w:iCs/>
                <w:color w:val="000000"/>
                <w:highlight w:val="none"/>
              </w:rPr>
              <w:t>Z</w:t>
            </w:r>
            <w:r>
              <w:rPr>
                <w:rFonts w:hint="default" w:ascii="Times New Roman" w:hAnsi="Times New Roman" w:eastAsia="宋体" w:cs="Times New Roman"/>
                <w:color w:val="000000"/>
                <w:highlight w:val="none"/>
              </w:rPr>
              <w:t>为水面</w:t>
            </w:r>
            <w:r>
              <w:rPr>
                <w:rFonts w:hint="default" w:ascii="Times New Roman" w:hAnsi="Times New Roman" w:eastAsia="宋体" w:cs="Times New Roman"/>
                <w:color w:val="000000"/>
                <w:highlight w:val="none"/>
                <w:lang w:eastAsia="zh-CN"/>
              </w:rPr>
              <w:t>以下</w:t>
            </w:r>
            <w:r>
              <w:rPr>
                <w:rFonts w:hint="default" w:ascii="Times New Roman" w:hAnsi="Times New Roman" w:eastAsia="宋体" w:cs="Times New Roman"/>
                <w:color w:val="000000"/>
                <w:highlight w:val="none"/>
              </w:rPr>
              <w:t>深度；</w:t>
            </w:r>
            <w:r>
              <w:rPr>
                <w:rFonts w:hint="default" w:ascii="Times New Roman" w:hAnsi="Times New Roman" w:eastAsia="宋体" w:cs="Times New Roman"/>
                <w:color w:val="000000"/>
                <w:highlight w:val="none"/>
              </w:rPr>
              <w:drawing>
                <wp:inline distT="0" distB="0" distL="114300" distR="114300">
                  <wp:extent cx="355600" cy="254000"/>
                  <wp:effectExtent l="0" t="0" r="6350" b="13970"/>
                  <wp:docPr id="354" name="图片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711"/>
                          <pic:cNvPicPr>
                            <a:picLocks noChangeAspect="1"/>
                          </pic:cNvPicPr>
                        </pic:nvPicPr>
                        <pic:blipFill>
                          <a:blip r:embed="rId174"/>
                          <a:stretch>
                            <a:fillRect/>
                          </a:stretch>
                        </pic:blipFill>
                        <pic:spPr>
                          <a:xfrm>
                            <a:off x="0" y="0"/>
                            <a:ext cx="355600" cy="254000"/>
                          </a:xfrm>
                          <a:prstGeom prst="rect">
                            <a:avLst/>
                          </a:prstGeom>
                          <a:noFill/>
                          <a:ln>
                            <a:noFill/>
                          </a:ln>
                        </pic:spPr>
                      </pic:pic>
                    </a:graphicData>
                  </a:graphic>
                </wp:inline>
              </w:drawing>
            </w:r>
            <w:r>
              <w:rPr>
                <w:rFonts w:hint="default" w:ascii="Times New Roman" w:hAnsi="Times New Roman" w:eastAsia="宋体" w:cs="Times New Roman"/>
                <w:color w:val="000000"/>
                <w:highlight w:val="none"/>
              </w:rPr>
              <w:t>为对数流速关系；</w:t>
            </w:r>
            <w:r>
              <w:rPr>
                <w:rFonts w:hint="default" w:ascii="Times New Roman" w:hAnsi="Times New Roman" w:eastAsia="宋体" w:cs="Times New Roman"/>
                <w:i/>
                <w:iCs/>
                <w:color w:val="000000"/>
                <w:highlight w:val="none"/>
              </w:rPr>
              <w:t>k</w:t>
            </w:r>
            <w:r>
              <w:rPr>
                <w:rFonts w:hint="default" w:ascii="Times New Roman" w:hAnsi="Times New Roman" w:eastAsia="宋体" w:cs="Times New Roman"/>
                <w:color w:val="000000"/>
                <w:highlight w:val="none"/>
              </w:rPr>
              <w:t>为冯卡门常数，取值为0.42；</w:t>
            </w:r>
            <w:r>
              <w:rPr>
                <w:rFonts w:hint="default" w:ascii="Times New Roman" w:hAnsi="Times New Roman" w:eastAsia="宋体" w:cs="Times New Roman"/>
                <w:i/>
                <w:iCs/>
                <w:color w:val="000000"/>
                <w:highlight w:val="none"/>
              </w:rPr>
              <w:t>k</w:t>
            </w:r>
            <w:r>
              <w:rPr>
                <w:rFonts w:hint="default" w:ascii="Times New Roman" w:hAnsi="Times New Roman" w:eastAsia="宋体" w:cs="Times New Roman"/>
                <w:i/>
                <w:iCs/>
                <w:color w:val="000000"/>
                <w:highlight w:val="none"/>
                <w:vertAlign w:val="subscript"/>
              </w:rPr>
              <w:t>n</w:t>
            </w:r>
            <w:r>
              <w:rPr>
                <w:rFonts w:hint="default" w:ascii="Times New Roman" w:hAnsi="Times New Roman" w:eastAsia="宋体" w:cs="Times New Roman"/>
                <w:color w:val="000000"/>
                <w:highlight w:val="none"/>
              </w:rPr>
              <w:t>为Nikuradse阻力系数；</w:t>
            </w:r>
            <w:r>
              <w:rPr>
                <w:rFonts w:hint="default" w:ascii="Times New Roman" w:hAnsi="Times New Roman" w:eastAsia="宋体" w:cs="Times New Roman"/>
                <w:i/>
                <w:iCs/>
                <w:color w:val="000000"/>
                <w:highlight w:val="none"/>
              </w:rPr>
              <w:t>U</w:t>
            </w:r>
            <w:r>
              <w:rPr>
                <w:rFonts w:hint="default" w:ascii="Times New Roman" w:hAnsi="Times New Roman" w:eastAsia="宋体" w:cs="Times New Roman"/>
                <w:i/>
                <w:iCs/>
                <w:color w:val="000000"/>
                <w:highlight w:val="none"/>
                <w:vertAlign w:val="subscript"/>
              </w:rPr>
              <w:t>f</w:t>
            </w:r>
            <w:r>
              <w:rPr>
                <w:rFonts w:hint="default" w:ascii="Times New Roman" w:hAnsi="Times New Roman" w:eastAsia="宋体" w:cs="Times New Roman"/>
                <w:color w:val="000000"/>
                <w:highlight w:val="none"/>
              </w:rPr>
              <w:t>为摩阻系数，定义为：</w:t>
            </w:r>
          </w:p>
          <w:p w14:paraId="79BA14B2">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drawing>
                <wp:inline distT="0" distB="0" distL="114300" distR="114300">
                  <wp:extent cx="1140460" cy="755650"/>
                  <wp:effectExtent l="0" t="0" r="0" b="6350"/>
                  <wp:docPr id="355" name="图片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712"/>
                          <pic:cNvPicPr>
                            <a:picLocks noChangeAspect="1"/>
                          </pic:cNvPicPr>
                        </pic:nvPicPr>
                        <pic:blipFill>
                          <a:blip r:embed="rId175"/>
                          <a:stretch>
                            <a:fillRect/>
                          </a:stretch>
                        </pic:blipFill>
                        <pic:spPr>
                          <a:xfrm>
                            <a:off x="0" y="0"/>
                            <a:ext cx="1140460" cy="755650"/>
                          </a:xfrm>
                          <a:prstGeom prst="rect">
                            <a:avLst/>
                          </a:prstGeom>
                          <a:noFill/>
                          <a:ln>
                            <a:noFill/>
                          </a:ln>
                        </pic:spPr>
                      </pic:pic>
                    </a:graphicData>
                  </a:graphic>
                </wp:inline>
              </w:drawing>
            </w:r>
          </w:p>
          <w:p w14:paraId="08185338">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其中，</w:t>
            </w:r>
            <w:r>
              <w:rPr>
                <w:rFonts w:hint="default" w:ascii="Times New Roman" w:hAnsi="Times New Roman" w:eastAsia="宋体" w:cs="Times New Roman"/>
                <w:color w:val="000000"/>
                <w:highlight w:val="none"/>
              </w:rPr>
              <w:object>
                <v:shape id="_x0000_i1089" o:spt="75" type="#_x0000_t75" style="height:18.15pt;width:28.15pt;" o:ole="t" filled="f" o:preferrelative="t" stroked="f" coordsize="21600,21600">
                  <v:path/>
                  <v:fill on="f" focussize="0,0"/>
                  <v:stroke on="f" joinstyle="miter"/>
                  <v:imagedata r:id="rId177" o:title=""/>
                  <o:lock v:ext="edit" aspectratio="t"/>
                  <w10:wrap type="none"/>
                  <w10:anchorlock/>
                </v:shape>
                <o:OLEObject Type="Embed" ProgID="Equation.DSMT4" ShapeID="_x0000_i1089" DrawAspect="Content" ObjectID="_1468075790" r:id="rId176">
                  <o:LockedField>false</o:LockedField>
                </o:OLEObject>
              </w:object>
            </w:r>
            <w:r>
              <w:rPr>
                <w:rFonts w:hint="default" w:ascii="Times New Roman" w:hAnsi="Times New Roman" w:eastAsia="宋体" w:cs="Times New Roman"/>
                <w:color w:val="000000"/>
                <w:highlight w:val="none"/>
              </w:rPr>
              <w:t>为平均流速；</w:t>
            </w:r>
            <w:r>
              <w:rPr>
                <w:rFonts w:hint="default" w:ascii="Times New Roman" w:hAnsi="Times New Roman" w:eastAsia="宋体" w:cs="Times New Roman"/>
                <w:color w:val="000000"/>
                <w:highlight w:val="none"/>
              </w:rPr>
              <w:drawing>
                <wp:inline distT="0" distB="0" distL="114300" distR="114300">
                  <wp:extent cx="685800" cy="393700"/>
                  <wp:effectExtent l="0" t="0" r="0" b="5715"/>
                  <wp:docPr id="356" name="图片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图片 714"/>
                          <pic:cNvPicPr>
                            <a:picLocks noChangeAspect="1"/>
                          </pic:cNvPicPr>
                        </pic:nvPicPr>
                        <pic:blipFill>
                          <a:blip r:embed="rId178"/>
                          <a:stretch>
                            <a:fillRect/>
                          </a:stretch>
                        </pic:blipFill>
                        <pic:spPr>
                          <a:xfrm>
                            <a:off x="0" y="0"/>
                            <a:ext cx="685800" cy="393700"/>
                          </a:xfrm>
                          <a:prstGeom prst="rect">
                            <a:avLst/>
                          </a:prstGeom>
                          <a:noFill/>
                          <a:ln>
                            <a:noFill/>
                          </a:ln>
                        </pic:spPr>
                      </pic:pic>
                    </a:graphicData>
                  </a:graphic>
                </wp:inline>
              </w:drawing>
            </w:r>
            <w:r>
              <w:rPr>
                <w:rFonts w:hint="default" w:ascii="Times New Roman" w:hAnsi="Times New Roman" w:eastAsia="宋体" w:cs="Times New Roman"/>
                <w:color w:val="000000"/>
                <w:highlight w:val="none"/>
              </w:rPr>
              <w:t>，当水深大于此位置时模型假定对流速度为0。当z＝0时，即可求出表面流速</w:t>
            </w:r>
            <w:r>
              <w:rPr>
                <w:rFonts w:hint="default" w:ascii="Times New Roman" w:hAnsi="Times New Roman" w:eastAsia="宋体" w:cs="Times New Roman"/>
                <w:i/>
                <w:iCs/>
                <w:color w:val="000000"/>
                <w:highlight w:val="none"/>
              </w:rPr>
              <w:t>U</w:t>
            </w:r>
            <w:r>
              <w:rPr>
                <w:rFonts w:hint="default" w:ascii="Times New Roman" w:hAnsi="Times New Roman" w:eastAsia="宋体" w:cs="Times New Roman"/>
                <w:i/>
                <w:iCs/>
                <w:color w:val="000000"/>
                <w:highlight w:val="none"/>
                <w:vertAlign w:val="subscript"/>
              </w:rPr>
              <w:t>S</w:t>
            </w:r>
            <w:r>
              <w:rPr>
                <w:rFonts w:hint="default" w:ascii="Times New Roman" w:hAnsi="Times New Roman" w:eastAsia="宋体" w:cs="Times New Roman"/>
                <w:color w:val="000000"/>
                <w:highlight w:val="none"/>
              </w:rPr>
              <w:t xml:space="preserve">： </w:t>
            </w:r>
            <w:r>
              <w:rPr>
                <w:rFonts w:hint="default" w:ascii="Times New Roman" w:hAnsi="Times New Roman" w:eastAsia="宋体" w:cs="Times New Roman"/>
                <w:color w:val="000000"/>
                <w:highlight w:val="none"/>
              </w:rPr>
              <w:drawing>
                <wp:inline distT="0" distB="0" distL="114300" distR="114300">
                  <wp:extent cx="685800" cy="254000"/>
                  <wp:effectExtent l="0" t="0" r="0" b="13970"/>
                  <wp:docPr id="357" name="图片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图片 715"/>
                          <pic:cNvPicPr>
                            <a:picLocks noChangeAspect="1"/>
                          </pic:cNvPicPr>
                        </pic:nvPicPr>
                        <pic:blipFill>
                          <a:blip r:embed="rId179"/>
                          <a:stretch>
                            <a:fillRect/>
                          </a:stretch>
                        </pic:blipFill>
                        <pic:spPr>
                          <a:xfrm>
                            <a:off x="0" y="0"/>
                            <a:ext cx="685800" cy="254000"/>
                          </a:xfrm>
                          <a:prstGeom prst="rect">
                            <a:avLst/>
                          </a:prstGeom>
                          <a:noFill/>
                          <a:ln>
                            <a:noFill/>
                          </a:ln>
                        </pic:spPr>
                      </pic:pic>
                    </a:graphicData>
                  </a:graphic>
                </wp:inline>
              </w:drawing>
            </w:r>
          </w:p>
          <w:p w14:paraId="507282F3">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lang w:val="en-US" w:eastAsia="zh-CN"/>
              </w:rPr>
              <w:t>③</w:t>
            </w:r>
            <w:r>
              <w:rPr>
                <w:rFonts w:hint="default" w:ascii="Times New Roman" w:hAnsi="Times New Roman" w:eastAsia="宋体" w:cs="Times New Roman"/>
                <w:color w:val="000000"/>
                <w:highlight w:val="none"/>
              </w:rPr>
              <w:t>紊动系数</w:t>
            </w:r>
          </w:p>
          <w:p w14:paraId="6A722F98">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假定水平扩散各向同性，一个时间步长内α方向上的可能扩散距离</w:t>
            </w:r>
            <w:r>
              <w:rPr>
                <w:rFonts w:hint="default" w:ascii="Times New Roman" w:hAnsi="Times New Roman" w:eastAsia="宋体" w:cs="Times New Roman"/>
                <w:i/>
                <w:iCs/>
                <w:color w:val="000000"/>
                <w:highlight w:val="none"/>
              </w:rPr>
              <w:t>S</w:t>
            </w:r>
            <w:r>
              <w:rPr>
                <w:rFonts w:hint="default" w:ascii="Times New Roman" w:hAnsi="Times New Roman" w:eastAsia="宋体" w:cs="Times New Roman"/>
                <w:i/>
                <w:iCs/>
                <w:color w:val="000000"/>
                <w:highlight w:val="none"/>
                <w:vertAlign w:val="subscript"/>
              </w:rPr>
              <w:t>α</w:t>
            </w:r>
            <w:r>
              <w:rPr>
                <w:rFonts w:hint="default" w:ascii="Times New Roman" w:hAnsi="Times New Roman" w:eastAsia="宋体" w:cs="Times New Roman"/>
                <w:color w:val="000000"/>
                <w:highlight w:val="none"/>
              </w:rPr>
              <w:t>可表示为：</w:t>
            </w:r>
          </w:p>
          <w:p w14:paraId="138151CB">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drawing>
                <wp:inline distT="0" distB="0" distL="114300" distR="114300">
                  <wp:extent cx="1435735" cy="289560"/>
                  <wp:effectExtent l="0" t="0" r="12065" b="15875"/>
                  <wp:docPr id="358" name="图片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图片 716"/>
                          <pic:cNvPicPr>
                            <a:picLocks noChangeAspect="1"/>
                          </pic:cNvPicPr>
                        </pic:nvPicPr>
                        <pic:blipFill>
                          <a:blip r:embed="rId180"/>
                          <a:stretch>
                            <a:fillRect/>
                          </a:stretch>
                        </pic:blipFill>
                        <pic:spPr>
                          <a:xfrm>
                            <a:off x="0" y="0"/>
                            <a:ext cx="1435735" cy="289560"/>
                          </a:xfrm>
                          <a:prstGeom prst="rect">
                            <a:avLst/>
                          </a:prstGeom>
                          <a:noFill/>
                          <a:ln>
                            <a:noFill/>
                          </a:ln>
                        </pic:spPr>
                      </pic:pic>
                    </a:graphicData>
                  </a:graphic>
                </wp:inline>
              </w:drawing>
            </w:r>
          </w:p>
          <w:p w14:paraId="10A871DA">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其中，</w:t>
            </w:r>
            <w:r>
              <w:rPr>
                <w:rFonts w:hint="default" w:ascii="Times New Roman" w:hAnsi="Times New Roman" w:eastAsia="宋体" w:cs="Times New Roman"/>
                <w:color w:val="000000"/>
                <w:highlight w:val="none"/>
              </w:rPr>
              <w:drawing>
                <wp:inline distT="0" distB="0" distL="114300" distR="114300">
                  <wp:extent cx="355600" cy="304800"/>
                  <wp:effectExtent l="0" t="0" r="5715" b="0"/>
                  <wp:docPr id="284" name="图片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717"/>
                          <pic:cNvPicPr>
                            <a:picLocks noChangeAspect="1"/>
                          </pic:cNvPicPr>
                        </pic:nvPicPr>
                        <pic:blipFill>
                          <a:blip r:embed="rId181"/>
                          <a:stretch>
                            <a:fillRect/>
                          </a:stretch>
                        </pic:blipFill>
                        <pic:spPr>
                          <a:xfrm>
                            <a:off x="0" y="0"/>
                            <a:ext cx="355600" cy="304800"/>
                          </a:xfrm>
                          <a:prstGeom prst="rect">
                            <a:avLst/>
                          </a:prstGeom>
                          <a:noFill/>
                          <a:ln>
                            <a:noFill/>
                          </a:ln>
                        </pic:spPr>
                      </pic:pic>
                    </a:graphicData>
                  </a:graphic>
                </wp:inline>
              </w:drawing>
            </w:r>
            <w:r>
              <w:rPr>
                <w:rFonts w:hint="default" w:ascii="Times New Roman" w:hAnsi="Times New Roman" w:eastAsia="宋体" w:cs="Times New Roman"/>
                <w:color w:val="000000"/>
                <w:highlight w:val="none"/>
              </w:rPr>
              <w:t>为-1到1之间的随机数，</w:t>
            </w:r>
            <w:r>
              <w:rPr>
                <w:rFonts w:hint="default" w:ascii="Times New Roman" w:hAnsi="Times New Roman" w:eastAsia="宋体" w:cs="Times New Roman"/>
                <w:color w:val="000000"/>
                <w:highlight w:val="none"/>
              </w:rPr>
              <w:drawing>
                <wp:inline distT="0" distB="0" distL="114300" distR="114300">
                  <wp:extent cx="228600" cy="228600"/>
                  <wp:effectExtent l="0" t="0" r="0" b="0"/>
                  <wp:docPr id="285" name="图片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718"/>
                          <pic:cNvPicPr>
                            <a:picLocks noChangeAspect="1"/>
                          </pic:cNvPicPr>
                        </pic:nvPicPr>
                        <pic:blipFill>
                          <a:blip r:embed="rId182"/>
                          <a:stretch>
                            <a:fillRect/>
                          </a:stretch>
                        </pic:blipFill>
                        <pic:spPr>
                          <a:xfrm>
                            <a:off x="0" y="0"/>
                            <a:ext cx="228600" cy="228600"/>
                          </a:xfrm>
                          <a:prstGeom prst="rect">
                            <a:avLst/>
                          </a:prstGeom>
                          <a:noFill/>
                          <a:ln>
                            <a:noFill/>
                          </a:ln>
                        </pic:spPr>
                      </pic:pic>
                    </a:graphicData>
                  </a:graphic>
                </wp:inline>
              </w:drawing>
            </w:r>
            <w:r>
              <w:rPr>
                <w:rFonts w:hint="default" w:ascii="Times New Roman" w:hAnsi="Times New Roman" w:eastAsia="宋体" w:cs="Times New Roman"/>
                <w:color w:val="000000"/>
                <w:highlight w:val="none"/>
              </w:rPr>
              <w:t>为α方向上的扩散系数。</w:t>
            </w:r>
          </w:p>
          <w:p w14:paraId="5BB5C495">
            <w:pPr>
              <w:pStyle w:val="4"/>
              <w:bidi w:val="0"/>
              <w:rPr>
                <w:rFonts w:hint="default" w:ascii="Times New Roman" w:hAnsi="Times New Roman" w:cs="Times New Roman"/>
                <w:color w:val="000000"/>
                <w:highlight w:val="none"/>
              </w:rPr>
            </w:pPr>
            <w:bookmarkStart w:id="456" w:name="_Toc23091"/>
            <w:bookmarkStart w:id="457" w:name="_Toc22324"/>
            <w:r>
              <w:rPr>
                <w:rFonts w:hint="default" w:ascii="Times New Roman" w:hAnsi="Times New Roman" w:cs="Times New Roman"/>
                <w:color w:val="000000"/>
                <w:highlight w:val="none"/>
              </w:rPr>
              <w:t>预测方案</w:t>
            </w:r>
            <w:bookmarkEnd w:id="456"/>
            <w:bookmarkEnd w:id="457"/>
          </w:p>
          <w:p w14:paraId="37A9DC43">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rPr>
              <w:t>（1）水文条件</w:t>
            </w:r>
          </w:p>
          <w:p w14:paraId="796CF692">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油膜在潮流作用下运移，一般在涨急时刻发生溢油，油膜对涨潮方向附近敏感区影响最快，而在落急时刻发生溢油，对落潮方向附近敏感区影响最快，因此选择涨急、落急时刻分别进行溢油释放计算。</w:t>
            </w:r>
          </w:p>
          <w:p w14:paraId="10BB7812">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rPr>
              <w:t>（2）气象参数</w:t>
            </w:r>
          </w:p>
          <w:p w14:paraId="5F9231C1">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根据气象条件，本次工作主要考虑的是冬季的主导风向为NNE向，平均风速为5.8m/s，夏季主导风向为SW风，风速为4.5m/s；同时考虑不利风况下油膜的扩散情况，不利风向取SW风，风速取10.8m/s。</w:t>
            </w:r>
          </w:p>
          <w:p w14:paraId="5DBA0413">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rPr>
              <w:t>（3）溢油点位及油量</w:t>
            </w:r>
          </w:p>
          <w:p w14:paraId="2421AB43">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考虑本项目运营期所涉及的内容，本次溢油点选在渔港口门附近，泄漏量为</w:t>
            </w:r>
            <w:r>
              <w:rPr>
                <w:rFonts w:hint="default" w:ascii="Times New Roman" w:hAnsi="Times New Roman" w:cs="Times New Roman"/>
                <w:color w:val="000000"/>
                <w:highlight w:val="none"/>
                <w:lang w:val="en-US" w:eastAsia="zh-CN"/>
              </w:rPr>
              <w:t>331.5t</w:t>
            </w:r>
            <w:r>
              <w:rPr>
                <w:rFonts w:hint="default" w:ascii="Times New Roman" w:hAnsi="Times New Roman" w:cs="Times New Roman"/>
                <w:color w:val="000000"/>
                <w:highlight w:val="none"/>
              </w:rPr>
              <w:t>，燃料油均为柴油。溢油点位置及周围敏感区分布</w:t>
            </w:r>
            <w:r>
              <w:rPr>
                <w:rFonts w:hint="default" w:ascii="Times New Roman" w:hAnsi="Times New Roman" w:cs="Times New Roman"/>
                <w:color w:val="000000"/>
                <w:highlight w:val="none"/>
                <w:lang w:val="en-US" w:eastAsia="zh-CN"/>
              </w:rPr>
              <w:t>见</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REF _Ref15615 \h </w:instrText>
            </w:r>
            <w:r>
              <w:rPr>
                <w:rFonts w:hint="default" w:ascii="Times New Roman" w:hAnsi="Times New Roman" w:cs="Times New Roman"/>
                <w:color w:val="000000"/>
                <w:highlight w:val="none"/>
                <w:lang w:val="en-US" w:eastAsia="zh-CN"/>
              </w:rPr>
              <w:fldChar w:fldCharType="separate"/>
            </w:r>
            <w:r>
              <w:rPr>
                <w:rFonts w:hint="default"/>
              </w:rPr>
              <w:t>图</w:t>
            </w:r>
            <w:r>
              <w:rPr>
                <w:rFonts w:hint="default"/>
              </w:rPr>
              <w:fldChar w:fldCharType="begin"/>
            </w:r>
            <w:r>
              <w:rPr>
                <w:rFonts w:hint="default"/>
              </w:rPr>
              <w:instrText xml:space="preserve"> STYLEREF 2 \s </w:instrText>
            </w:r>
            <w:r>
              <w:rPr>
                <w:rFonts w:hint="default"/>
              </w:rPr>
              <w:fldChar w:fldCharType="separate"/>
            </w:r>
            <w:r>
              <w:rPr>
                <w:rFonts w:hint="default"/>
              </w:rPr>
              <w:t>4.7</w:t>
            </w:r>
            <w:r>
              <w:rPr>
                <w:rFonts w:hint="default"/>
              </w:rPr>
              <w:fldChar w:fldCharType="end"/>
            </w:r>
            <w:r>
              <w:rPr>
                <w:rFonts w:hint="default"/>
                <w:lang w:eastAsia="zh-CN"/>
              </w:rPr>
              <w:t>-</w:t>
            </w:r>
            <w:r>
              <w:rPr>
                <w:rFonts w:hint="default"/>
              </w:rPr>
              <w:t>2</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rPr>
              <w:t>。</w:t>
            </w:r>
          </w:p>
          <w:p w14:paraId="6C9D6E36">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4</w:t>
            </w: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rPr>
              <w:t>预测条件组合</w:t>
            </w:r>
          </w:p>
          <w:p w14:paraId="60CE9819">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综合考虑潮流、风向等因素，对溢油点按照天气类型和溢油时刻进行组合，确定的预测组合条件为：大潮×</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SW+NNE+不利SW风</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涨急+落急</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。具体计算工况组合见</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REF _Ref19302 \h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4.8</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1</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rPr>
              <w:t>。</w:t>
            </w:r>
          </w:p>
          <w:p w14:paraId="7B0DE629">
            <w:pPr>
              <w:pStyle w:val="30"/>
              <w:bidi w:val="0"/>
              <w:rPr>
                <w:rFonts w:hint="default" w:ascii="Times New Roman" w:hAnsi="Times New Roman" w:cs="Times New Roman"/>
                <w:color w:val="000000"/>
                <w:highlight w:val="none"/>
              </w:rPr>
            </w:pPr>
            <w:bookmarkStart w:id="458" w:name="_Ref19302"/>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4.8</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表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1</w:t>
            </w:r>
            <w:r>
              <w:rPr>
                <w:rFonts w:hint="default" w:ascii="Times New Roman" w:hAnsi="Times New Roman" w:cs="Times New Roman"/>
                <w:color w:val="000000"/>
                <w:highlight w:val="none"/>
              </w:rPr>
              <w:fldChar w:fldCharType="end"/>
            </w:r>
            <w:bookmarkEnd w:id="458"/>
            <w:r>
              <w:rPr>
                <w:rFonts w:hint="default" w:ascii="Times New Roman" w:hAnsi="Times New Roman" w:cs="Times New Roman"/>
                <w:color w:val="000000"/>
                <w:highlight w:val="none"/>
              </w:rPr>
              <w:t xml:space="preserve"> 计算工况组合表</w:t>
            </w:r>
          </w:p>
          <w:tbl>
            <w:tblPr>
              <w:tblStyle w:val="22"/>
              <w:tblW w:w="82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79"/>
              <w:gridCol w:w="3540"/>
              <w:gridCol w:w="2760"/>
            </w:tblGrid>
            <w:tr w14:paraId="012A12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1979" w:type="dxa"/>
                  <w:noWrap w:val="0"/>
                  <w:vAlign w:val="center"/>
                </w:tcPr>
                <w:p w14:paraId="7182F738">
                  <w:pPr>
                    <w:pStyle w:val="31"/>
                    <w:bidi w:val="0"/>
                    <w:rPr>
                      <w:rFonts w:hint="default" w:ascii="Times New Roman" w:hAnsi="Times New Roman" w:eastAsia="宋体" w:cs="Times New Roman"/>
                      <w:b/>
                      <w:bCs/>
                      <w:color w:val="000000"/>
                      <w:highlight w:val="none"/>
                      <w:lang w:val="en-US" w:eastAsia="zh-CN"/>
                    </w:rPr>
                  </w:pPr>
                  <w:r>
                    <w:rPr>
                      <w:rFonts w:hint="default" w:ascii="Times New Roman" w:hAnsi="Times New Roman" w:cs="Times New Roman"/>
                      <w:b/>
                      <w:bCs/>
                      <w:color w:val="000000"/>
                      <w:highlight w:val="none"/>
                      <w:lang w:val="en-US" w:eastAsia="zh-CN"/>
                    </w:rPr>
                    <w:t>工况</w:t>
                  </w:r>
                </w:p>
              </w:tc>
              <w:tc>
                <w:tcPr>
                  <w:tcW w:w="3540" w:type="dxa"/>
                  <w:noWrap w:val="0"/>
                  <w:vAlign w:val="center"/>
                </w:tcPr>
                <w:p w14:paraId="38CDC9E1">
                  <w:pPr>
                    <w:pStyle w:val="31"/>
                    <w:bidi w:val="0"/>
                    <w:rPr>
                      <w:rFonts w:hint="default" w:ascii="Times New Roman" w:hAnsi="Times New Roman" w:eastAsia="宋体" w:cs="Times New Roman"/>
                      <w:b/>
                      <w:bCs/>
                      <w:color w:val="000000"/>
                      <w:highlight w:val="none"/>
                      <w:lang w:val="en-US" w:eastAsia="zh-CN"/>
                    </w:rPr>
                  </w:pPr>
                  <w:r>
                    <w:rPr>
                      <w:rFonts w:hint="default" w:ascii="Times New Roman" w:hAnsi="Times New Roman" w:cs="Times New Roman"/>
                      <w:b/>
                      <w:bCs/>
                      <w:color w:val="000000"/>
                      <w:highlight w:val="none"/>
                      <w:lang w:val="en-US" w:eastAsia="zh-CN"/>
                    </w:rPr>
                    <w:t>溢油起始时刻</w:t>
                  </w:r>
                </w:p>
              </w:tc>
              <w:tc>
                <w:tcPr>
                  <w:tcW w:w="2760" w:type="dxa"/>
                  <w:noWrap w:val="0"/>
                  <w:vAlign w:val="center"/>
                </w:tcPr>
                <w:p w14:paraId="4982A87A">
                  <w:pPr>
                    <w:pStyle w:val="31"/>
                    <w:bidi w:val="0"/>
                    <w:rPr>
                      <w:rFonts w:hint="default" w:ascii="Times New Roman" w:hAnsi="Times New Roman" w:eastAsia="宋体" w:cs="Times New Roman"/>
                      <w:b/>
                      <w:bCs/>
                      <w:color w:val="000000"/>
                      <w:highlight w:val="none"/>
                      <w:lang w:val="en-US" w:eastAsia="zh-CN"/>
                    </w:rPr>
                  </w:pPr>
                  <w:r>
                    <w:rPr>
                      <w:rFonts w:hint="default" w:ascii="Times New Roman" w:hAnsi="Times New Roman" w:cs="Times New Roman"/>
                      <w:b/>
                      <w:bCs/>
                      <w:color w:val="000000"/>
                      <w:highlight w:val="none"/>
                      <w:lang w:val="en-US" w:eastAsia="zh-CN"/>
                    </w:rPr>
                    <w:t>风况</w:t>
                  </w:r>
                </w:p>
              </w:tc>
            </w:tr>
            <w:tr w14:paraId="5F8F1E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1979" w:type="dxa"/>
                  <w:noWrap w:val="0"/>
                  <w:vAlign w:val="center"/>
                </w:tcPr>
                <w:p w14:paraId="4CAD3DC5">
                  <w:pPr>
                    <w:pStyle w:val="31"/>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A1</w:t>
                  </w:r>
                </w:p>
              </w:tc>
              <w:tc>
                <w:tcPr>
                  <w:tcW w:w="3540" w:type="dxa"/>
                  <w:vMerge w:val="restart"/>
                  <w:noWrap w:val="0"/>
                  <w:vAlign w:val="center"/>
                </w:tcPr>
                <w:p w14:paraId="61602B8A">
                  <w:pPr>
                    <w:pStyle w:val="31"/>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涨急时刻</w:t>
                  </w:r>
                </w:p>
              </w:tc>
              <w:tc>
                <w:tcPr>
                  <w:tcW w:w="2760" w:type="dxa"/>
                  <w:noWrap w:val="0"/>
                  <w:vAlign w:val="center"/>
                </w:tcPr>
                <w:p w14:paraId="61F88AC2">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SW风，4.5m/s</w:t>
                  </w:r>
                </w:p>
              </w:tc>
            </w:tr>
            <w:tr w14:paraId="25AE61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1979" w:type="dxa"/>
                  <w:noWrap w:val="0"/>
                  <w:vAlign w:val="center"/>
                </w:tcPr>
                <w:p w14:paraId="29B7C6E9">
                  <w:pPr>
                    <w:pStyle w:val="31"/>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A2</w:t>
                  </w:r>
                </w:p>
              </w:tc>
              <w:tc>
                <w:tcPr>
                  <w:tcW w:w="3540" w:type="dxa"/>
                  <w:vMerge w:val="continue"/>
                  <w:noWrap w:val="0"/>
                  <w:vAlign w:val="center"/>
                </w:tcPr>
                <w:p w14:paraId="25A05360">
                  <w:pPr>
                    <w:pStyle w:val="31"/>
                    <w:bidi w:val="0"/>
                    <w:rPr>
                      <w:rFonts w:hint="default" w:ascii="Times New Roman" w:hAnsi="Times New Roman" w:cs="Times New Roman"/>
                      <w:color w:val="000000"/>
                      <w:highlight w:val="none"/>
                    </w:rPr>
                  </w:pPr>
                </w:p>
              </w:tc>
              <w:tc>
                <w:tcPr>
                  <w:tcW w:w="2760" w:type="dxa"/>
                  <w:noWrap w:val="0"/>
                  <w:vAlign w:val="center"/>
                </w:tcPr>
                <w:p w14:paraId="12422C54">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NNE风，5.8m/s</w:t>
                  </w:r>
                </w:p>
              </w:tc>
            </w:tr>
            <w:tr w14:paraId="33A2DD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1979" w:type="dxa"/>
                  <w:noWrap w:val="0"/>
                  <w:vAlign w:val="center"/>
                </w:tcPr>
                <w:p w14:paraId="014A8A3B">
                  <w:pPr>
                    <w:pStyle w:val="31"/>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A3</w:t>
                  </w:r>
                </w:p>
              </w:tc>
              <w:tc>
                <w:tcPr>
                  <w:tcW w:w="3540" w:type="dxa"/>
                  <w:vMerge w:val="continue"/>
                  <w:noWrap w:val="0"/>
                  <w:vAlign w:val="center"/>
                </w:tcPr>
                <w:p w14:paraId="0B8A48A8">
                  <w:pPr>
                    <w:pStyle w:val="31"/>
                    <w:bidi w:val="0"/>
                    <w:rPr>
                      <w:rFonts w:hint="default" w:ascii="Times New Roman" w:hAnsi="Times New Roman" w:cs="Times New Roman"/>
                      <w:color w:val="000000"/>
                      <w:highlight w:val="none"/>
                    </w:rPr>
                  </w:pPr>
                </w:p>
              </w:tc>
              <w:tc>
                <w:tcPr>
                  <w:tcW w:w="2760" w:type="dxa"/>
                  <w:noWrap w:val="0"/>
                  <w:vAlign w:val="center"/>
                </w:tcPr>
                <w:p w14:paraId="507C2753">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不利SW风，10.8m/s</w:t>
                  </w:r>
                </w:p>
              </w:tc>
            </w:tr>
            <w:tr w14:paraId="039163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1979" w:type="dxa"/>
                  <w:noWrap w:val="0"/>
                  <w:vAlign w:val="center"/>
                </w:tcPr>
                <w:p w14:paraId="28673CB7">
                  <w:pPr>
                    <w:pStyle w:val="31"/>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A4</w:t>
                  </w:r>
                </w:p>
              </w:tc>
              <w:tc>
                <w:tcPr>
                  <w:tcW w:w="3540" w:type="dxa"/>
                  <w:vMerge w:val="restart"/>
                  <w:noWrap w:val="0"/>
                  <w:vAlign w:val="center"/>
                </w:tcPr>
                <w:p w14:paraId="18396D3B">
                  <w:pPr>
                    <w:pStyle w:val="31"/>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落急时刻</w:t>
                  </w:r>
                </w:p>
              </w:tc>
              <w:tc>
                <w:tcPr>
                  <w:tcW w:w="2760" w:type="dxa"/>
                  <w:noWrap w:val="0"/>
                  <w:vAlign w:val="center"/>
                </w:tcPr>
                <w:p w14:paraId="161AB15D">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SW风，4.5m/s</w:t>
                  </w:r>
                </w:p>
              </w:tc>
            </w:tr>
            <w:tr w14:paraId="375582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1979" w:type="dxa"/>
                  <w:noWrap w:val="0"/>
                  <w:vAlign w:val="center"/>
                </w:tcPr>
                <w:p w14:paraId="7FF9A3E5">
                  <w:pPr>
                    <w:pStyle w:val="31"/>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A5</w:t>
                  </w:r>
                </w:p>
              </w:tc>
              <w:tc>
                <w:tcPr>
                  <w:tcW w:w="3540" w:type="dxa"/>
                  <w:vMerge w:val="continue"/>
                  <w:noWrap w:val="0"/>
                  <w:vAlign w:val="center"/>
                </w:tcPr>
                <w:p w14:paraId="323F90F3">
                  <w:pPr>
                    <w:pStyle w:val="31"/>
                    <w:bidi w:val="0"/>
                    <w:rPr>
                      <w:rFonts w:hint="default" w:ascii="Times New Roman" w:hAnsi="Times New Roman" w:cs="Times New Roman"/>
                      <w:color w:val="000000"/>
                      <w:highlight w:val="none"/>
                    </w:rPr>
                  </w:pPr>
                </w:p>
              </w:tc>
              <w:tc>
                <w:tcPr>
                  <w:tcW w:w="2760" w:type="dxa"/>
                  <w:noWrap w:val="0"/>
                  <w:vAlign w:val="center"/>
                </w:tcPr>
                <w:p w14:paraId="779D5957">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NNE风，5.8m/s</w:t>
                  </w:r>
                </w:p>
              </w:tc>
            </w:tr>
            <w:tr w14:paraId="4363AA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7" w:hRule="atLeast"/>
                <w:jc w:val="center"/>
              </w:trPr>
              <w:tc>
                <w:tcPr>
                  <w:tcW w:w="1979" w:type="dxa"/>
                  <w:noWrap w:val="0"/>
                  <w:vAlign w:val="center"/>
                </w:tcPr>
                <w:p w14:paraId="3203FD9A">
                  <w:pPr>
                    <w:pStyle w:val="31"/>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A6</w:t>
                  </w:r>
                </w:p>
              </w:tc>
              <w:tc>
                <w:tcPr>
                  <w:tcW w:w="3540" w:type="dxa"/>
                  <w:vMerge w:val="continue"/>
                  <w:noWrap w:val="0"/>
                  <w:vAlign w:val="center"/>
                </w:tcPr>
                <w:p w14:paraId="45D34288">
                  <w:pPr>
                    <w:pStyle w:val="31"/>
                    <w:bidi w:val="0"/>
                    <w:rPr>
                      <w:rFonts w:hint="default" w:ascii="Times New Roman" w:hAnsi="Times New Roman" w:cs="Times New Roman"/>
                      <w:color w:val="000000"/>
                      <w:highlight w:val="none"/>
                    </w:rPr>
                  </w:pPr>
                </w:p>
              </w:tc>
              <w:tc>
                <w:tcPr>
                  <w:tcW w:w="2760" w:type="dxa"/>
                  <w:noWrap w:val="0"/>
                  <w:vAlign w:val="center"/>
                </w:tcPr>
                <w:p w14:paraId="11EEFD51">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不利SW风，10.8m/s</w:t>
                  </w:r>
                </w:p>
              </w:tc>
            </w:tr>
          </w:tbl>
          <w:p w14:paraId="6551D9F0">
            <w:pPr>
              <w:bidi w:val="0"/>
              <w:ind w:firstLine="482" w:firstLineChars="200"/>
              <w:rPr>
                <w:rFonts w:hint="default" w:ascii="Times New Roman" w:hAnsi="Times New Roman" w:eastAsia="宋体" w:cs="Times New Roman"/>
                <w:b/>
                <w:bCs/>
                <w:color w:val="000000"/>
                <w:highlight w:val="none"/>
                <w:lang w:val="en-US" w:eastAsia="zh-CN"/>
              </w:rPr>
            </w:pP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5</w:t>
            </w: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模型参数设定</w:t>
            </w:r>
          </w:p>
          <w:p w14:paraId="3137B0DE">
            <w:pPr>
              <w:bidi w:val="0"/>
              <w:ind w:firstLine="480" w:firstLineChars="200"/>
              <w:rPr>
                <w:rFonts w:hint="default" w:ascii="Times New Roman" w:hAnsi="Times New Roman" w:cs="Times New Roman"/>
                <w:color w:val="000000"/>
                <w:highlight w:val="none"/>
              </w:rPr>
            </w:pPr>
            <w:r>
              <w:rPr>
                <w:rFonts w:hint="default" w:ascii="Times New Roman" w:hAnsi="Times New Roman" w:cs="Times New Roman"/>
                <w:color w:val="000000"/>
                <w:highlight w:val="none"/>
              </w:rPr>
              <w:t>根据相关文献推荐值，模型中相关参数取值见</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REF _Ref19598 \h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4.8</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2</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rPr>
              <w:t>。</w:t>
            </w:r>
          </w:p>
          <w:p w14:paraId="75BEB10F">
            <w:pPr>
              <w:pStyle w:val="30"/>
              <w:bidi w:val="0"/>
              <w:rPr>
                <w:rFonts w:hint="default" w:ascii="Times New Roman" w:hAnsi="Times New Roman" w:cs="Times New Roman"/>
                <w:color w:val="000000"/>
                <w:highlight w:val="none"/>
              </w:rPr>
            </w:pPr>
            <w:bookmarkStart w:id="459" w:name="_Ref19598"/>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4.8</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表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2</w:t>
            </w:r>
            <w:r>
              <w:rPr>
                <w:rFonts w:hint="default" w:ascii="Times New Roman" w:hAnsi="Times New Roman" w:cs="Times New Roman"/>
                <w:color w:val="000000"/>
                <w:highlight w:val="none"/>
              </w:rPr>
              <w:fldChar w:fldCharType="end"/>
            </w:r>
            <w:bookmarkEnd w:id="459"/>
            <w:r>
              <w:rPr>
                <w:rFonts w:hint="default" w:ascii="Times New Roman" w:hAnsi="Times New Roman" w:cs="Times New Roman"/>
                <w:color w:val="000000"/>
                <w:highlight w:val="none"/>
              </w:rPr>
              <w:t xml:space="preserve"> 部分模型参数设置</w:t>
            </w:r>
          </w:p>
          <w:tbl>
            <w:tblPr>
              <w:tblStyle w:val="21"/>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24"/>
              <w:gridCol w:w="3107"/>
            </w:tblGrid>
            <w:tr w14:paraId="02A844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112" w:type="pct"/>
                  <w:noWrap w:val="0"/>
                  <w:vAlign w:val="center"/>
                </w:tcPr>
                <w:p w14:paraId="13ED9AE8">
                  <w:pPr>
                    <w:pStyle w:val="31"/>
                    <w:bidi w:val="0"/>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rPr>
                    <w:t>参数</w:t>
                  </w:r>
                </w:p>
              </w:tc>
              <w:tc>
                <w:tcPr>
                  <w:tcW w:w="1887" w:type="pct"/>
                  <w:noWrap w:val="0"/>
                  <w:vAlign w:val="center"/>
                </w:tcPr>
                <w:p w14:paraId="0D91B51C">
                  <w:pPr>
                    <w:pStyle w:val="31"/>
                    <w:bidi w:val="0"/>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rPr>
                    <w:t>系数取值</w:t>
                  </w:r>
                </w:p>
              </w:tc>
            </w:tr>
            <w:tr w14:paraId="01D45C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12" w:type="pct"/>
                  <w:noWrap w:val="0"/>
                  <w:vAlign w:val="center"/>
                </w:tcPr>
                <w:p w14:paraId="5837D0DB">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风漂移系数</w:t>
                  </w:r>
                  <w:r>
                    <w:rPr>
                      <w:rFonts w:hint="default" w:ascii="Times New Roman" w:hAnsi="Times New Roman" w:cs="Times New Roman"/>
                      <w:i/>
                      <w:iCs/>
                      <w:color w:val="000000"/>
                      <w:highlight w:val="none"/>
                    </w:rPr>
                    <w:t>C</w:t>
                  </w:r>
                  <w:r>
                    <w:rPr>
                      <w:rFonts w:hint="default" w:ascii="Times New Roman" w:hAnsi="Times New Roman" w:cs="Times New Roman"/>
                      <w:i/>
                      <w:iCs/>
                      <w:color w:val="000000"/>
                      <w:highlight w:val="none"/>
                      <w:vertAlign w:val="subscript"/>
                    </w:rPr>
                    <w:t>w</w:t>
                  </w:r>
                </w:p>
              </w:tc>
              <w:tc>
                <w:tcPr>
                  <w:tcW w:w="1887" w:type="pct"/>
                  <w:noWrap w:val="0"/>
                  <w:vAlign w:val="center"/>
                </w:tcPr>
                <w:p w14:paraId="05243A53">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0.03</w:t>
                  </w:r>
                </w:p>
              </w:tc>
            </w:tr>
            <w:tr w14:paraId="1516F3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12" w:type="pct"/>
                  <w:noWrap w:val="0"/>
                  <w:vAlign w:val="center"/>
                </w:tcPr>
                <w:p w14:paraId="54CCCE42">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最大含水率</w:t>
                  </w:r>
                  <w:r>
                    <w:rPr>
                      <w:rFonts w:hint="default" w:ascii="Times New Roman" w:hAnsi="Times New Roman" w:cs="Times New Roman"/>
                      <w:color w:val="000000"/>
                      <w:highlight w:val="none"/>
                    </w:rPr>
                    <w:drawing>
                      <wp:inline distT="0" distB="0" distL="114300" distR="114300">
                        <wp:extent cx="334010" cy="254635"/>
                        <wp:effectExtent l="0" t="0" r="0" b="13970"/>
                        <wp:docPr id="286"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99"/>
                                <pic:cNvPicPr>
                                  <a:picLocks noChangeAspect="1"/>
                                </pic:cNvPicPr>
                              </pic:nvPicPr>
                              <pic:blipFill>
                                <a:blip r:embed="rId183"/>
                                <a:stretch>
                                  <a:fillRect/>
                                </a:stretch>
                              </pic:blipFill>
                              <pic:spPr>
                                <a:xfrm>
                                  <a:off x="0" y="0"/>
                                  <a:ext cx="334010" cy="254635"/>
                                </a:xfrm>
                                <a:prstGeom prst="rect">
                                  <a:avLst/>
                                </a:prstGeom>
                                <a:noFill/>
                                <a:ln>
                                  <a:noFill/>
                                </a:ln>
                              </pic:spPr>
                            </pic:pic>
                          </a:graphicData>
                        </a:graphic>
                      </wp:inline>
                    </w:drawing>
                  </w:r>
                </w:p>
              </w:tc>
              <w:tc>
                <w:tcPr>
                  <w:tcW w:w="1887" w:type="pct"/>
                  <w:noWrap w:val="0"/>
                  <w:vAlign w:val="center"/>
                </w:tcPr>
                <w:p w14:paraId="6208F5D6">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0.85</w:t>
                  </w:r>
                </w:p>
              </w:tc>
            </w:tr>
            <w:tr w14:paraId="403B4A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12" w:type="pct"/>
                  <w:noWrap w:val="0"/>
                  <w:vAlign w:val="center"/>
                </w:tcPr>
                <w:p w14:paraId="0A35A6FE">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吸收系数</w:t>
                  </w:r>
                  <w:r>
                    <w:rPr>
                      <w:rFonts w:hint="default" w:ascii="Times New Roman" w:hAnsi="Times New Roman" w:cs="Times New Roman"/>
                      <w:i/>
                      <w:iCs/>
                      <w:color w:val="000000"/>
                      <w:highlight w:val="none"/>
                    </w:rPr>
                    <w:t>K</w:t>
                  </w:r>
                  <w:r>
                    <w:rPr>
                      <w:rFonts w:hint="default" w:ascii="Times New Roman" w:hAnsi="Times New Roman" w:cs="Times New Roman"/>
                      <w:i/>
                      <w:iCs/>
                      <w:color w:val="000000"/>
                      <w:highlight w:val="none"/>
                      <w:vertAlign w:val="subscript"/>
                    </w:rPr>
                    <w:t>1</w:t>
                  </w:r>
                </w:p>
              </w:tc>
              <w:tc>
                <w:tcPr>
                  <w:tcW w:w="1887" w:type="pct"/>
                  <w:noWrap w:val="0"/>
                  <w:vAlign w:val="center"/>
                </w:tcPr>
                <w:p w14:paraId="4B602B6F">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5×10</w:t>
                  </w:r>
                  <w:r>
                    <w:rPr>
                      <w:rFonts w:hint="default" w:ascii="Times New Roman" w:hAnsi="Times New Roman" w:cs="Times New Roman"/>
                      <w:color w:val="000000"/>
                      <w:highlight w:val="none"/>
                      <w:vertAlign w:val="superscript"/>
                    </w:rPr>
                    <w:t>-7</w:t>
                  </w:r>
                </w:p>
              </w:tc>
            </w:tr>
            <w:tr w14:paraId="729337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12" w:type="pct"/>
                  <w:noWrap w:val="0"/>
                  <w:vAlign w:val="center"/>
                </w:tcPr>
                <w:p w14:paraId="7D278FB3">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释出系数</w:t>
                  </w:r>
                  <w:r>
                    <w:rPr>
                      <w:rFonts w:hint="default" w:ascii="Times New Roman" w:hAnsi="Times New Roman" w:cs="Times New Roman"/>
                      <w:i/>
                      <w:iCs/>
                      <w:color w:val="000000"/>
                      <w:highlight w:val="none"/>
                    </w:rPr>
                    <w:t>K</w:t>
                  </w:r>
                  <w:r>
                    <w:rPr>
                      <w:rFonts w:hint="default" w:ascii="Times New Roman" w:hAnsi="Times New Roman" w:cs="Times New Roman"/>
                      <w:i/>
                      <w:iCs/>
                      <w:color w:val="000000"/>
                      <w:highlight w:val="none"/>
                      <w:vertAlign w:val="subscript"/>
                    </w:rPr>
                    <w:t>2</w:t>
                  </w:r>
                </w:p>
              </w:tc>
              <w:tc>
                <w:tcPr>
                  <w:tcW w:w="1887" w:type="pct"/>
                  <w:noWrap w:val="0"/>
                  <w:vAlign w:val="center"/>
                </w:tcPr>
                <w:p w14:paraId="167E1820">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1.2×10</w:t>
                  </w:r>
                  <w:r>
                    <w:rPr>
                      <w:rFonts w:hint="default" w:ascii="Times New Roman" w:hAnsi="Times New Roman" w:cs="Times New Roman"/>
                      <w:color w:val="000000"/>
                      <w:highlight w:val="none"/>
                      <w:vertAlign w:val="superscript"/>
                    </w:rPr>
                    <w:t>-5</w:t>
                  </w:r>
                </w:p>
              </w:tc>
            </w:tr>
            <w:tr w14:paraId="6D682D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12" w:type="pct"/>
                  <w:noWrap w:val="0"/>
                  <w:vAlign w:val="center"/>
                </w:tcPr>
                <w:p w14:paraId="4536F144">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传质系数</w:t>
                  </w:r>
                  <w:r>
                    <w:rPr>
                      <w:rFonts w:hint="default" w:ascii="Times New Roman" w:hAnsi="Times New Roman" w:cs="Times New Roman"/>
                      <w:i/>
                      <w:iCs/>
                      <w:color w:val="000000"/>
                      <w:highlight w:val="none"/>
                    </w:rPr>
                    <w:t>K</w:t>
                  </w:r>
                  <w:r>
                    <w:rPr>
                      <w:rFonts w:hint="default" w:ascii="Times New Roman" w:hAnsi="Times New Roman" w:cs="Times New Roman"/>
                      <w:i/>
                      <w:iCs/>
                      <w:color w:val="000000"/>
                      <w:highlight w:val="none"/>
                      <w:vertAlign w:val="subscript"/>
                    </w:rPr>
                    <w:t>Si</w:t>
                  </w:r>
                </w:p>
              </w:tc>
              <w:tc>
                <w:tcPr>
                  <w:tcW w:w="1887" w:type="pct"/>
                  <w:noWrap w:val="0"/>
                  <w:vAlign w:val="center"/>
                </w:tcPr>
                <w:p w14:paraId="0A6F01C7">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2.36×10</w:t>
                  </w:r>
                  <w:r>
                    <w:rPr>
                      <w:rFonts w:hint="default" w:ascii="Times New Roman" w:hAnsi="Times New Roman" w:cs="Times New Roman"/>
                      <w:color w:val="000000"/>
                      <w:highlight w:val="none"/>
                      <w:vertAlign w:val="superscript"/>
                    </w:rPr>
                    <w:t>-6</w:t>
                  </w:r>
                </w:p>
              </w:tc>
            </w:tr>
            <w:tr w14:paraId="4D3AA8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12" w:type="pct"/>
                  <w:noWrap w:val="0"/>
                  <w:vAlign w:val="center"/>
                </w:tcPr>
                <w:p w14:paraId="765AF508">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蒸发系数</w:t>
                  </w:r>
                  <w:r>
                    <w:rPr>
                      <w:rFonts w:hint="default" w:ascii="Times New Roman" w:hAnsi="Times New Roman" w:cs="Times New Roman"/>
                      <w:i/>
                      <w:iCs/>
                      <w:color w:val="000000"/>
                      <w:highlight w:val="none"/>
                    </w:rPr>
                    <w:t>k</w:t>
                  </w:r>
                </w:p>
              </w:tc>
              <w:tc>
                <w:tcPr>
                  <w:tcW w:w="1887" w:type="pct"/>
                  <w:noWrap w:val="0"/>
                  <w:vAlign w:val="center"/>
                </w:tcPr>
                <w:p w14:paraId="286A4D5E">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0.029</w:t>
                  </w:r>
                </w:p>
              </w:tc>
            </w:tr>
            <w:tr w14:paraId="08B814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12" w:type="pct"/>
                  <w:noWrap w:val="0"/>
                  <w:vAlign w:val="center"/>
                </w:tcPr>
                <w:p w14:paraId="5612E8B7">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油辐射率</w:t>
                  </w:r>
                  <w:r>
                    <w:rPr>
                      <w:rFonts w:hint="default" w:ascii="Times New Roman" w:hAnsi="Times New Roman" w:cs="Times New Roman"/>
                      <w:i/>
                      <w:iCs/>
                      <w:color w:val="000000"/>
                      <w:highlight w:val="none"/>
                    </w:rPr>
                    <w:t>l</w:t>
                  </w:r>
                  <w:r>
                    <w:rPr>
                      <w:rFonts w:hint="default" w:ascii="Times New Roman" w:hAnsi="Times New Roman" w:cs="Times New Roman"/>
                      <w:i/>
                      <w:iCs/>
                      <w:color w:val="000000"/>
                      <w:highlight w:val="none"/>
                      <w:vertAlign w:val="subscript"/>
                    </w:rPr>
                    <w:t>oil</w:t>
                  </w:r>
                </w:p>
              </w:tc>
              <w:tc>
                <w:tcPr>
                  <w:tcW w:w="1887" w:type="pct"/>
                  <w:noWrap w:val="0"/>
                  <w:vAlign w:val="center"/>
                </w:tcPr>
                <w:p w14:paraId="619C2AC1">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0.82</w:t>
                  </w:r>
                </w:p>
              </w:tc>
            </w:tr>
            <w:tr w14:paraId="398B73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12" w:type="pct"/>
                  <w:noWrap w:val="0"/>
                  <w:vAlign w:val="center"/>
                </w:tcPr>
                <w:p w14:paraId="2F5BE466">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水辐射率</w:t>
                  </w:r>
                  <w:r>
                    <w:rPr>
                      <w:rFonts w:hint="default" w:ascii="Times New Roman" w:hAnsi="Times New Roman" w:cs="Times New Roman"/>
                      <w:i/>
                      <w:iCs/>
                      <w:color w:val="000000"/>
                      <w:highlight w:val="none"/>
                    </w:rPr>
                    <w:t>l</w:t>
                  </w:r>
                  <w:r>
                    <w:rPr>
                      <w:rFonts w:hint="default" w:ascii="Times New Roman" w:hAnsi="Times New Roman" w:cs="Times New Roman"/>
                      <w:i/>
                      <w:iCs/>
                      <w:color w:val="000000"/>
                      <w:highlight w:val="none"/>
                      <w:vertAlign w:val="subscript"/>
                    </w:rPr>
                    <w:t>water</w:t>
                  </w:r>
                </w:p>
              </w:tc>
              <w:tc>
                <w:tcPr>
                  <w:tcW w:w="1887" w:type="pct"/>
                  <w:noWrap w:val="0"/>
                  <w:vAlign w:val="center"/>
                </w:tcPr>
                <w:p w14:paraId="7206E733">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0.95</w:t>
                  </w:r>
                </w:p>
              </w:tc>
            </w:tr>
            <w:tr w14:paraId="6C3CC7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12" w:type="pct"/>
                  <w:noWrap w:val="0"/>
                  <w:vAlign w:val="center"/>
                </w:tcPr>
                <w:p w14:paraId="7E087E3E">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大气辐射率</w:t>
                  </w:r>
                  <w:r>
                    <w:rPr>
                      <w:rFonts w:hint="default" w:ascii="Times New Roman" w:hAnsi="Times New Roman" w:cs="Times New Roman"/>
                      <w:i/>
                      <w:iCs/>
                      <w:color w:val="000000"/>
                      <w:highlight w:val="none"/>
                    </w:rPr>
                    <w:t>l</w:t>
                  </w:r>
                  <w:r>
                    <w:rPr>
                      <w:rFonts w:hint="default" w:ascii="Times New Roman" w:hAnsi="Times New Roman" w:cs="Times New Roman"/>
                      <w:i/>
                      <w:iCs/>
                      <w:color w:val="000000"/>
                      <w:highlight w:val="none"/>
                      <w:vertAlign w:val="subscript"/>
                    </w:rPr>
                    <w:t>air</w:t>
                  </w:r>
                </w:p>
              </w:tc>
              <w:tc>
                <w:tcPr>
                  <w:tcW w:w="1887" w:type="pct"/>
                  <w:noWrap w:val="0"/>
                  <w:vAlign w:val="center"/>
                </w:tcPr>
                <w:p w14:paraId="0F070F8C">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0.82</w:t>
                  </w:r>
                </w:p>
              </w:tc>
            </w:tr>
            <w:tr w14:paraId="29A855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12" w:type="pct"/>
                  <w:noWrap w:val="0"/>
                  <w:vAlign w:val="center"/>
                </w:tcPr>
                <w:p w14:paraId="7BAB6C2B">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漫射系数α</w:t>
                  </w:r>
                </w:p>
              </w:tc>
              <w:tc>
                <w:tcPr>
                  <w:tcW w:w="1887" w:type="pct"/>
                  <w:noWrap w:val="0"/>
                  <w:vAlign w:val="center"/>
                </w:tcPr>
                <w:p w14:paraId="4C2C5D77">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0.1</w:t>
                  </w:r>
                </w:p>
              </w:tc>
            </w:tr>
          </w:tbl>
          <w:p w14:paraId="2EF9AA32">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模型中水平（横向和纵向）扩散系数DL和DT的取值非常重要，反映了油粒子在水体中的扩散强度和随机紊动强度，对模拟结果影响较大，而且不同的应用场合下取值范围很大。模型采用的是油粒子模型，其中的扩散系数概念与常规的对流扩散模型有所不同，体现在：1）油粒子只在水体表面运动；2）粒子不按水动力模型中设定的网格运移，而是按实际运移路径准确计算，扩散系数取值与模型网格布置方式和时间步长关系不大。</w:t>
            </w:r>
          </w:p>
          <w:p w14:paraId="167BF395">
            <w:pPr>
              <w:pStyle w:val="4"/>
              <w:bidi w:val="0"/>
              <w:rPr>
                <w:rFonts w:hint="default" w:ascii="Times New Roman" w:hAnsi="Times New Roman" w:cs="Times New Roman"/>
                <w:color w:val="000000"/>
                <w:highlight w:val="none"/>
              </w:rPr>
            </w:pPr>
            <w:bookmarkStart w:id="460" w:name="_Toc3298"/>
            <w:r>
              <w:rPr>
                <w:rFonts w:hint="default" w:ascii="Times New Roman" w:hAnsi="Times New Roman" w:cs="Times New Roman"/>
                <w:color w:val="000000"/>
                <w:highlight w:val="none"/>
                <w:lang w:val="en-US" w:eastAsia="zh-CN"/>
              </w:rPr>
              <w:t>溢油模拟结果分析</w:t>
            </w:r>
            <w:bookmarkEnd w:id="460"/>
          </w:p>
          <w:p w14:paraId="0109F02B">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1</w:t>
            </w: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rPr>
              <w:t>溢油点在SW风4.5m/s条件下涨潮溢油轨迹</w:t>
            </w: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A1</w:t>
            </w: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rPr>
              <w:t>：</w:t>
            </w:r>
          </w:p>
          <w:p w14:paraId="2E82954F">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油粒子主要影响范围涉及：项目区域南侧和东北侧14.4km范围内海域，扫海面积范围18.78km²。</w:t>
            </w:r>
            <w:r>
              <w:rPr>
                <w:rFonts w:hint="default" w:ascii="Times New Roman" w:hAnsi="Times New Roman" w:cs="Times New Roman"/>
                <w:color w:val="000000"/>
                <w:highlight w:val="none"/>
                <w:lang w:val="en-US" w:eastAsia="zh-CN"/>
              </w:rPr>
              <w:t>72小时</w:t>
            </w:r>
            <w:r>
              <w:rPr>
                <w:rFonts w:hint="default" w:ascii="Times New Roman" w:hAnsi="Times New Roman" w:cs="Times New Roman"/>
                <w:color w:val="000000"/>
                <w:highlight w:val="none"/>
              </w:rPr>
              <w:t>溢油轨迹和影响范围如</w:t>
            </w:r>
            <w:r>
              <w:rPr>
                <w:rFonts w:hint="default" w:ascii="Times New Roman" w:hAnsi="Times New Roman" w:cs="Times New Roman"/>
                <w:color w:val="000000"/>
                <w:highlight w:val="none"/>
                <w:lang w:val="en-US"/>
              </w:rPr>
              <w:fldChar w:fldCharType="begin"/>
            </w:r>
            <w:r>
              <w:rPr>
                <w:rFonts w:hint="default" w:ascii="Times New Roman" w:hAnsi="Times New Roman" w:cs="Times New Roman"/>
                <w:color w:val="000000"/>
                <w:highlight w:val="none"/>
                <w:lang w:val="en-US"/>
              </w:rPr>
              <w:instrText xml:space="preserve"> REF _Ref23699 \h </w:instrText>
            </w:r>
            <w:r>
              <w:rPr>
                <w:rFonts w:hint="default" w:ascii="Times New Roman" w:hAnsi="Times New Roman" w:cs="Times New Roman"/>
                <w:color w:val="000000"/>
                <w:highlight w:val="none"/>
                <w:lang w:val="en-US"/>
              </w:rPr>
              <w:fldChar w:fldCharType="separate"/>
            </w:r>
            <w:r>
              <w:rPr>
                <w:rFonts w:hint="default" w:ascii="Times New Roman" w:hAnsi="Times New Roman" w:cs="Times New Roman"/>
                <w:color w:val="000000"/>
                <w:highlight w:val="none"/>
              </w:rPr>
              <w:t>图</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4.8</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1</w:t>
            </w:r>
            <w:r>
              <w:rPr>
                <w:rFonts w:hint="default" w:ascii="Times New Roman" w:hAnsi="Times New Roman" w:cs="Times New Roman"/>
                <w:color w:val="000000"/>
                <w:highlight w:val="none"/>
                <w:lang w:val="en-US"/>
              </w:rPr>
              <w:fldChar w:fldCharType="end"/>
            </w:r>
            <w:r>
              <w:rPr>
                <w:rFonts w:hint="default" w:ascii="Times New Roman" w:hAnsi="Times New Roman" w:cs="Times New Roman"/>
                <w:color w:val="000000"/>
                <w:highlight w:val="none"/>
              </w:rPr>
              <w:t>所示，油膜经过15h抵岸。</w:t>
            </w:r>
          </w:p>
          <w:p w14:paraId="2F94BAD5">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2</w:t>
            </w: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rPr>
              <w:t>溢油点在NNE风5.8m/s条件下涨潮溢油轨迹</w:t>
            </w: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A2</w:t>
            </w: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rPr>
              <w:t>：</w:t>
            </w:r>
          </w:p>
          <w:p w14:paraId="5200A76D">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油粒子主要影响范围涉及：项目区域南侧18.9km范围内海域，扫海面积范围38.94km²。</w:t>
            </w:r>
            <w:r>
              <w:rPr>
                <w:rFonts w:hint="default" w:ascii="Times New Roman" w:hAnsi="Times New Roman" w:cs="Times New Roman"/>
                <w:color w:val="000000"/>
                <w:highlight w:val="none"/>
                <w:lang w:val="en-US" w:eastAsia="zh-CN"/>
              </w:rPr>
              <w:t>72小时</w:t>
            </w:r>
            <w:r>
              <w:rPr>
                <w:rFonts w:hint="default" w:ascii="Times New Roman" w:hAnsi="Times New Roman" w:cs="Times New Roman"/>
                <w:color w:val="000000"/>
                <w:highlight w:val="none"/>
              </w:rPr>
              <w:t>溢油轨迹和影响范围如</w:t>
            </w:r>
            <w:r>
              <w:rPr>
                <w:rFonts w:hint="default" w:ascii="Times New Roman" w:hAnsi="Times New Roman" w:cs="Times New Roman"/>
                <w:color w:val="000000"/>
                <w:highlight w:val="none"/>
                <w:lang w:val="en-US"/>
              </w:rPr>
              <w:fldChar w:fldCharType="begin"/>
            </w:r>
            <w:r>
              <w:rPr>
                <w:rFonts w:hint="default" w:ascii="Times New Roman" w:hAnsi="Times New Roman" w:cs="Times New Roman"/>
                <w:color w:val="000000"/>
                <w:highlight w:val="none"/>
                <w:lang w:val="en-US"/>
              </w:rPr>
              <w:instrText xml:space="preserve"> REF _Ref23706 \h </w:instrText>
            </w:r>
            <w:r>
              <w:rPr>
                <w:rFonts w:hint="default" w:ascii="Times New Roman" w:hAnsi="Times New Roman" w:cs="Times New Roman"/>
                <w:color w:val="000000"/>
                <w:highlight w:val="none"/>
                <w:lang w:val="en-US"/>
              </w:rPr>
              <w:fldChar w:fldCharType="separate"/>
            </w:r>
            <w:r>
              <w:rPr>
                <w:rFonts w:hint="default" w:ascii="Times New Roman" w:hAnsi="Times New Roman" w:cs="Times New Roman"/>
                <w:color w:val="000000"/>
                <w:highlight w:val="none"/>
              </w:rPr>
              <w:t>图</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4.8</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2</w:t>
            </w:r>
            <w:r>
              <w:rPr>
                <w:rFonts w:hint="default" w:ascii="Times New Roman" w:hAnsi="Times New Roman" w:cs="Times New Roman"/>
                <w:color w:val="000000"/>
                <w:highlight w:val="none"/>
                <w:lang w:val="en-US"/>
              </w:rPr>
              <w:fldChar w:fldCharType="end"/>
            </w:r>
            <w:r>
              <w:rPr>
                <w:rFonts w:hint="default" w:ascii="Times New Roman" w:hAnsi="Times New Roman" w:cs="Times New Roman"/>
                <w:color w:val="000000"/>
                <w:highlight w:val="none"/>
              </w:rPr>
              <w:t>所示，油膜经过2h抵岸，经过72h扩散范围达到最大值。</w:t>
            </w:r>
          </w:p>
          <w:p w14:paraId="5EF547D2">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3</w:t>
            </w: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rPr>
              <w:t>溢油点在SW风10.8m/s条件下涨潮溢油轨迹</w:t>
            </w: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A3</w:t>
            </w: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rPr>
              <w:t>：</w:t>
            </w:r>
          </w:p>
          <w:p w14:paraId="00B620A5">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油粒子主要影响范围涉及：项目区域南侧和东侧16.3km范围内海域，扫海面积范围10.91km²。</w:t>
            </w:r>
            <w:r>
              <w:rPr>
                <w:rFonts w:hint="default" w:ascii="Times New Roman" w:hAnsi="Times New Roman" w:cs="Times New Roman"/>
                <w:color w:val="000000"/>
                <w:highlight w:val="none"/>
                <w:lang w:val="en-US" w:eastAsia="zh-CN"/>
              </w:rPr>
              <w:t>72小时</w:t>
            </w:r>
            <w:r>
              <w:rPr>
                <w:rFonts w:hint="default" w:ascii="Times New Roman" w:hAnsi="Times New Roman" w:cs="Times New Roman"/>
                <w:color w:val="000000"/>
                <w:highlight w:val="none"/>
              </w:rPr>
              <w:t>溢油轨迹和影响范围如</w:t>
            </w:r>
            <w:r>
              <w:rPr>
                <w:rFonts w:hint="default" w:ascii="Times New Roman" w:hAnsi="Times New Roman" w:cs="Times New Roman"/>
                <w:color w:val="000000"/>
                <w:highlight w:val="none"/>
                <w:lang w:val="en-US"/>
              </w:rPr>
              <w:fldChar w:fldCharType="begin"/>
            </w:r>
            <w:r>
              <w:rPr>
                <w:rFonts w:hint="default" w:ascii="Times New Roman" w:hAnsi="Times New Roman" w:cs="Times New Roman"/>
                <w:color w:val="000000"/>
                <w:highlight w:val="none"/>
                <w:lang w:val="en-US"/>
              </w:rPr>
              <w:instrText xml:space="preserve"> REF _Ref23712 \h </w:instrText>
            </w:r>
            <w:r>
              <w:rPr>
                <w:rFonts w:hint="default" w:ascii="Times New Roman" w:hAnsi="Times New Roman" w:cs="Times New Roman"/>
                <w:color w:val="000000"/>
                <w:highlight w:val="none"/>
                <w:lang w:val="en-US"/>
              </w:rPr>
              <w:fldChar w:fldCharType="separate"/>
            </w:r>
            <w:r>
              <w:rPr>
                <w:rFonts w:hint="default" w:ascii="Times New Roman" w:hAnsi="Times New Roman" w:cs="Times New Roman"/>
                <w:color w:val="000000"/>
                <w:highlight w:val="none"/>
              </w:rPr>
              <w:t>图</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4.8</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3</w:t>
            </w:r>
            <w:r>
              <w:rPr>
                <w:rFonts w:hint="default" w:ascii="Times New Roman" w:hAnsi="Times New Roman" w:cs="Times New Roman"/>
                <w:color w:val="000000"/>
                <w:highlight w:val="none"/>
                <w:lang w:val="en-US"/>
              </w:rPr>
              <w:fldChar w:fldCharType="end"/>
            </w:r>
            <w:r>
              <w:rPr>
                <w:rFonts w:hint="default" w:ascii="Times New Roman" w:hAnsi="Times New Roman" w:cs="Times New Roman"/>
                <w:color w:val="000000"/>
                <w:highlight w:val="none"/>
              </w:rPr>
              <w:t>所示，油膜经过6h抵岸。</w:t>
            </w:r>
          </w:p>
          <w:p w14:paraId="16643722">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4</w:t>
            </w: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rPr>
              <w:t>溢油点在SW风4.5m/s条件下落潮溢油轨迹</w:t>
            </w: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A4</w:t>
            </w: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rPr>
              <w:t>：</w:t>
            </w:r>
          </w:p>
          <w:p w14:paraId="483BD7CD">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油粒子主要影响范围涉及：项目区域东北侧10.3km范围内海域，扫海面积范围11.13km²。</w:t>
            </w:r>
            <w:r>
              <w:rPr>
                <w:rFonts w:hint="default" w:ascii="Times New Roman" w:hAnsi="Times New Roman" w:cs="Times New Roman"/>
                <w:color w:val="000000"/>
                <w:highlight w:val="none"/>
                <w:lang w:val="en-US" w:eastAsia="zh-CN"/>
              </w:rPr>
              <w:t>72小时</w:t>
            </w:r>
            <w:r>
              <w:rPr>
                <w:rFonts w:hint="default" w:ascii="Times New Roman" w:hAnsi="Times New Roman" w:cs="Times New Roman"/>
                <w:color w:val="000000"/>
                <w:highlight w:val="none"/>
              </w:rPr>
              <w:t>溢油轨迹和影响范围如</w:t>
            </w:r>
            <w:r>
              <w:rPr>
                <w:rFonts w:hint="default" w:ascii="Times New Roman" w:hAnsi="Times New Roman" w:cs="Times New Roman"/>
                <w:color w:val="000000"/>
                <w:highlight w:val="none"/>
                <w:lang w:val="en-US"/>
              </w:rPr>
              <w:fldChar w:fldCharType="begin"/>
            </w:r>
            <w:r>
              <w:rPr>
                <w:rFonts w:hint="default" w:ascii="Times New Roman" w:hAnsi="Times New Roman" w:cs="Times New Roman"/>
                <w:color w:val="000000"/>
                <w:highlight w:val="none"/>
                <w:lang w:val="en-US"/>
              </w:rPr>
              <w:instrText xml:space="preserve"> REF _Ref23722 \h </w:instrText>
            </w:r>
            <w:r>
              <w:rPr>
                <w:rFonts w:hint="default" w:ascii="Times New Roman" w:hAnsi="Times New Roman" w:cs="Times New Roman"/>
                <w:color w:val="000000"/>
                <w:highlight w:val="none"/>
                <w:lang w:val="en-US"/>
              </w:rPr>
              <w:fldChar w:fldCharType="separate"/>
            </w:r>
            <w:r>
              <w:rPr>
                <w:rFonts w:hint="default" w:ascii="Times New Roman" w:hAnsi="Times New Roman" w:cs="Times New Roman"/>
                <w:color w:val="000000"/>
                <w:highlight w:val="none"/>
              </w:rPr>
              <w:t>图</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4.8</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4</w:t>
            </w:r>
            <w:r>
              <w:rPr>
                <w:rFonts w:hint="default" w:ascii="Times New Roman" w:hAnsi="Times New Roman" w:cs="Times New Roman"/>
                <w:color w:val="000000"/>
                <w:highlight w:val="none"/>
                <w:lang w:val="en-US"/>
              </w:rPr>
              <w:fldChar w:fldCharType="end"/>
            </w:r>
            <w:r>
              <w:rPr>
                <w:rFonts w:hint="default" w:ascii="Times New Roman" w:hAnsi="Times New Roman" w:cs="Times New Roman"/>
                <w:color w:val="000000"/>
                <w:highlight w:val="none"/>
              </w:rPr>
              <w:t>所示，油膜第5h抵达项目区域东北侧附近岸线。</w:t>
            </w:r>
          </w:p>
          <w:p w14:paraId="666EFC85">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5</w:t>
            </w: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rPr>
              <w:t>溢油点在NNE风5.8m/s条件下落潮溢油轨迹</w:t>
            </w: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A5</w:t>
            </w: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rPr>
              <w:t>：</w:t>
            </w:r>
          </w:p>
          <w:p w14:paraId="6714B379">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油粒子主要影响范围涉及：项目区域西北侧1.1km范围内海域，扫海面积范围0.22km²。</w:t>
            </w:r>
            <w:r>
              <w:rPr>
                <w:rFonts w:hint="default" w:ascii="Times New Roman" w:hAnsi="Times New Roman" w:cs="Times New Roman"/>
                <w:color w:val="000000"/>
                <w:highlight w:val="none"/>
                <w:lang w:val="en-US" w:eastAsia="zh-CN"/>
              </w:rPr>
              <w:t>72小时</w:t>
            </w:r>
            <w:r>
              <w:rPr>
                <w:rFonts w:hint="default" w:ascii="Times New Roman" w:hAnsi="Times New Roman" w:cs="Times New Roman"/>
                <w:color w:val="000000"/>
                <w:highlight w:val="none"/>
              </w:rPr>
              <w:t>溢油轨迹和影响范围如</w:t>
            </w:r>
            <w:r>
              <w:rPr>
                <w:rFonts w:hint="default" w:ascii="Times New Roman" w:hAnsi="Times New Roman" w:cs="Times New Roman"/>
                <w:color w:val="000000"/>
                <w:highlight w:val="none"/>
                <w:lang w:val="en-US"/>
              </w:rPr>
              <w:fldChar w:fldCharType="begin"/>
            </w:r>
            <w:r>
              <w:rPr>
                <w:rFonts w:hint="default" w:ascii="Times New Roman" w:hAnsi="Times New Roman" w:cs="Times New Roman"/>
                <w:color w:val="000000"/>
                <w:highlight w:val="none"/>
                <w:lang w:val="en-US"/>
              </w:rPr>
              <w:instrText xml:space="preserve"> REF _Ref23729 \h </w:instrText>
            </w:r>
            <w:r>
              <w:rPr>
                <w:rFonts w:hint="default" w:ascii="Times New Roman" w:hAnsi="Times New Roman" w:cs="Times New Roman"/>
                <w:color w:val="000000"/>
                <w:highlight w:val="none"/>
                <w:lang w:val="en-US"/>
              </w:rPr>
              <w:fldChar w:fldCharType="separate"/>
            </w:r>
            <w:r>
              <w:rPr>
                <w:rFonts w:hint="default" w:ascii="Times New Roman" w:hAnsi="Times New Roman" w:cs="Times New Roman"/>
                <w:color w:val="000000"/>
                <w:highlight w:val="none"/>
              </w:rPr>
              <w:t>图</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4.8</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5</w:t>
            </w:r>
            <w:r>
              <w:rPr>
                <w:rFonts w:hint="default" w:ascii="Times New Roman" w:hAnsi="Times New Roman" w:cs="Times New Roman"/>
                <w:color w:val="000000"/>
                <w:highlight w:val="none"/>
                <w:lang w:val="en-US"/>
              </w:rPr>
              <w:fldChar w:fldCharType="end"/>
            </w:r>
            <w:r>
              <w:rPr>
                <w:rFonts w:hint="default" w:ascii="Times New Roman" w:hAnsi="Times New Roman" w:cs="Times New Roman"/>
                <w:color w:val="000000"/>
                <w:highlight w:val="none"/>
              </w:rPr>
              <w:t>所示，油粒子经过1h抵达岸线。</w:t>
            </w:r>
          </w:p>
          <w:p w14:paraId="2C6B486B">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6</w:t>
            </w: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rPr>
              <w:t>溢油点在SW风10.8m/s条件下落潮溢油轨迹</w:t>
            </w: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A6</w:t>
            </w: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rPr>
              <w:t>：</w:t>
            </w:r>
          </w:p>
          <w:p w14:paraId="5EF6C1B3">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油粒子主要影响范围涉及：项目区域东北侧8.6km范围内海域，扫海面积范围7.68km²。</w:t>
            </w:r>
            <w:r>
              <w:rPr>
                <w:rFonts w:hint="default" w:ascii="Times New Roman" w:hAnsi="Times New Roman" w:cs="Times New Roman"/>
                <w:color w:val="000000"/>
                <w:highlight w:val="none"/>
                <w:lang w:val="en-US" w:eastAsia="zh-CN"/>
              </w:rPr>
              <w:t>72小时</w:t>
            </w:r>
            <w:r>
              <w:rPr>
                <w:rFonts w:hint="default" w:ascii="Times New Roman" w:hAnsi="Times New Roman" w:cs="Times New Roman"/>
                <w:color w:val="000000"/>
                <w:highlight w:val="none"/>
              </w:rPr>
              <w:t>溢油轨迹和影响范围如</w:t>
            </w:r>
            <w:r>
              <w:rPr>
                <w:rFonts w:hint="default" w:ascii="Times New Roman" w:hAnsi="Times New Roman" w:cs="Times New Roman"/>
                <w:color w:val="000000"/>
                <w:highlight w:val="none"/>
                <w:lang w:val="en-US"/>
              </w:rPr>
              <w:fldChar w:fldCharType="begin"/>
            </w:r>
            <w:r>
              <w:rPr>
                <w:rFonts w:hint="default" w:ascii="Times New Roman" w:hAnsi="Times New Roman" w:cs="Times New Roman"/>
                <w:color w:val="000000"/>
                <w:highlight w:val="none"/>
                <w:lang w:val="en-US"/>
              </w:rPr>
              <w:instrText xml:space="preserve"> REF _Ref24066 \h </w:instrText>
            </w:r>
            <w:r>
              <w:rPr>
                <w:rFonts w:hint="default" w:ascii="Times New Roman" w:hAnsi="Times New Roman" w:cs="Times New Roman"/>
                <w:color w:val="000000"/>
                <w:highlight w:val="none"/>
                <w:lang w:val="en-US"/>
              </w:rPr>
              <w:fldChar w:fldCharType="separate"/>
            </w:r>
            <w:r>
              <w:rPr>
                <w:rFonts w:hint="default" w:ascii="Times New Roman" w:hAnsi="Times New Roman" w:cs="Times New Roman"/>
                <w:color w:val="000000"/>
                <w:highlight w:val="none"/>
              </w:rPr>
              <w:t>图</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4.8</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6</w:t>
            </w:r>
            <w:r>
              <w:rPr>
                <w:rFonts w:hint="default" w:ascii="Times New Roman" w:hAnsi="Times New Roman" w:cs="Times New Roman"/>
                <w:color w:val="000000"/>
                <w:highlight w:val="none"/>
                <w:lang w:val="en-US"/>
              </w:rPr>
              <w:fldChar w:fldCharType="end"/>
            </w:r>
            <w:r>
              <w:rPr>
                <w:rFonts w:hint="default" w:ascii="Times New Roman" w:hAnsi="Times New Roman" w:cs="Times New Roman"/>
                <w:color w:val="000000"/>
                <w:highlight w:val="none"/>
              </w:rPr>
              <w:t>所示，油粒子经过5h抵达岸线。</w:t>
            </w:r>
          </w:p>
          <w:p w14:paraId="16098154">
            <w:pPr>
              <w:pStyle w:val="30"/>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4.8</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表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rPr>
              <w:t xml:space="preserve"> 溢油预测分析表</w:t>
            </w:r>
          </w:p>
          <w:tbl>
            <w:tblPr>
              <w:tblStyle w:val="22"/>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63"/>
              <w:gridCol w:w="1225"/>
              <w:gridCol w:w="2066"/>
              <w:gridCol w:w="1348"/>
              <w:gridCol w:w="1824"/>
            </w:tblGrid>
            <w:tr w14:paraId="4D86A3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71" w:type="pct"/>
                  <w:noWrap w:val="0"/>
                  <w:vAlign w:val="center"/>
                </w:tcPr>
                <w:p w14:paraId="59E421A4">
                  <w:pPr>
                    <w:pStyle w:val="31"/>
                    <w:bidi w:val="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风况</w:t>
                  </w:r>
                </w:p>
              </w:tc>
              <w:tc>
                <w:tcPr>
                  <w:tcW w:w="744" w:type="pct"/>
                  <w:noWrap w:val="0"/>
                  <w:vAlign w:val="center"/>
                </w:tcPr>
                <w:p w14:paraId="38387639">
                  <w:pPr>
                    <w:pStyle w:val="31"/>
                    <w:bidi w:val="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溢油时刻</w:t>
                  </w:r>
                </w:p>
              </w:tc>
              <w:tc>
                <w:tcPr>
                  <w:tcW w:w="1255" w:type="pct"/>
                  <w:noWrap w:val="0"/>
                  <w:vAlign w:val="center"/>
                </w:tcPr>
                <w:p w14:paraId="418969B8">
                  <w:pPr>
                    <w:pStyle w:val="31"/>
                    <w:bidi w:val="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rPr>
                    <w:t>溢油扫海面积（km</w:t>
                  </w:r>
                  <w:r>
                    <w:rPr>
                      <w:rFonts w:hint="default" w:ascii="Times New Roman" w:hAnsi="Times New Roman" w:cs="Times New Roman"/>
                      <w:b/>
                      <w:bCs/>
                      <w:color w:val="000000"/>
                      <w:highlight w:val="none"/>
                      <w:vertAlign w:val="superscript"/>
                    </w:rPr>
                    <w:t>2</w:t>
                  </w:r>
                  <w:r>
                    <w:rPr>
                      <w:rFonts w:hint="default" w:ascii="Times New Roman" w:hAnsi="Times New Roman" w:cs="Times New Roman"/>
                      <w:b/>
                      <w:bCs/>
                      <w:color w:val="000000"/>
                      <w:highlight w:val="none"/>
                    </w:rPr>
                    <w:t>）</w:t>
                  </w:r>
                </w:p>
              </w:tc>
              <w:tc>
                <w:tcPr>
                  <w:tcW w:w="819" w:type="pct"/>
                  <w:noWrap w:val="0"/>
                  <w:vAlign w:val="center"/>
                </w:tcPr>
                <w:p w14:paraId="2E44BC5A">
                  <w:pPr>
                    <w:pStyle w:val="31"/>
                    <w:bidi w:val="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rPr>
                    <w:t>抵岸时间（h）</w:t>
                  </w:r>
                </w:p>
              </w:tc>
              <w:tc>
                <w:tcPr>
                  <w:tcW w:w="1108" w:type="pct"/>
                  <w:noWrap w:val="0"/>
                  <w:vAlign w:val="center"/>
                </w:tcPr>
                <w:p w14:paraId="6FEC2DA2">
                  <w:pPr>
                    <w:pStyle w:val="31"/>
                    <w:bidi w:val="0"/>
                    <w:rPr>
                      <w:rFonts w:hint="default" w:ascii="Times New Roman" w:hAnsi="Times New Roman" w:eastAsia="宋体" w:cs="Times New Roman"/>
                      <w:b/>
                      <w:bCs/>
                      <w:color w:val="000000"/>
                      <w:highlight w:val="none"/>
                      <w:lang w:val="en-US" w:eastAsia="zh-CN"/>
                    </w:rPr>
                  </w:pPr>
                  <w:r>
                    <w:rPr>
                      <w:rFonts w:hint="default" w:ascii="Times New Roman" w:hAnsi="Times New Roman" w:cs="Times New Roman"/>
                      <w:b/>
                      <w:bCs/>
                      <w:color w:val="000000"/>
                      <w:highlight w:val="none"/>
                    </w:rPr>
                    <w:t>最大漂移距离</w:t>
                  </w: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rPr>
                    <w:t>km</w:t>
                  </w:r>
                  <w:r>
                    <w:rPr>
                      <w:rFonts w:hint="default" w:ascii="Times New Roman" w:hAnsi="Times New Roman" w:cs="Times New Roman"/>
                      <w:b/>
                      <w:bCs/>
                      <w:color w:val="000000"/>
                      <w:highlight w:val="none"/>
                      <w:lang w:eastAsia="zh-CN"/>
                    </w:rPr>
                    <w:t>）</w:t>
                  </w:r>
                </w:p>
              </w:tc>
            </w:tr>
            <w:tr w14:paraId="745212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71" w:type="pct"/>
                  <w:noWrap w:val="0"/>
                  <w:vAlign w:val="center"/>
                </w:tcPr>
                <w:p w14:paraId="61BFE059">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SW向4.5cm/s</w:t>
                  </w:r>
                </w:p>
              </w:tc>
              <w:tc>
                <w:tcPr>
                  <w:tcW w:w="744" w:type="pct"/>
                  <w:noWrap w:val="0"/>
                  <w:vAlign w:val="center"/>
                </w:tcPr>
                <w:p w14:paraId="10873FAC">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涨急</w:t>
                  </w:r>
                </w:p>
              </w:tc>
              <w:tc>
                <w:tcPr>
                  <w:tcW w:w="2319" w:type="dxa"/>
                  <w:noWrap w:val="0"/>
                  <w:vAlign w:val="center"/>
                </w:tcPr>
                <w:p w14:paraId="24DE60BF">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18.78</w:t>
                  </w:r>
                </w:p>
              </w:tc>
              <w:tc>
                <w:tcPr>
                  <w:tcW w:w="1514" w:type="dxa"/>
                  <w:noWrap w:val="0"/>
                  <w:vAlign w:val="center"/>
                </w:tcPr>
                <w:p w14:paraId="7D39EBC4">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15</w:t>
                  </w:r>
                </w:p>
              </w:tc>
              <w:tc>
                <w:tcPr>
                  <w:tcW w:w="2048" w:type="dxa"/>
                  <w:noWrap w:val="0"/>
                  <w:vAlign w:val="center"/>
                </w:tcPr>
                <w:p w14:paraId="7DD7DCA7">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14.4</w:t>
                  </w:r>
                </w:p>
              </w:tc>
            </w:tr>
            <w:tr w14:paraId="1BB71F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71" w:type="pct"/>
                  <w:noWrap w:val="0"/>
                  <w:vAlign w:val="center"/>
                </w:tcPr>
                <w:p w14:paraId="0F87E157">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NNE向5.8cm/s</w:t>
                  </w:r>
                </w:p>
              </w:tc>
              <w:tc>
                <w:tcPr>
                  <w:tcW w:w="744" w:type="pct"/>
                  <w:noWrap w:val="0"/>
                  <w:vAlign w:val="center"/>
                </w:tcPr>
                <w:p w14:paraId="7012E4BF">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涨急</w:t>
                  </w:r>
                </w:p>
              </w:tc>
              <w:tc>
                <w:tcPr>
                  <w:tcW w:w="2319" w:type="dxa"/>
                  <w:noWrap w:val="0"/>
                  <w:vAlign w:val="center"/>
                </w:tcPr>
                <w:p w14:paraId="1AD901E2">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38.94</w:t>
                  </w:r>
                </w:p>
              </w:tc>
              <w:tc>
                <w:tcPr>
                  <w:tcW w:w="1514" w:type="dxa"/>
                  <w:noWrap w:val="0"/>
                  <w:vAlign w:val="center"/>
                </w:tcPr>
                <w:p w14:paraId="7BA70B4D">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w:t>
                  </w:r>
                </w:p>
              </w:tc>
              <w:tc>
                <w:tcPr>
                  <w:tcW w:w="2048" w:type="dxa"/>
                  <w:noWrap w:val="0"/>
                  <w:vAlign w:val="center"/>
                </w:tcPr>
                <w:p w14:paraId="23183DAD">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18.9</w:t>
                  </w:r>
                </w:p>
              </w:tc>
            </w:tr>
            <w:tr w14:paraId="5685D1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71" w:type="pct"/>
                  <w:noWrap w:val="0"/>
                  <w:vAlign w:val="center"/>
                </w:tcPr>
                <w:p w14:paraId="77CD8190">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SW向10.8cm/s</w:t>
                  </w:r>
                </w:p>
              </w:tc>
              <w:tc>
                <w:tcPr>
                  <w:tcW w:w="744" w:type="pct"/>
                  <w:noWrap w:val="0"/>
                  <w:vAlign w:val="center"/>
                </w:tcPr>
                <w:p w14:paraId="494C172C">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涨急</w:t>
                  </w:r>
                </w:p>
              </w:tc>
              <w:tc>
                <w:tcPr>
                  <w:tcW w:w="2319" w:type="dxa"/>
                  <w:noWrap w:val="0"/>
                  <w:vAlign w:val="center"/>
                </w:tcPr>
                <w:p w14:paraId="71D6D199">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10.91</w:t>
                  </w:r>
                </w:p>
              </w:tc>
              <w:tc>
                <w:tcPr>
                  <w:tcW w:w="1514" w:type="dxa"/>
                  <w:noWrap w:val="0"/>
                  <w:vAlign w:val="center"/>
                </w:tcPr>
                <w:p w14:paraId="2EFE7770">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6</w:t>
                  </w:r>
                </w:p>
              </w:tc>
              <w:tc>
                <w:tcPr>
                  <w:tcW w:w="2048" w:type="dxa"/>
                  <w:noWrap w:val="0"/>
                  <w:vAlign w:val="center"/>
                </w:tcPr>
                <w:p w14:paraId="02385A26">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16.3</w:t>
                  </w:r>
                </w:p>
              </w:tc>
            </w:tr>
            <w:tr w14:paraId="077B71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71" w:type="pct"/>
                  <w:noWrap w:val="0"/>
                  <w:vAlign w:val="center"/>
                </w:tcPr>
                <w:p w14:paraId="3668182C">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SW向4.5cm/s</w:t>
                  </w:r>
                </w:p>
              </w:tc>
              <w:tc>
                <w:tcPr>
                  <w:tcW w:w="744" w:type="pct"/>
                  <w:noWrap w:val="0"/>
                  <w:vAlign w:val="center"/>
                </w:tcPr>
                <w:p w14:paraId="6E0811AF">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落急</w:t>
                  </w:r>
                </w:p>
              </w:tc>
              <w:tc>
                <w:tcPr>
                  <w:tcW w:w="2319" w:type="dxa"/>
                  <w:noWrap w:val="0"/>
                  <w:vAlign w:val="center"/>
                </w:tcPr>
                <w:p w14:paraId="206BEA09">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11.13</w:t>
                  </w:r>
                </w:p>
              </w:tc>
              <w:tc>
                <w:tcPr>
                  <w:tcW w:w="1514" w:type="dxa"/>
                  <w:noWrap w:val="0"/>
                  <w:vAlign w:val="center"/>
                </w:tcPr>
                <w:p w14:paraId="6A32F15E">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5</w:t>
                  </w:r>
                </w:p>
              </w:tc>
              <w:tc>
                <w:tcPr>
                  <w:tcW w:w="2048" w:type="dxa"/>
                  <w:noWrap w:val="0"/>
                  <w:vAlign w:val="center"/>
                </w:tcPr>
                <w:p w14:paraId="20C91294">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10.3</w:t>
                  </w:r>
                </w:p>
              </w:tc>
            </w:tr>
            <w:tr w14:paraId="19C652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71" w:type="pct"/>
                  <w:noWrap w:val="0"/>
                  <w:vAlign w:val="center"/>
                </w:tcPr>
                <w:p w14:paraId="79A19A62">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NNE向5.8cm/s</w:t>
                  </w:r>
                </w:p>
              </w:tc>
              <w:tc>
                <w:tcPr>
                  <w:tcW w:w="744" w:type="pct"/>
                  <w:noWrap w:val="0"/>
                  <w:vAlign w:val="center"/>
                </w:tcPr>
                <w:p w14:paraId="66B438D5">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落急</w:t>
                  </w:r>
                </w:p>
              </w:tc>
              <w:tc>
                <w:tcPr>
                  <w:tcW w:w="2319" w:type="dxa"/>
                  <w:noWrap w:val="0"/>
                  <w:vAlign w:val="center"/>
                </w:tcPr>
                <w:p w14:paraId="466C583E">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0.22</w:t>
                  </w:r>
                </w:p>
              </w:tc>
              <w:tc>
                <w:tcPr>
                  <w:tcW w:w="1514" w:type="dxa"/>
                  <w:noWrap w:val="0"/>
                  <w:vAlign w:val="center"/>
                </w:tcPr>
                <w:p w14:paraId="6A5FC3D8">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w:t>
                  </w:r>
                </w:p>
              </w:tc>
              <w:tc>
                <w:tcPr>
                  <w:tcW w:w="2048" w:type="dxa"/>
                  <w:noWrap w:val="0"/>
                  <w:vAlign w:val="center"/>
                </w:tcPr>
                <w:p w14:paraId="56BEAD17">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1.1</w:t>
                  </w:r>
                </w:p>
              </w:tc>
            </w:tr>
            <w:tr w14:paraId="0D441F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71" w:type="pct"/>
                  <w:noWrap w:val="0"/>
                  <w:vAlign w:val="center"/>
                </w:tcPr>
                <w:p w14:paraId="2B34B20D">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SW向10.8cm/s</w:t>
                  </w:r>
                </w:p>
              </w:tc>
              <w:tc>
                <w:tcPr>
                  <w:tcW w:w="744" w:type="pct"/>
                  <w:noWrap w:val="0"/>
                  <w:vAlign w:val="center"/>
                </w:tcPr>
                <w:p w14:paraId="370F57B8">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落急</w:t>
                  </w:r>
                </w:p>
              </w:tc>
              <w:tc>
                <w:tcPr>
                  <w:tcW w:w="2319" w:type="dxa"/>
                  <w:noWrap w:val="0"/>
                  <w:vAlign w:val="center"/>
                </w:tcPr>
                <w:p w14:paraId="5A8178B0">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7.68</w:t>
                  </w:r>
                </w:p>
              </w:tc>
              <w:tc>
                <w:tcPr>
                  <w:tcW w:w="1514" w:type="dxa"/>
                  <w:noWrap w:val="0"/>
                  <w:vAlign w:val="center"/>
                </w:tcPr>
                <w:p w14:paraId="2064A1E0">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5</w:t>
                  </w:r>
                </w:p>
              </w:tc>
              <w:tc>
                <w:tcPr>
                  <w:tcW w:w="2048" w:type="dxa"/>
                  <w:noWrap w:val="0"/>
                  <w:vAlign w:val="center"/>
                </w:tcPr>
                <w:p w14:paraId="1890E00E">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8.6</w:t>
                  </w:r>
                </w:p>
              </w:tc>
            </w:tr>
          </w:tbl>
          <w:p w14:paraId="7A6E3B3F">
            <w:pPr>
              <w:pStyle w:val="31"/>
              <w:bidi w:val="0"/>
              <w:rPr>
                <w:rFonts w:hint="default" w:ascii="Times New Roman" w:hAnsi="Times New Roman" w:cs="Times New Roman"/>
                <w:color w:val="000000"/>
                <w:highlight w:val="none"/>
              </w:rPr>
            </w:pPr>
          </w:p>
          <w:p w14:paraId="207C38F5">
            <w:pPr>
              <w:pStyle w:val="31"/>
              <w:bidi w:val="0"/>
              <w:rPr>
                <w:rFonts w:hint="default" w:ascii="Times New Roman" w:hAnsi="Times New Roman" w:cs="Times New Roman"/>
                <w:color w:val="000000"/>
                <w:highlight w:val="none"/>
              </w:rPr>
            </w:pPr>
            <w:r>
              <w:rPr>
                <w:rFonts w:hint="eastAsia"/>
                <w:lang w:val="en-US" w:eastAsia="zh-CN"/>
              </w:rPr>
              <w:t>（涉密删除）</w:t>
            </w:r>
          </w:p>
          <w:p w14:paraId="6183EA94">
            <w:pPr>
              <w:pStyle w:val="30"/>
              <w:bidi w:val="0"/>
              <w:rPr>
                <w:rFonts w:hint="default" w:ascii="Times New Roman" w:hAnsi="Times New Roman" w:cs="Times New Roman"/>
                <w:color w:val="000000"/>
                <w:highlight w:val="none"/>
              </w:rPr>
            </w:pPr>
            <w:bookmarkStart w:id="461" w:name="_Ref23699"/>
            <w:r>
              <w:rPr>
                <w:rFonts w:hint="default" w:ascii="Times New Roman" w:hAnsi="Times New Roman" w:cs="Times New Roman"/>
                <w:color w:val="000000"/>
                <w:highlight w:val="none"/>
              </w:rPr>
              <w:t>图</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4.8</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图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1</w:t>
            </w:r>
            <w:r>
              <w:rPr>
                <w:rFonts w:hint="default" w:ascii="Times New Roman" w:hAnsi="Times New Roman" w:cs="Times New Roman"/>
                <w:color w:val="000000"/>
                <w:highlight w:val="none"/>
              </w:rPr>
              <w:fldChar w:fldCharType="end"/>
            </w:r>
            <w:bookmarkEnd w:id="461"/>
            <w:r>
              <w:rPr>
                <w:rFonts w:hint="default" w:ascii="Times New Roman" w:hAnsi="Times New Roman" w:cs="Times New Roman"/>
                <w:color w:val="000000"/>
                <w:highlight w:val="none"/>
                <w:lang w:val="en-US" w:eastAsia="zh-CN"/>
              </w:rPr>
              <w:t xml:space="preserve"> 溢油点在SW风4.5m/s条件下涨潮溢油轨迹图（A1）</w:t>
            </w:r>
          </w:p>
          <w:p w14:paraId="2B329C7A">
            <w:pPr>
              <w:pStyle w:val="31"/>
              <w:bidi w:val="0"/>
              <w:rPr>
                <w:rFonts w:hint="default" w:ascii="Times New Roman" w:hAnsi="Times New Roman" w:cs="Times New Roman"/>
                <w:color w:val="000000"/>
                <w:highlight w:val="none"/>
              </w:rPr>
            </w:pPr>
            <w:r>
              <w:rPr>
                <w:rFonts w:hint="eastAsia"/>
                <w:lang w:val="en-US" w:eastAsia="zh-CN"/>
              </w:rPr>
              <w:t>（涉密删除）</w:t>
            </w:r>
          </w:p>
          <w:p w14:paraId="7256F11B">
            <w:pPr>
              <w:pStyle w:val="30"/>
              <w:bidi w:val="0"/>
              <w:rPr>
                <w:rFonts w:hint="default" w:ascii="Times New Roman" w:hAnsi="Times New Roman" w:cs="Times New Roman"/>
                <w:color w:val="000000"/>
                <w:highlight w:val="none"/>
              </w:rPr>
            </w:pPr>
            <w:bookmarkStart w:id="462" w:name="_Ref23706"/>
            <w:r>
              <w:rPr>
                <w:rFonts w:hint="default" w:ascii="Times New Roman" w:hAnsi="Times New Roman" w:cs="Times New Roman"/>
                <w:color w:val="000000"/>
                <w:highlight w:val="none"/>
              </w:rPr>
              <w:t>图</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4.8</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图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2</w:t>
            </w:r>
            <w:r>
              <w:rPr>
                <w:rFonts w:hint="default" w:ascii="Times New Roman" w:hAnsi="Times New Roman" w:cs="Times New Roman"/>
                <w:color w:val="000000"/>
                <w:highlight w:val="none"/>
              </w:rPr>
              <w:fldChar w:fldCharType="end"/>
            </w:r>
            <w:bookmarkEnd w:id="462"/>
            <w:r>
              <w:rPr>
                <w:rFonts w:hint="default" w:ascii="Times New Roman" w:hAnsi="Times New Roman" w:cs="Times New Roman"/>
                <w:color w:val="000000"/>
                <w:highlight w:val="none"/>
                <w:lang w:val="en-US" w:eastAsia="zh-CN"/>
              </w:rPr>
              <w:t xml:space="preserve"> 溢油点在NNE风5.8m/s条件下涨潮溢油轨迹图（A2）</w:t>
            </w:r>
          </w:p>
          <w:p w14:paraId="730D7EA6">
            <w:pPr>
              <w:pStyle w:val="31"/>
              <w:bidi w:val="0"/>
              <w:rPr>
                <w:rFonts w:hint="default" w:ascii="Times New Roman" w:hAnsi="Times New Roman" w:cs="Times New Roman"/>
                <w:color w:val="000000"/>
                <w:highlight w:val="none"/>
              </w:rPr>
            </w:pPr>
            <w:r>
              <w:rPr>
                <w:rFonts w:hint="eastAsia"/>
                <w:lang w:val="en-US" w:eastAsia="zh-CN"/>
              </w:rPr>
              <w:t>（涉密删除）</w:t>
            </w:r>
          </w:p>
          <w:p w14:paraId="50CE7ADD">
            <w:pPr>
              <w:pStyle w:val="30"/>
              <w:bidi w:val="0"/>
              <w:rPr>
                <w:rFonts w:hint="default" w:ascii="Times New Roman" w:hAnsi="Times New Roman" w:cs="Times New Roman"/>
                <w:color w:val="000000"/>
                <w:highlight w:val="none"/>
              </w:rPr>
            </w:pPr>
            <w:bookmarkStart w:id="463" w:name="_Ref23712"/>
            <w:r>
              <w:rPr>
                <w:rFonts w:hint="default" w:ascii="Times New Roman" w:hAnsi="Times New Roman" w:cs="Times New Roman"/>
                <w:color w:val="000000"/>
                <w:highlight w:val="none"/>
              </w:rPr>
              <w:t>图</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4.8</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图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w:t>
            </w:r>
            <w:r>
              <w:rPr>
                <w:rFonts w:hint="default" w:ascii="Times New Roman" w:hAnsi="Times New Roman" w:cs="Times New Roman"/>
                <w:color w:val="000000"/>
                <w:highlight w:val="none"/>
              </w:rPr>
              <w:fldChar w:fldCharType="end"/>
            </w:r>
            <w:bookmarkEnd w:id="463"/>
            <w:r>
              <w:rPr>
                <w:rFonts w:hint="default" w:ascii="Times New Roman" w:hAnsi="Times New Roman" w:cs="Times New Roman"/>
                <w:color w:val="000000"/>
                <w:highlight w:val="none"/>
                <w:lang w:val="en-US" w:eastAsia="zh-CN"/>
              </w:rPr>
              <w:t xml:space="preserve"> 溢油点在SW风10.8m/s条件下涨潮溢油轨迹图（A3）</w:t>
            </w:r>
          </w:p>
          <w:p w14:paraId="2D0ECB02">
            <w:pPr>
              <w:pStyle w:val="31"/>
              <w:bidi w:val="0"/>
              <w:rPr>
                <w:rFonts w:hint="default" w:ascii="Times New Roman" w:hAnsi="Times New Roman" w:cs="Times New Roman"/>
                <w:color w:val="000000"/>
                <w:highlight w:val="none"/>
              </w:rPr>
            </w:pPr>
            <w:r>
              <w:rPr>
                <w:rFonts w:hint="eastAsia"/>
                <w:lang w:val="en-US" w:eastAsia="zh-CN"/>
              </w:rPr>
              <w:t>（涉密删除）</w:t>
            </w:r>
          </w:p>
          <w:p w14:paraId="7DE48A65">
            <w:pPr>
              <w:pStyle w:val="30"/>
              <w:bidi w:val="0"/>
              <w:rPr>
                <w:rFonts w:hint="default" w:ascii="Times New Roman" w:hAnsi="Times New Roman" w:cs="Times New Roman"/>
                <w:color w:val="000000"/>
                <w:highlight w:val="none"/>
              </w:rPr>
            </w:pPr>
            <w:bookmarkStart w:id="464" w:name="_Ref23722"/>
            <w:r>
              <w:rPr>
                <w:rFonts w:hint="default" w:ascii="Times New Roman" w:hAnsi="Times New Roman" w:cs="Times New Roman"/>
                <w:color w:val="000000"/>
                <w:highlight w:val="none"/>
              </w:rPr>
              <w:t>图</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4.8</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图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w:t>
            </w:r>
            <w:r>
              <w:rPr>
                <w:rFonts w:hint="default" w:ascii="Times New Roman" w:hAnsi="Times New Roman" w:cs="Times New Roman"/>
                <w:color w:val="000000"/>
                <w:highlight w:val="none"/>
              </w:rPr>
              <w:fldChar w:fldCharType="end"/>
            </w:r>
            <w:bookmarkEnd w:id="464"/>
            <w:r>
              <w:rPr>
                <w:rFonts w:hint="default" w:ascii="Times New Roman" w:hAnsi="Times New Roman" w:cs="Times New Roman"/>
                <w:color w:val="000000"/>
                <w:highlight w:val="none"/>
                <w:lang w:val="en-US" w:eastAsia="zh-CN"/>
              </w:rPr>
              <w:t xml:space="preserve"> 溢油点在SW风4.5m/s条件下落潮溢油轨迹图（A4）</w:t>
            </w:r>
          </w:p>
          <w:p w14:paraId="100DDBC8">
            <w:pPr>
              <w:pStyle w:val="31"/>
              <w:bidi w:val="0"/>
              <w:rPr>
                <w:rFonts w:hint="default" w:ascii="Times New Roman" w:hAnsi="Times New Roman" w:cs="Times New Roman"/>
                <w:color w:val="000000"/>
                <w:highlight w:val="none"/>
              </w:rPr>
            </w:pPr>
            <w:r>
              <w:rPr>
                <w:rFonts w:hint="eastAsia"/>
                <w:lang w:val="en-US" w:eastAsia="zh-CN"/>
              </w:rPr>
              <w:t>（涉密删除）</w:t>
            </w:r>
          </w:p>
          <w:p w14:paraId="433D28DA">
            <w:pPr>
              <w:pStyle w:val="30"/>
              <w:bidi w:val="0"/>
              <w:rPr>
                <w:rFonts w:hint="default" w:ascii="Times New Roman" w:hAnsi="Times New Roman" w:cs="Times New Roman"/>
                <w:color w:val="000000"/>
                <w:highlight w:val="none"/>
              </w:rPr>
            </w:pPr>
            <w:bookmarkStart w:id="465" w:name="_Ref23729"/>
            <w:r>
              <w:rPr>
                <w:rFonts w:hint="default" w:ascii="Times New Roman" w:hAnsi="Times New Roman" w:cs="Times New Roman"/>
                <w:color w:val="000000"/>
                <w:highlight w:val="none"/>
              </w:rPr>
              <w:t>图</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4.8</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图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5</w:t>
            </w:r>
            <w:r>
              <w:rPr>
                <w:rFonts w:hint="default" w:ascii="Times New Roman" w:hAnsi="Times New Roman" w:cs="Times New Roman"/>
                <w:color w:val="000000"/>
                <w:highlight w:val="none"/>
              </w:rPr>
              <w:fldChar w:fldCharType="end"/>
            </w:r>
            <w:bookmarkEnd w:id="465"/>
            <w:r>
              <w:rPr>
                <w:rFonts w:hint="default" w:ascii="Times New Roman" w:hAnsi="Times New Roman" w:cs="Times New Roman"/>
                <w:color w:val="000000"/>
                <w:highlight w:val="none"/>
                <w:lang w:val="en-US" w:eastAsia="zh-CN"/>
              </w:rPr>
              <w:t xml:space="preserve"> 溢油点在NNE风5.8m/s条件下落潮溢油轨迹图（A5）</w:t>
            </w:r>
          </w:p>
          <w:p w14:paraId="584B3C33">
            <w:pPr>
              <w:pStyle w:val="31"/>
              <w:bidi w:val="0"/>
              <w:rPr>
                <w:rFonts w:hint="default" w:ascii="Times New Roman" w:hAnsi="Times New Roman" w:cs="Times New Roman"/>
                <w:color w:val="000000"/>
                <w:highlight w:val="none"/>
              </w:rPr>
            </w:pPr>
            <w:r>
              <w:rPr>
                <w:rFonts w:hint="eastAsia"/>
                <w:lang w:val="en-US" w:eastAsia="zh-CN"/>
              </w:rPr>
              <w:t>（涉密删除）</w:t>
            </w:r>
          </w:p>
          <w:p w14:paraId="096C67A6">
            <w:pPr>
              <w:pStyle w:val="30"/>
              <w:bidi w:val="0"/>
              <w:rPr>
                <w:rFonts w:hint="default" w:ascii="Times New Roman" w:hAnsi="Times New Roman" w:cs="Times New Roman"/>
                <w:color w:val="000000"/>
                <w:highlight w:val="none"/>
              </w:rPr>
            </w:pPr>
            <w:bookmarkStart w:id="466" w:name="_Ref24066"/>
            <w:r>
              <w:rPr>
                <w:rFonts w:hint="default" w:ascii="Times New Roman" w:hAnsi="Times New Roman" w:cs="Times New Roman"/>
                <w:color w:val="000000"/>
                <w:highlight w:val="none"/>
              </w:rPr>
              <w:t>图</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4.8</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图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6</w:t>
            </w:r>
            <w:r>
              <w:rPr>
                <w:rFonts w:hint="default" w:ascii="Times New Roman" w:hAnsi="Times New Roman" w:cs="Times New Roman"/>
                <w:color w:val="000000"/>
                <w:highlight w:val="none"/>
              </w:rPr>
              <w:fldChar w:fldCharType="end"/>
            </w:r>
            <w:bookmarkEnd w:id="466"/>
            <w:r>
              <w:rPr>
                <w:rFonts w:hint="default" w:ascii="Times New Roman" w:hAnsi="Times New Roman" w:cs="Times New Roman"/>
                <w:color w:val="000000"/>
                <w:highlight w:val="none"/>
                <w:lang w:val="en-US" w:eastAsia="zh-CN"/>
              </w:rPr>
              <w:t xml:space="preserve"> 溢油点在SW风10.8m/s条件下落潮溢油轨迹图（A6）</w:t>
            </w:r>
          </w:p>
          <w:p w14:paraId="5995CE8A">
            <w:pPr>
              <w:pStyle w:val="4"/>
              <w:bidi w:val="0"/>
              <w:rPr>
                <w:rFonts w:hint="default"/>
              </w:rPr>
            </w:pPr>
            <w:bookmarkStart w:id="467" w:name="_Toc26997"/>
            <w:bookmarkStart w:id="468" w:name="_Toc12786"/>
            <w:bookmarkStart w:id="469" w:name="_Toc20473"/>
            <w:r>
              <w:rPr>
                <w:rFonts w:hint="default"/>
              </w:rPr>
              <w:t>船舶事故溢油对海洋生态环境的影响</w:t>
            </w:r>
            <w:bookmarkEnd w:id="467"/>
            <w:bookmarkEnd w:id="468"/>
            <w:bookmarkEnd w:id="469"/>
          </w:p>
          <w:p w14:paraId="51DD1E68">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从以上预测结果可知，船舶发生溢油情况，在不同潮时、不同的风向条件下，油膜扩散影响的范围也有不同，但都对附近海域带来不可避免的影响，对海洋生态和附近水产养殖区产生重大影响。</w:t>
            </w:r>
          </w:p>
          <w:p w14:paraId="6C09514E">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lang w:eastAsia="zh-CN"/>
              </w:rPr>
            </w:pPr>
            <w:bookmarkStart w:id="470" w:name="_Toc12112"/>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1</w:t>
            </w:r>
            <w:r>
              <w:rPr>
                <w:rFonts w:hint="default" w:ascii="Times New Roman" w:hAnsi="Times New Roman" w:cs="Times New Roman"/>
                <w:b/>
                <w:bCs/>
                <w:color w:val="000000"/>
                <w:highlight w:val="none"/>
                <w:lang w:eastAsia="zh-CN"/>
              </w:rPr>
              <w:t>）对海域水质和沉积物环境影响</w:t>
            </w:r>
          </w:p>
          <w:p w14:paraId="334CF3F1">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b w:val="0"/>
                <w:bCs w:val="0"/>
                <w:color w:val="000000"/>
                <w:highlight w:val="none"/>
                <w:lang w:eastAsia="zh-CN"/>
              </w:rPr>
            </w:pPr>
            <w:r>
              <w:rPr>
                <w:rFonts w:hint="default" w:ascii="Times New Roman" w:hAnsi="Times New Roman" w:cs="Times New Roman"/>
                <w:b w:val="0"/>
                <w:bCs w:val="0"/>
                <w:color w:val="000000"/>
                <w:highlight w:val="none"/>
                <w:lang w:eastAsia="zh-CN"/>
              </w:rPr>
              <w:t>受溢油影响的海域，油膜覆盖在海水表面，可溶性组分不断溶于水中，在风浪的冲击下，油膜不断破碎分散，并与水混合成为乳化油，增加了水中的石油浓度。油膜覆盖下，影响水—气之间的交换，致使溶解氧减少，从而影响水的物理化学和生物化学过程。溢油后，石油的重组分可自行沉积，或</w:t>
            </w:r>
            <w:r>
              <w:rPr>
                <w:rFonts w:hint="eastAsia" w:cs="Times New Roman"/>
                <w:b w:val="0"/>
                <w:bCs w:val="0"/>
                <w:color w:val="000000"/>
                <w:highlight w:val="none"/>
                <w:lang w:eastAsia="zh-CN"/>
              </w:rPr>
              <w:t>黏附</w:t>
            </w:r>
            <w:r>
              <w:rPr>
                <w:rFonts w:hint="default" w:ascii="Times New Roman" w:hAnsi="Times New Roman" w:cs="Times New Roman"/>
                <w:b w:val="0"/>
                <w:bCs w:val="0"/>
                <w:color w:val="000000"/>
                <w:highlight w:val="none"/>
                <w:lang w:eastAsia="zh-CN"/>
              </w:rPr>
              <w:t>在悬浮物颗粒中，沉积在沉积物表面。油块可在重力作用下沉降，从而影响沉积物表面物理性质和化学成分。</w:t>
            </w:r>
          </w:p>
          <w:p w14:paraId="38B879A5">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lang w:eastAsia="zh-CN"/>
              </w:rPr>
            </w:pP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2</w:t>
            </w:r>
            <w:r>
              <w:rPr>
                <w:rFonts w:hint="default" w:ascii="Times New Roman" w:hAnsi="Times New Roman" w:cs="Times New Roman"/>
                <w:b/>
                <w:bCs/>
                <w:color w:val="000000"/>
                <w:highlight w:val="none"/>
                <w:lang w:eastAsia="zh-CN"/>
              </w:rPr>
              <w:t>）对海域生物资源的影响</w:t>
            </w:r>
          </w:p>
          <w:p w14:paraId="2DD8871C">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b w:val="0"/>
                <w:bCs w:val="0"/>
                <w:color w:val="000000"/>
                <w:highlight w:val="none"/>
                <w:lang w:eastAsia="zh-CN"/>
              </w:rPr>
            </w:pPr>
            <w:r>
              <w:rPr>
                <w:rFonts w:hint="default" w:ascii="Times New Roman" w:hAnsi="Times New Roman" w:cs="Times New Roman"/>
                <w:b w:val="0"/>
                <w:bCs w:val="0"/>
                <w:color w:val="000000"/>
                <w:highlight w:val="none"/>
                <w:lang w:eastAsia="zh-CN"/>
              </w:rPr>
              <w:t>油膜覆盖下，影响水—气之间的交换，致使溶解氧减少，光照减弱，从而影响浮游动物、浮游植物及底栖生物的生长。而溶解及乳化后的油会对水生生物资源造成一定危害，沉积到底质的油类将对底栖生物造成严重影响。因此，一旦发生事故溢油且处理不及时，将对油膜扫过海域的水生生物资源造成一定影响，主要体现在溢油突发时的急性致死影响及围油、回收油不彻底而产生的长期慢性污染影响。</w:t>
            </w:r>
          </w:p>
          <w:p w14:paraId="040319E8">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lang w:eastAsia="zh-CN"/>
              </w:rPr>
            </w:pP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3</w:t>
            </w:r>
            <w:r>
              <w:rPr>
                <w:rFonts w:hint="default" w:ascii="Times New Roman" w:hAnsi="Times New Roman" w:cs="Times New Roman"/>
                <w:b/>
                <w:bCs/>
                <w:color w:val="000000"/>
                <w:highlight w:val="none"/>
                <w:lang w:eastAsia="zh-CN"/>
              </w:rPr>
              <w:t>）对浮游生物的影响</w:t>
            </w:r>
          </w:p>
          <w:p w14:paraId="0149D4AF">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b w:val="0"/>
                <w:bCs w:val="0"/>
                <w:color w:val="000000"/>
                <w:highlight w:val="none"/>
                <w:lang w:eastAsia="zh-CN"/>
              </w:rPr>
            </w:pPr>
            <w:r>
              <w:rPr>
                <w:rFonts w:hint="default" w:ascii="Times New Roman" w:hAnsi="Times New Roman" w:cs="Times New Roman"/>
                <w:b w:val="0"/>
                <w:bCs w:val="0"/>
                <w:color w:val="000000"/>
                <w:highlight w:val="none"/>
                <w:lang w:eastAsia="zh-CN"/>
              </w:rPr>
              <w:t>溢油对浮游生物的影响程度决定石油的类型、浓度和浮游生物的种类。作为鱼、虾类饵料的浮游植物，对各类油类的耐受力都很低，石油类急性中毒浓度范围为0.1～10mg/L，一般为1mg/L。浮游动物通过摄食或直接吸收碳氢化合物而受到影响，其急性中毒浓度在0.1～15mg/L。通常幼体对于石油污染的敏感度大于成体。</w:t>
            </w:r>
          </w:p>
          <w:p w14:paraId="3B3793B4">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b w:val="0"/>
                <w:bCs w:val="0"/>
                <w:color w:val="000000"/>
                <w:highlight w:val="none"/>
                <w:lang w:eastAsia="zh-CN"/>
              </w:rPr>
            </w:pPr>
            <w:r>
              <w:rPr>
                <w:rFonts w:hint="default" w:ascii="Times New Roman" w:hAnsi="Times New Roman" w:cs="Times New Roman"/>
                <w:b w:val="0"/>
                <w:bCs w:val="0"/>
                <w:color w:val="000000"/>
                <w:highlight w:val="none"/>
                <w:lang w:eastAsia="zh-CN"/>
              </w:rPr>
              <w:t>因此，若发生溢油事故，对油膜所漂过区域的浮游动植物的损害是十分严重。一般浮游植物的生命周期仅5～8天，在油膜覆盖下，加之其毒性作用，一般不超过2～5天即因细胞溶化、分解而死亡。同样，浮游动物也会在毒性作用或缺氧条件下大量死亡。</w:t>
            </w:r>
          </w:p>
          <w:p w14:paraId="482583AA">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lang w:eastAsia="zh-CN"/>
              </w:rPr>
            </w:pP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4</w:t>
            </w:r>
            <w:r>
              <w:rPr>
                <w:rFonts w:hint="default" w:ascii="Times New Roman" w:hAnsi="Times New Roman" w:cs="Times New Roman"/>
                <w:b/>
                <w:bCs/>
                <w:color w:val="000000"/>
                <w:highlight w:val="none"/>
                <w:lang w:eastAsia="zh-CN"/>
              </w:rPr>
              <w:t>）对底栖生物的影响</w:t>
            </w:r>
          </w:p>
          <w:p w14:paraId="4045A5E7">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b w:val="0"/>
                <w:bCs w:val="0"/>
                <w:color w:val="000000"/>
                <w:highlight w:val="none"/>
                <w:lang w:eastAsia="zh-CN"/>
              </w:rPr>
            </w:pPr>
            <w:r>
              <w:rPr>
                <w:rFonts w:hint="default" w:ascii="Times New Roman" w:hAnsi="Times New Roman" w:cs="Times New Roman"/>
                <w:b w:val="0"/>
                <w:bCs w:val="0"/>
                <w:color w:val="000000"/>
                <w:highlight w:val="none"/>
                <w:lang w:eastAsia="zh-CN"/>
              </w:rPr>
              <w:t>不同种类底栖生物对石油浓度的适应性具有差异，多数底栖生物石油急性中毒致死浓度范围在2.0～15mg/L，其幼体的致死浓度范围更小。</w:t>
            </w:r>
          </w:p>
          <w:p w14:paraId="6E43068C">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b w:val="0"/>
                <w:bCs w:val="0"/>
                <w:color w:val="000000"/>
                <w:highlight w:val="none"/>
                <w:lang w:eastAsia="zh-CN"/>
              </w:rPr>
            </w:pPr>
            <w:r>
              <w:rPr>
                <w:rFonts w:hint="default" w:ascii="Times New Roman" w:hAnsi="Times New Roman" w:cs="Times New Roman"/>
                <w:b w:val="0"/>
                <w:bCs w:val="0"/>
                <w:color w:val="000000"/>
                <w:highlight w:val="none"/>
                <w:lang w:eastAsia="zh-CN"/>
              </w:rPr>
              <w:t>软体动物双壳类吸收水中含量很低的石油，如：0.01ppm的石油可能使牡蛎呈明显的油味，严重的油味可持续达半年之久。受石油污染的牡蛎会引起因纤毛鳃上皮细胞麻痹而破坏其摄食机制，进而导致死亡。</w:t>
            </w:r>
          </w:p>
          <w:p w14:paraId="154E510B">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b w:val="0"/>
                <w:bCs w:val="0"/>
                <w:color w:val="000000"/>
                <w:highlight w:val="none"/>
                <w:lang w:eastAsia="zh-CN"/>
              </w:rPr>
            </w:pPr>
            <w:r>
              <w:rPr>
                <w:rFonts w:hint="default" w:ascii="Times New Roman" w:hAnsi="Times New Roman" w:cs="Times New Roman"/>
                <w:b w:val="0"/>
                <w:bCs w:val="0"/>
                <w:color w:val="000000"/>
                <w:highlight w:val="none"/>
                <w:lang w:eastAsia="zh-CN"/>
              </w:rPr>
              <w:t>底栖生物的耐油污性通常很差，即使水体中石油含量只有0.01ppm，也会导致其死亡。当水体中石油浓度在0.01~0.1ppm时，对某些底栖甲壳类动物幼体有明显的毒效。</w:t>
            </w:r>
          </w:p>
          <w:p w14:paraId="7F78CBEF">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b w:val="0"/>
                <w:bCs w:val="0"/>
                <w:color w:val="000000"/>
                <w:highlight w:val="none"/>
                <w:lang w:eastAsia="zh-CN"/>
              </w:rPr>
            </w:pPr>
            <w:r>
              <w:rPr>
                <w:rFonts w:hint="default" w:ascii="Times New Roman" w:hAnsi="Times New Roman" w:cs="Times New Roman"/>
                <w:b w:val="0"/>
                <w:bCs w:val="0"/>
                <w:color w:val="000000"/>
                <w:highlight w:val="none"/>
                <w:lang w:eastAsia="zh-CN"/>
              </w:rPr>
              <w:t>油品溢漏入海后，相当一部分石油污染衍生物质甚至石油颗粒会渐渐沉入海底，底栖生物上常附着厚厚一层石油污染物，使其难以生存。一旦油膜接触海岸，将很难离开，导致该海域滩涂生物窒息死亡或中毒死亡。滩涂及沉积物中未经降解的油类物质又可能再次进入水中，造成二次污染。因此，一旦发生燃料油溢漏事故，必然对周边海域底栖生物造成较大伤害。</w:t>
            </w:r>
          </w:p>
          <w:p w14:paraId="22B45051">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lang w:eastAsia="zh-CN"/>
              </w:rPr>
            </w:pP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5</w:t>
            </w:r>
            <w:r>
              <w:rPr>
                <w:rFonts w:hint="default" w:ascii="Times New Roman" w:hAnsi="Times New Roman" w:cs="Times New Roman"/>
                <w:b/>
                <w:bCs/>
                <w:color w:val="000000"/>
                <w:highlight w:val="none"/>
                <w:lang w:eastAsia="zh-CN"/>
              </w:rPr>
              <w:t>）对渔业资源的影响</w:t>
            </w:r>
          </w:p>
          <w:p w14:paraId="42332F9D">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b w:val="0"/>
                <w:bCs w:val="0"/>
                <w:color w:val="000000"/>
                <w:highlight w:val="none"/>
                <w:lang w:eastAsia="zh-CN"/>
              </w:rPr>
            </w:pPr>
            <w:r>
              <w:rPr>
                <w:rFonts w:hint="default" w:ascii="Times New Roman" w:hAnsi="Times New Roman" w:cs="Times New Roman"/>
                <w:b w:val="0"/>
                <w:bCs w:val="0"/>
                <w:color w:val="000000"/>
                <w:highlight w:val="none"/>
                <w:lang w:eastAsia="zh-CN"/>
              </w:rPr>
              <w:t>石油溢漏入海后，以油包水或水包油的形式分散在水中，形成乳化油。乳化油颗粒小，可吸附于鱼类的腮上，形成“黑腮”，导致鱼虾呼吸障碍而死亡。石油类对鱼类的化学毒害方面主要表现在通过鱼鳃呼吸、代谢、体表渗透和生物链传递逐渐富集于生物体内，导致对鱼类的毒性和中毒反应，其症状表现为急性、亚急性和慢性。急性和亚急性中毒是指大剂量、高浓度的中毒反应，其症状证据主要表现为致死性、神经性、对造血功能的损伤和酶活性的抑制；慢性中毒的影响，即使在小剂量、低浓度下，仍表现代谢毒性、生活毒性以及致癌、致畸、致突变等毒理效应。同时，发生溢油时，不仅表现在对渔业生物的损害和发育生长的影响，当海水中石油浓度达到一定含量时，就会使渔业生物致臭，不仅使鱼类失去鲜美的味道，更主要的是石油类富集于鱼体内，通过食物链危害人体健康。</w:t>
            </w:r>
          </w:p>
          <w:p w14:paraId="30E20E69">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b w:val="0"/>
                <w:bCs w:val="0"/>
                <w:color w:val="000000"/>
                <w:highlight w:val="none"/>
                <w:lang w:eastAsia="zh-CN"/>
              </w:rPr>
            </w:pPr>
            <w:r>
              <w:rPr>
                <w:rFonts w:hint="default" w:ascii="Times New Roman" w:hAnsi="Times New Roman" w:cs="Times New Roman"/>
                <w:b w:val="0"/>
                <w:bCs w:val="0"/>
                <w:color w:val="000000"/>
                <w:highlight w:val="none"/>
                <w:lang w:eastAsia="zh-CN"/>
              </w:rPr>
              <w:t>相对于鱼卵和仔稚鱼而言，溢油事故对成体鱼类的影响相对较小，主要是由于大量油在海水表面以</w:t>
            </w:r>
            <w:r>
              <w:rPr>
                <w:rFonts w:hint="eastAsia" w:cs="Times New Roman"/>
                <w:b w:val="0"/>
                <w:bCs w:val="0"/>
                <w:color w:val="000000"/>
                <w:highlight w:val="none"/>
                <w:lang w:eastAsia="zh-CN"/>
              </w:rPr>
              <w:t>飘浮</w:t>
            </w:r>
            <w:r>
              <w:rPr>
                <w:rFonts w:hint="default" w:ascii="Times New Roman" w:hAnsi="Times New Roman" w:cs="Times New Roman"/>
                <w:b w:val="0"/>
                <w:bCs w:val="0"/>
                <w:color w:val="000000"/>
                <w:highlight w:val="none"/>
                <w:lang w:eastAsia="zh-CN"/>
              </w:rPr>
              <w:t>形态存在，而大多数鱼类是在中层和底层水中生活。另外，许多上层和中层鱼能逃避黑色油块，底层鱼凭视觉和嗅觉尽量避开和下沉的油块接触。一般来说，如果溢油事故发生在开阔水域，鱼类伤害程度轻；若发生在半封闭或水体交换不良的水域，鱼类受损害程度重。</w:t>
            </w:r>
          </w:p>
          <w:p w14:paraId="41EC90E7">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b w:val="0"/>
                <w:bCs w:val="0"/>
                <w:color w:val="000000"/>
                <w:highlight w:val="none"/>
                <w:lang w:eastAsia="zh-CN"/>
              </w:rPr>
            </w:pPr>
            <w:r>
              <w:rPr>
                <w:rFonts w:hint="default" w:ascii="Times New Roman" w:hAnsi="Times New Roman" w:cs="Times New Roman"/>
                <w:b w:val="0"/>
                <w:bCs w:val="0"/>
                <w:color w:val="000000"/>
                <w:highlight w:val="none"/>
                <w:lang w:eastAsia="zh-CN"/>
              </w:rPr>
              <w:t>突发性溢油对渔业资源带来的损害是多方面的。首先，污染可能引起该海区的鱼虾回避，造成捕捞产量的直接减产；其次表现为由于品质的下降造成产值损失。</w:t>
            </w:r>
          </w:p>
          <w:p w14:paraId="49EA7F07">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b w:val="0"/>
                <w:bCs w:val="0"/>
                <w:color w:val="000000"/>
                <w:highlight w:val="none"/>
                <w:lang w:eastAsia="zh-CN"/>
              </w:rPr>
            </w:pPr>
            <w:r>
              <w:rPr>
                <w:rFonts w:hint="default" w:ascii="Times New Roman" w:hAnsi="Times New Roman" w:cs="Times New Roman"/>
                <w:b w:val="0"/>
                <w:bCs w:val="0"/>
                <w:color w:val="000000"/>
                <w:highlight w:val="none"/>
                <w:lang w:eastAsia="zh-CN"/>
              </w:rPr>
              <w:t>另外，溢油对于渔业资源的影响程度还受海区的水文、气象以及地理位置的不同而不同，如果事故发生在产卵盛期和污染区正处于产卵场密集区，成鱼可以回避，但卵子和仔稚鱼难逃死亡的命运。</w:t>
            </w:r>
          </w:p>
          <w:p w14:paraId="6A13D086">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b w:val="0"/>
                <w:bCs w:val="0"/>
                <w:color w:val="000000"/>
                <w:highlight w:val="none"/>
                <w:lang w:eastAsia="zh-CN"/>
              </w:rPr>
            </w:pPr>
            <w:r>
              <w:rPr>
                <w:rFonts w:hint="default" w:ascii="Times New Roman" w:hAnsi="Times New Roman" w:cs="Times New Roman"/>
                <w:b w:val="0"/>
                <w:bCs w:val="0"/>
                <w:color w:val="000000"/>
                <w:highlight w:val="none"/>
                <w:lang w:eastAsia="zh-CN"/>
              </w:rPr>
              <w:t>根据溢油事故影响预测结果，溢油油膜72h扫海范围内的鱼卵、仔稚鱼将受到不同程度影响，溢油油膜将使周边养殖海区鱼虾回避，捕捞业直接减产，渔业资源品质下降。</w:t>
            </w:r>
          </w:p>
          <w:p w14:paraId="32EB7CE4">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6</w:t>
            </w:r>
            <w:r>
              <w:rPr>
                <w:rFonts w:hint="default" w:ascii="Times New Roman" w:hAnsi="Times New Roman" w:cs="Times New Roman"/>
                <w:b/>
                <w:bCs/>
                <w:color w:val="000000"/>
                <w:highlight w:val="none"/>
                <w:lang w:eastAsia="zh-CN"/>
              </w:rPr>
              <w:t>）</w:t>
            </w:r>
            <w:bookmarkEnd w:id="470"/>
            <w:r>
              <w:rPr>
                <w:rFonts w:hint="default" w:ascii="Times New Roman" w:hAnsi="Times New Roman" w:cs="Times New Roman"/>
                <w:b/>
                <w:bCs/>
                <w:color w:val="000000"/>
                <w:highlight w:val="none"/>
              </w:rPr>
              <w:t>对海水养殖的影响</w:t>
            </w:r>
          </w:p>
          <w:p w14:paraId="19F667DE">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有研究表明，海水中还有4%—8%的柴油，可使花蛤、牡蛎这类生物深受其害，即使石油类浓度不致死亡，其毒性组分也会在生物体内聚集，使生物抵抗力下降，也使致癌物进入食物链。由此可见，若发生溢油事故，由于水产品对石油烃的富集作用，使水产品致油臭，降低产品质量，进而影响渔民的经济收入。燃料油随流</w:t>
            </w:r>
            <w:r>
              <w:rPr>
                <w:rFonts w:hint="eastAsia" w:cs="Times New Roman"/>
                <w:color w:val="000000"/>
                <w:highlight w:val="none"/>
                <w:lang w:eastAsia="zh-CN"/>
              </w:rPr>
              <w:t>飘浮</w:t>
            </w:r>
            <w:r>
              <w:rPr>
                <w:rFonts w:hint="default" w:ascii="Times New Roman" w:hAnsi="Times New Roman" w:cs="Times New Roman"/>
                <w:color w:val="000000"/>
                <w:highlight w:val="none"/>
              </w:rPr>
              <w:t>，若进入定置养殖区，油污将玷污网具，使得网具报废；若漂移至沿岸，将对沿岸浅海养殖和工厂化养殖业造成影响。</w:t>
            </w:r>
          </w:p>
          <w:p w14:paraId="0B1ED7F2">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eastAsia="宋体" w:cs="Times New Roman"/>
                <w:b/>
                <w:bCs/>
                <w:color w:val="000000"/>
                <w:highlight w:val="none"/>
                <w:lang w:eastAsia="zh-CN"/>
              </w:rPr>
            </w:pPr>
            <w:bookmarkStart w:id="471" w:name="_Toc2725"/>
            <w:r>
              <w:rPr>
                <w:rFonts w:hint="default" w:ascii="Times New Roman" w:hAnsi="Times New Roman" w:eastAsia="宋体" w:cs="Times New Roman"/>
                <w:b/>
                <w:bCs/>
                <w:color w:val="000000"/>
                <w:highlight w:val="none"/>
                <w:lang w:eastAsia="zh-CN"/>
              </w:rPr>
              <w:t>（</w:t>
            </w:r>
            <w:r>
              <w:rPr>
                <w:rFonts w:hint="default" w:ascii="Times New Roman" w:hAnsi="Times New Roman" w:eastAsia="宋体" w:cs="Times New Roman"/>
                <w:b/>
                <w:bCs/>
                <w:color w:val="000000"/>
                <w:highlight w:val="none"/>
                <w:lang w:val="en-US" w:eastAsia="zh-CN"/>
              </w:rPr>
              <w:t>7</w:t>
            </w:r>
            <w:r>
              <w:rPr>
                <w:rFonts w:hint="default" w:ascii="Times New Roman" w:hAnsi="Times New Roman" w:eastAsia="宋体" w:cs="Times New Roman"/>
                <w:b/>
                <w:bCs/>
                <w:color w:val="000000"/>
                <w:highlight w:val="none"/>
                <w:lang w:eastAsia="zh-CN"/>
              </w:rPr>
              <w:t>）对陆域生物的影响</w:t>
            </w:r>
            <w:bookmarkEnd w:id="471"/>
          </w:p>
          <w:p w14:paraId="06635879">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在海岸带附近，如有栖息生活的动物或鸟类，就会因油污的影响使皮毛或羽毛沾粘油污、中毒或饥饿而死；同时也会造成生物或水产品（包括养殖水产品）的死亡。所以，防治溢油过</w:t>
            </w:r>
            <w:r>
              <w:rPr>
                <w:rFonts w:hint="default" w:ascii="Times New Roman" w:hAnsi="Times New Roman" w:cs="Times New Roman"/>
                <w:color w:val="000000"/>
                <w:highlight w:val="none"/>
                <w:lang w:eastAsia="zh-CN"/>
              </w:rPr>
              <w:t>程中</w:t>
            </w:r>
            <w:r>
              <w:rPr>
                <w:rFonts w:hint="default" w:ascii="Times New Roman" w:hAnsi="Times New Roman" w:cs="Times New Roman"/>
                <w:color w:val="000000"/>
                <w:highlight w:val="none"/>
              </w:rPr>
              <w:t>要注意对野生动物的救护。</w:t>
            </w:r>
          </w:p>
          <w:p w14:paraId="52C17A24">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eastAsia="宋体" w:cs="Times New Roman"/>
                <w:b/>
                <w:bCs/>
                <w:color w:val="000000"/>
                <w:highlight w:val="none"/>
                <w:lang w:eastAsia="zh-CN"/>
              </w:rPr>
            </w:pP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8</w:t>
            </w:r>
            <w:r>
              <w:rPr>
                <w:rFonts w:hint="default" w:ascii="Times New Roman" w:hAnsi="Times New Roman" w:cs="Times New Roman"/>
                <w:b/>
                <w:bCs/>
                <w:color w:val="000000"/>
                <w:highlight w:val="none"/>
                <w:lang w:eastAsia="zh-CN"/>
              </w:rPr>
              <w:t>）对海岛、海岸生态的影响</w:t>
            </w:r>
          </w:p>
          <w:p w14:paraId="7D5714AB">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油膜抵达陆域沙质或岩礁质海岸时，油膜将较长时间</w:t>
            </w:r>
            <w:r>
              <w:rPr>
                <w:rFonts w:hint="eastAsia" w:cs="Times New Roman"/>
                <w:color w:val="000000"/>
                <w:highlight w:val="none"/>
                <w:lang w:eastAsia="zh-CN"/>
              </w:rPr>
              <w:t>黏附</w:t>
            </w:r>
            <w:r>
              <w:rPr>
                <w:rFonts w:hint="default" w:ascii="Times New Roman" w:hAnsi="Times New Roman" w:cs="Times New Roman"/>
                <w:color w:val="000000"/>
                <w:highlight w:val="none"/>
              </w:rPr>
              <w:t>在海岸线上，对其生态系统将造成长期严重破坏，其恢复期需长达几年。</w:t>
            </w:r>
          </w:p>
          <w:p w14:paraId="2612260F">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eastAsia="宋体" w:cs="Times New Roman"/>
                <w:b/>
                <w:bCs/>
                <w:color w:val="000000"/>
                <w:highlight w:val="none"/>
                <w:lang w:eastAsia="zh-CN"/>
              </w:rPr>
            </w:pP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9</w:t>
            </w:r>
            <w:r>
              <w:rPr>
                <w:rFonts w:hint="default" w:ascii="Times New Roman" w:hAnsi="Times New Roman" w:cs="Times New Roman"/>
                <w:b/>
                <w:bCs/>
                <w:color w:val="000000"/>
                <w:highlight w:val="none"/>
                <w:lang w:eastAsia="zh-CN"/>
              </w:rPr>
              <w:t>）对海域环境敏感区的影响</w:t>
            </w:r>
          </w:p>
          <w:p w14:paraId="190CE801">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项目区周边分布有开放式养殖区</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围海养殖</w:t>
            </w:r>
            <w:r>
              <w:rPr>
                <w:rFonts w:hint="default" w:ascii="Times New Roman" w:hAnsi="Times New Roman" w:cs="Times New Roman"/>
                <w:color w:val="000000"/>
                <w:highlight w:val="none"/>
              </w:rPr>
              <w:t>、山岐澳重要自然岸线及沙源保护海域生态红线区</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平潭中国鲎海洋保护生态红线区</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塘屿和东甲列岛海洋保护区生态红线区</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福建平潭国家地质自然公园</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溢油一旦发生，油类将在0.001小时内扩散至周边开放式养殖区，在</w:t>
            </w:r>
            <w:r>
              <w:rPr>
                <w:rFonts w:hint="default" w:ascii="Times New Roman" w:hAnsi="Times New Roman" w:cs="Times New Roman"/>
                <w:color w:val="000000"/>
                <w:highlight w:val="none"/>
                <w:lang w:val="en-US" w:eastAsia="zh-CN"/>
              </w:rPr>
              <w:t>不利</w:t>
            </w:r>
            <w:r>
              <w:rPr>
                <w:rFonts w:hint="default" w:ascii="Times New Roman" w:hAnsi="Times New Roman" w:cs="Times New Roman"/>
                <w:color w:val="000000"/>
                <w:highlight w:val="none"/>
              </w:rPr>
              <w:t>S</w:t>
            </w:r>
            <w:r>
              <w:rPr>
                <w:rFonts w:hint="default" w:ascii="Times New Roman" w:hAnsi="Times New Roman" w:cs="Times New Roman"/>
                <w:color w:val="000000"/>
                <w:highlight w:val="none"/>
                <w:lang w:val="en-US" w:eastAsia="zh-CN"/>
              </w:rPr>
              <w:t>W</w:t>
            </w:r>
            <w:r>
              <w:rPr>
                <w:rFonts w:hint="default" w:ascii="Times New Roman" w:hAnsi="Times New Roman" w:cs="Times New Roman"/>
                <w:color w:val="000000"/>
                <w:highlight w:val="none"/>
              </w:rPr>
              <w:t>风高潮条件下，溢油发生</w:t>
            </w:r>
            <w:r>
              <w:rPr>
                <w:rFonts w:hint="default" w:ascii="Times New Roman" w:hAnsi="Times New Roman" w:cs="Times New Roman"/>
                <w:color w:val="000000"/>
                <w:highlight w:val="none"/>
                <w:lang w:val="en-US" w:eastAsia="zh-CN"/>
              </w:rPr>
              <w:t>6</w:t>
            </w:r>
            <w:r>
              <w:rPr>
                <w:rFonts w:hint="default" w:ascii="Times New Roman" w:hAnsi="Times New Roman" w:cs="Times New Roman"/>
                <w:color w:val="000000"/>
                <w:highlight w:val="none"/>
              </w:rPr>
              <w:t>小时将到达平潭中国鲎海洋保护生态红线区</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福建平潭国家地质自然公园，对</w:t>
            </w:r>
            <w:r>
              <w:rPr>
                <w:rFonts w:hint="default" w:ascii="Times New Roman" w:hAnsi="Times New Roman" w:cs="Times New Roman"/>
                <w:color w:val="000000"/>
                <w:highlight w:val="none"/>
                <w:lang w:val="en-US" w:eastAsia="zh-CN"/>
              </w:rPr>
              <w:t>保护区</w:t>
            </w:r>
            <w:r>
              <w:rPr>
                <w:rFonts w:hint="default" w:ascii="Times New Roman" w:hAnsi="Times New Roman" w:cs="Times New Roman"/>
                <w:color w:val="000000"/>
                <w:highlight w:val="none"/>
              </w:rPr>
              <w:t>的沙滩</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岸线</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生物资源</w:t>
            </w:r>
            <w:r>
              <w:rPr>
                <w:rFonts w:hint="default" w:ascii="Times New Roman" w:hAnsi="Times New Roman" w:cs="Times New Roman"/>
                <w:color w:val="000000"/>
                <w:highlight w:val="none"/>
              </w:rPr>
              <w:t>造成较大的影响；在</w:t>
            </w:r>
            <w:r>
              <w:rPr>
                <w:rFonts w:hint="default" w:ascii="Times New Roman" w:hAnsi="Times New Roman" w:cs="Times New Roman"/>
                <w:color w:val="000000"/>
                <w:highlight w:val="none"/>
                <w:lang w:val="en-US" w:eastAsia="zh-CN"/>
              </w:rPr>
              <w:t>不利SW落</w:t>
            </w:r>
            <w:r>
              <w:rPr>
                <w:rFonts w:hint="default" w:ascii="Times New Roman" w:hAnsi="Times New Roman" w:cs="Times New Roman"/>
                <w:color w:val="000000"/>
                <w:highlight w:val="none"/>
              </w:rPr>
              <w:t>潮条件下，溢油发生</w:t>
            </w:r>
            <w:r>
              <w:rPr>
                <w:rFonts w:hint="default" w:ascii="Times New Roman" w:hAnsi="Times New Roman" w:cs="Times New Roman"/>
                <w:color w:val="000000"/>
                <w:highlight w:val="none"/>
                <w:lang w:val="en-US" w:eastAsia="zh-CN"/>
              </w:rPr>
              <w:t>5</w:t>
            </w:r>
            <w:r>
              <w:rPr>
                <w:rFonts w:hint="default" w:ascii="Times New Roman" w:hAnsi="Times New Roman" w:cs="Times New Roman"/>
                <w:color w:val="000000"/>
                <w:highlight w:val="none"/>
              </w:rPr>
              <w:t>小时将到达山岐澳重要自然岸线及沙源保护海域生态红线区，油膜将对该区的</w:t>
            </w:r>
            <w:r>
              <w:rPr>
                <w:rFonts w:hint="default" w:ascii="Times New Roman" w:hAnsi="Times New Roman" w:cs="Times New Roman"/>
                <w:color w:val="000000"/>
                <w:highlight w:val="none"/>
                <w:lang w:val="en-US" w:eastAsia="zh-CN"/>
              </w:rPr>
              <w:t>沙滩、岸线</w:t>
            </w:r>
            <w:r>
              <w:rPr>
                <w:rFonts w:hint="default" w:ascii="Times New Roman" w:hAnsi="Times New Roman" w:cs="Times New Roman"/>
                <w:color w:val="000000"/>
                <w:highlight w:val="none"/>
              </w:rPr>
              <w:t>造成污染。</w:t>
            </w:r>
          </w:p>
          <w:p w14:paraId="4AFF4B62">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rPr>
              <w:t>考虑到本项目油品为易挥发油品，一定时间内大部分可以挥发至大气，而且本项目</w:t>
            </w:r>
            <w:r>
              <w:rPr>
                <w:rFonts w:hint="default" w:ascii="Times New Roman" w:hAnsi="Times New Roman" w:cs="Times New Roman"/>
                <w:color w:val="000000"/>
                <w:highlight w:val="none"/>
                <w:lang w:val="en-US" w:eastAsia="zh-CN"/>
              </w:rPr>
              <w:t>应</w:t>
            </w:r>
            <w:r>
              <w:rPr>
                <w:rFonts w:hint="default" w:ascii="Times New Roman" w:hAnsi="Times New Roman" w:cs="Times New Roman"/>
                <w:color w:val="000000"/>
                <w:highlight w:val="none"/>
              </w:rPr>
              <w:t>配备必需的溢油应急设施，出现溢油立即启动应急预案，可有效减轻溢油对海洋生态环境和渔业资源的影响程度。</w:t>
            </w:r>
          </w:p>
        </w:tc>
      </w:tr>
      <w:tr w14:paraId="70E389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8" w:type="dxa"/>
            <w:left w:w="108" w:type="dxa"/>
            <w:bottom w:w="108" w:type="dxa"/>
            <w:right w:w="108" w:type="dxa"/>
          </w:tblCellMar>
        </w:tblPrEx>
        <w:trPr>
          <w:trHeight w:val="3931" w:hRule="atLeast"/>
          <w:jc w:val="center"/>
        </w:trPr>
        <w:tc>
          <w:tcPr>
            <w:tcW w:w="783" w:type="dxa"/>
            <w:noWrap w:val="0"/>
            <w:vAlign w:val="center"/>
          </w:tcPr>
          <w:p w14:paraId="46CF8483">
            <w:pPr>
              <w:adjustRightInd w:val="0"/>
              <w:snapToGrid w:val="0"/>
              <w:spacing w:before="0" w:beforeAutospacing="0" w:after="0" w:afterAutospacing="0" w:line="360" w:lineRule="auto"/>
              <w:jc w:val="center"/>
              <w:rPr>
                <w:rFonts w:hint="default" w:ascii="Times New Roman" w:hAnsi="Times New Roman" w:cs="Times New Roman"/>
                <w:bCs/>
                <w:color w:val="000000"/>
                <w:kern w:val="2"/>
                <w:sz w:val="24"/>
                <w:szCs w:val="24"/>
                <w:u w:val="none"/>
              </w:rPr>
            </w:pPr>
            <w:r>
              <w:rPr>
                <w:rFonts w:hint="default" w:ascii="Times New Roman" w:hAnsi="Times New Roman" w:cs="Times New Roman"/>
                <w:bCs/>
                <w:color w:val="000000"/>
                <w:kern w:val="2"/>
                <w:sz w:val="24"/>
                <w:szCs w:val="24"/>
                <w:u w:val="none"/>
              </w:rPr>
              <w:t>选址选线环境合理性分析</w:t>
            </w:r>
          </w:p>
        </w:tc>
        <w:tc>
          <w:tcPr>
            <w:tcW w:w="8459" w:type="dxa"/>
            <w:noWrap w:val="0"/>
            <w:vAlign w:val="top"/>
          </w:tcPr>
          <w:p w14:paraId="4F76E077">
            <w:pPr>
              <w:pStyle w:val="3"/>
              <w:bidi w:val="0"/>
              <w:ind w:left="567" w:leftChars="0" w:hanging="567" w:firstLineChars="0"/>
              <w:rPr>
                <w:rFonts w:hint="default"/>
                <w:lang w:val="en-US" w:eastAsia="zh-CN"/>
              </w:rPr>
            </w:pPr>
            <w:bookmarkStart w:id="472" w:name="_Toc15502"/>
            <w:r>
              <w:rPr>
                <w:rFonts w:hint="default"/>
                <w:lang w:val="en-US" w:eastAsia="zh-CN"/>
              </w:rPr>
              <w:t>工程选址合理性分析</w:t>
            </w:r>
            <w:bookmarkEnd w:id="472"/>
          </w:p>
          <w:p w14:paraId="6F6BAEA2">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eastAsia="宋体" w:cs="Times New Roman"/>
                <w:b/>
                <w:bCs/>
                <w:color w:val="000000"/>
                <w:highlight w:val="none"/>
                <w:lang w:eastAsia="zh-CN"/>
              </w:rPr>
            </w:pPr>
            <w:bookmarkStart w:id="473" w:name="_Toc2086"/>
            <w:bookmarkStart w:id="474" w:name="_Toc16243"/>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1</w:t>
            </w:r>
            <w:r>
              <w:rPr>
                <w:rFonts w:hint="default" w:ascii="Times New Roman" w:hAnsi="Times New Roman" w:cs="Times New Roman"/>
                <w:b/>
                <w:bCs/>
                <w:color w:val="000000"/>
                <w:highlight w:val="none"/>
                <w:lang w:eastAsia="zh-CN"/>
              </w:rPr>
              <w:t>）与区位和社会条件的适宜性</w:t>
            </w:r>
          </w:p>
          <w:p w14:paraId="3F25858A">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本项目位于福清市东瀚镇海亮村东侧海域，一级渔港是在海亮沃口二级渔港的基础上进行升级建设，其选址具有唯一性。目前港区已有一条简易道路可通至东瀚镇区，再经305省道、大真线与福厦高速公路接轨，距福州市区距离为93km；海运，北航可通松下、马尾港，南下直达江阴、湄洲湾，交通十分便捷。</w:t>
            </w:r>
          </w:p>
          <w:p w14:paraId="227C85BA">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根据项目初设报告预测，项目建成后渔船总数为929艘</w:t>
            </w:r>
            <w:r>
              <w:rPr>
                <w:rFonts w:hint="default" w:ascii="Times New Roman" w:hAnsi="Times New Roman" w:cs="Times New Roman"/>
                <w:color w:val="000000"/>
                <w:highlight w:val="none"/>
              </w:rPr>
              <w:t>，卸港量4.24万</w:t>
            </w:r>
            <w:r>
              <w:rPr>
                <w:rFonts w:hint="default" w:ascii="Times New Roman" w:hAnsi="Times New Roman" w:cs="Times New Roman"/>
                <w:color w:val="000000"/>
                <w:highlight w:val="none"/>
                <w:lang w:val="en-US" w:eastAsia="zh-CN"/>
              </w:rPr>
              <w:t>t</w:t>
            </w:r>
            <w:r>
              <w:rPr>
                <w:rFonts w:hint="default" w:ascii="Times New Roman" w:hAnsi="Times New Roman" w:cs="Times New Roman"/>
                <w:color w:val="000000"/>
                <w:highlight w:val="none"/>
              </w:rPr>
              <w:t>，海亮沃口一级渔港的建设，对于改善当地的生产作业条件，完善渔业基础设施，促进经济发展和渔民收入具有积极意义。</w:t>
            </w:r>
          </w:p>
          <w:p w14:paraId="3BA3B982">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项目区具备基础设施条件，用电、给排水及通信均可通过海亮村实现，施工所用的三大</w:t>
            </w:r>
            <w:r>
              <w:rPr>
                <w:rFonts w:hint="default" w:ascii="Times New Roman" w:hAnsi="Times New Roman" w:cs="Times New Roman"/>
                <w:color w:val="000000"/>
                <w:highlight w:val="none"/>
                <w:lang w:eastAsia="zh-CN"/>
              </w:rPr>
              <w:t>材料</w:t>
            </w:r>
            <w:r>
              <w:rPr>
                <w:rFonts w:hint="default" w:ascii="Times New Roman" w:hAnsi="Times New Roman" w:cs="Times New Roman"/>
                <w:color w:val="000000"/>
                <w:highlight w:val="none"/>
              </w:rPr>
              <w:t>均可由水、陆运至工地。本项目水工建筑物推荐方案均为常用的结构方案，目前福建省内有多家港工专业施工队伍，其设备精良，经验丰富，完全有能力承担本项目的施工任务。</w:t>
            </w:r>
          </w:p>
          <w:p w14:paraId="4520A876">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因此，从交通状况、区位条件、基础设施等社会条件来看，项目选址与区域社会条件相适宜。</w:t>
            </w:r>
          </w:p>
          <w:p w14:paraId="3385C4AC">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2</w:t>
            </w: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rPr>
              <w:t>与自然资源和环境条件的适宜性</w:t>
            </w:r>
          </w:p>
          <w:p w14:paraId="16D3209A">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①地形条件</w:t>
            </w:r>
          </w:p>
          <w:p w14:paraId="2C0652A5">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拟建港址位于兴化湾和福清湾湾口，水域开阔，通航条件好；据现场实测资料，项目区天然底高程大部分在-2.0m~-9.0m之间，整个港区水深条件较好，海床处于基本稳定状态，底质为淤泥，易于船舶锚泊，适宜一级渔港建设</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拟建码头和港池天然水深较二级渔港前沿水域条件好，码头停泊水域和港池均无需疏浚，可以满足设计代表船型全</w:t>
            </w:r>
            <w:r>
              <w:rPr>
                <w:rFonts w:hint="default" w:ascii="Times New Roman" w:hAnsi="Times New Roman" w:cs="Times New Roman"/>
                <w:color w:val="000000"/>
                <w:highlight w:val="none"/>
                <w:lang w:val="en-US" w:eastAsia="zh-CN"/>
              </w:rPr>
              <w:t>天</w:t>
            </w:r>
            <w:r>
              <w:rPr>
                <w:rFonts w:hint="default" w:ascii="Times New Roman" w:hAnsi="Times New Roman" w:cs="Times New Roman"/>
                <w:color w:val="000000"/>
                <w:highlight w:val="none"/>
              </w:rPr>
              <w:t>候进出需求。</w:t>
            </w:r>
          </w:p>
          <w:p w14:paraId="2B47853F">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②工程地质条件</w:t>
            </w:r>
          </w:p>
          <w:p w14:paraId="67A8F47A">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根据区域地质资料，拟建场地附近无大的构造破碎带及活动性断层经过，未发现滑坡、泥石流、地面塌陷等地质灾害，勘探过程中未发现有古河道、暗滨、池塘、防空洞、临空面等对工程不利的地下埋藏物或构筑物，场地稳定较好，在对软弱土层采取相应的地基处理措施后，拟建场地适宜工程建设。</w:t>
            </w:r>
          </w:p>
          <w:p w14:paraId="7992547F">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③水文动力条件</w:t>
            </w:r>
          </w:p>
          <w:p w14:paraId="4DDF583A">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本海区潮汐属正规半日潮，以往复流为主。在强潮流作用下，工程区泥沙不易落淤，因此港区发生严重淤积的可能性较小；港区受东~南向外海风浪影响较大，但项目区周边有大礁山、海坛岛、草屿和塘屿遮掩，防波堤建设能够形成约39.24公顷的有效避风水域，满足一级渔港的建设需求。</w:t>
            </w:r>
          </w:p>
          <w:p w14:paraId="719638A1">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highlight w:val="none"/>
                <w:lang w:eastAsia="zh-CN"/>
              </w:rPr>
            </w:pPr>
            <w:r>
              <w:rPr>
                <w:rFonts w:hint="default" w:ascii="Times New Roman" w:hAnsi="Times New Roman" w:cs="Times New Roman"/>
                <w:color w:val="000000"/>
                <w:highlight w:val="none"/>
              </w:rPr>
              <w:t>总体而言，项目选址与区域自然资源、环境条件基本</w:t>
            </w:r>
            <w:r>
              <w:rPr>
                <w:rFonts w:hint="default" w:ascii="Times New Roman" w:hAnsi="Times New Roman" w:cs="Times New Roman"/>
                <w:color w:val="000000"/>
                <w:highlight w:val="none"/>
                <w:lang w:val="en-US" w:eastAsia="zh-CN"/>
              </w:rPr>
              <w:t>适宜</w:t>
            </w:r>
            <w:r>
              <w:rPr>
                <w:rFonts w:hint="default" w:ascii="Times New Roman" w:hAnsi="Times New Roman" w:cs="Times New Roman"/>
                <w:color w:val="000000"/>
                <w:highlight w:val="none"/>
                <w:lang w:eastAsia="zh-CN"/>
              </w:rPr>
              <w:t>。</w:t>
            </w:r>
          </w:p>
          <w:p w14:paraId="309AE72C">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3</w:t>
            </w: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rPr>
              <w:t>与区域生态系统适宜性分析</w:t>
            </w:r>
          </w:p>
          <w:p w14:paraId="06CD4765">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本工程非透水构筑物建设占用部分海域浅滩，使现存底栖生物的栖息场所遭到破坏，但所占用海域面积较小，对海域生态系统完整性的影响不大，经过一段时间的调整后，将会达到新的生态平衡。项目建设不存在隔断野生海洋鱼虾类生物的</w:t>
            </w:r>
            <w:r>
              <w:rPr>
                <w:rFonts w:hint="default" w:ascii="Times New Roman" w:hAnsi="Times New Roman" w:cs="Times New Roman"/>
                <w:color w:val="000000"/>
                <w:highlight w:val="none"/>
                <w:lang w:val="en-US" w:eastAsia="zh-CN"/>
              </w:rPr>
              <w:t>洄游</w:t>
            </w:r>
            <w:r>
              <w:rPr>
                <w:rFonts w:hint="default" w:ascii="Times New Roman" w:hAnsi="Times New Roman" w:cs="Times New Roman"/>
                <w:color w:val="000000"/>
                <w:highlight w:val="none"/>
              </w:rPr>
              <w:t>通道问题，对项目海区野生海洋生物的</w:t>
            </w:r>
            <w:r>
              <w:rPr>
                <w:rFonts w:hint="default" w:ascii="Times New Roman" w:hAnsi="Times New Roman" w:cs="Times New Roman"/>
                <w:color w:val="000000"/>
                <w:highlight w:val="none"/>
                <w:lang w:val="en-US" w:eastAsia="zh-CN"/>
              </w:rPr>
              <w:t>洄游</w:t>
            </w:r>
            <w:r>
              <w:rPr>
                <w:rFonts w:hint="default" w:ascii="Times New Roman" w:hAnsi="Times New Roman" w:cs="Times New Roman"/>
                <w:color w:val="000000"/>
                <w:highlight w:val="none"/>
              </w:rPr>
              <w:t>、产卵、索饵的影响很小。项目施工期间，泥沙入海将对海域环境造成一定的影响，但其影响是暂时的</w:t>
            </w:r>
            <w:r>
              <w:rPr>
                <w:rFonts w:hint="eastAsia" w:cs="Times New Roman"/>
                <w:color w:val="000000"/>
                <w:highlight w:val="none"/>
                <w:lang w:eastAsia="zh-CN"/>
              </w:rPr>
              <w:t>且</w:t>
            </w:r>
            <w:r>
              <w:rPr>
                <w:rFonts w:hint="default" w:ascii="Times New Roman" w:hAnsi="Times New Roman" w:cs="Times New Roman"/>
                <w:color w:val="000000"/>
                <w:highlight w:val="none"/>
              </w:rPr>
              <w:t>影响范围和程度有限。运营期，在严格执行环保要求的前提下，项目建设基本不会对周边海域生态环境造成破坏。因此，项目选址与区域生态系统可相适应。</w:t>
            </w:r>
          </w:p>
          <w:p w14:paraId="50249CED">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4</w:t>
            </w: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rPr>
              <w:t>与周边其他用海活动的适宜性</w:t>
            </w:r>
          </w:p>
          <w:p w14:paraId="7DE4CE5E">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本项目建设对所在海域的自然环境及生态影响较小，可以满足功能区划的管理要求，项目建设与相邻的海洋功能区定位基本适宜，周边海域的开发活动对本项目建设亦无不利影响。项目所在海区不存在军事设施，不会危及国家安全。</w:t>
            </w:r>
          </w:p>
          <w:p w14:paraId="77BB29D2">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项目用海与周边海水养殖户的相关利益关系可以协调，利益相关者已承诺搬迁或停止养殖。项目用海与利益相关者的关系基本明确，具备协调途径。在处理好项目建设与周边其他用海活动的关系情况下，项目的施工和运营过程对周边其它用海活动影响较小。因此，本项目建设与周边用海活动可相适应。</w:t>
            </w:r>
          </w:p>
          <w:p w14:paraId="7403289F">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综上所述，</w:t>
            </w:r>
            <w:r>
              <w:rPr>
                <w:rFonts w:hint="default" w:ascii="Times New Roman" w:hAnsi="Times New Roman" w:cs="Times New Roman"/>
                <w:color w:val="000000"/>
                <w:highlight w:val="none"/>
              </w:rPr>
              <w:t>从项目区的社会经济条件、自然环境条件、区域生态系统以及项目与周边用海活动的适宜性等方面来看，本项目选址是合理的。</w:t>
            </w:r>
            <w:bookmarkEnd w:id="473"/>
            <w:bookmarkEnd w:id="474"/>
          </w:p>
          <w:p w14:paraId="26CC2573">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u w:val="none"/>
              </w:rPr>
            </w:pPr>
          </w:p>
        </w:tc>
      </w:tr>
    </w:tbl>
    <w:p w14:paraId="2A096C6B">
      <w:pPr>
        <w:jc w:val="center"/>
        <w:rPr>
          <w:rFonts w:hint="default" w:ascii="Times New Roman" w:hAnsi="Times New Roman" w:eastAsia="黑体" w:cs="Times New Roman"/>
          <w:snapToGrid w:val="0"/>
          <w:color w:val="000000"/>
          <w:sz w:val="36"/>
          <w:szCs w:val="36"/>
          <w:u w:val="none"/>
        </w:rPr>
        <w:sectPr>
          <w:pgSz w:w="11906" w:h="16838"/>
          <w:pgMar w:top="1701" w:right="1531" w:bottom="1701" w:left="1531" w:header="851" w:footer="1077" w:gutter="0"/>
          <w:pgNumType w:fmt="decimal"/>
          <w:cols w:space="720" w:num="1"/>
          <w:docGrid w:linePitch="312" w:charSpace="0"/>
        </w:sectPr>
      </w:pPr>
    </w:p>
    <w:p w14:paraId="28711A95">
      <w:pPr>
        <w:pStyle w:val="2"/>
        <w:bidi w:val="0"/>
        <w:ind w:left="425" w:leftChars="0" w:hanging="425" w:firstLineChars="0"/>
        <w:rPr>
          <w:rFonts w:hint="default"/>
        </w:rPr>
      </w:pPr>
      <w:bookmarkStart w:id="475" w:name="_Toc27599"/>
      <w:bookmarkStart w:id="476" w:name="_Toc4022"/>
      <w:bookmarkStart w:id="477" w:name="_Toc15940"/>
      <w:bookmarkStart w:id="478" w:name="_Toc7311"/>
      <w:bookmarkStart w:id="479" w:name="_Toc19964"/>
      <w:r>
        <w:rPr>
          <w:rFonts w:hint="default"/>
        </w:rPr>
        <w:t>主要生态环境保护措施</w:t>
      </w:r>
      <w:bookmarkEnd w:id="475"/>
      <w:bookmarkEnd w:id="476"/>
      <w:bookmarkEnd w:id="477"/>
      <w:bookmarkEnd w:id="478"/>
      <w:bookmarkEnd w:id="479"/>
    </w:p>
    <w:tbl>
      <w:tblPr>
        <w:tblStyle w:val="21"/>
        <w:tblW w:w="921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08" w:type="dxa"/>
          <w:left w:w="108" w:type="dxa"/>
          <w:bottom w:w="108" w:type="dxa"/>
          <w:right w:w="108" w:type="dxa"/>
        </w:tblCellMar>
      </w:tblPr>
      <w:tblGrid>
        <w:gridCol w:w="753"/>
        <w:gridCol w:w="8457"/>
      </w:tblGrid>
      <w:tr w14:paraId="6CD5D1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8" w:type="dxa"/>
            <w:left w:w="108" w:type="dxa"/>
            <w:bottom w:w="108" w:type="dxa"/>
            <w:right w:w="108" w:type="dxa"/>
          </w:tblCellMar>
        </w:tblPrEx>
        <w:trPr>
          <w:trHeight w:val="1701" w:hRule="atLeast"/>
          <w:jc w:val="center"/>
        </w:trPr>
        <w:tc>
          <w:tcPr>
            <w:tcW w:w="753" w:type="dxa"/>
            <w:noWrap w:val="0"/>
            <w:tcMar>
              <w:left w:w="28" w:type="dxa"/>
              <w:right w:w="28" w:type="dxa"/>
            </w:tcMar>
            <w:vAlign w:val="center"/>
          </w:tcPr>
          <w:p w14:paraId="2F1F4447">
            <w:pPr>
              <w:adjustRightInd w:val="0"/>
              <w:snapToGrid w:val="0"/>
              <w:spacing w:line="360" w:lineRule="auto"/>
              <w:jc w:val="center"/>
              <w:rPr>
                <w:rFonts w:hint="default" w:ascii="Times New Roman" w:hAnsi="Times New Roman" w:cs="Times New Roman"/>
                <w:bCs/>
                <w:color w:val="000000"/>
                <w:szCs w:val="21"/>
                <w:u w:val="none"/>
              </w:rPr>
            </w:pPr>
            <w:r>
              <w:rPr>
                <w:rFonts w:hint="default" w:ascii="Times New Roman" w:hAnsi="Times New Roman" w:cs="Times New Roman"/>
                <w:bCs/>
                <w:color w:val="000000"/>
                <w:spacing w:val="10"/>
                <w:szCs w:val="21"/>
                <w:u w:val="none"/>
              </w:rPr>
              <w:t>施工期生态环境保护措施</w:t>
            </w:r>
          </w:p>
        </w:tc>
        <w:tc>
          <w:tcPr>
            <w:tcW w:w="8457" w:type="dxa"/>
            <w:noWrap w:val="0"/>
            <w:vAlign w:val="center"/>
          </w:tcPr>
          <w:p w14:paraId="68AA7AE4">
            <w:pPr>
              <w:pStyle w:val="3"/>
              <w:bidi w:val="0"/>
              <w:ind w:left="567" w:leftChars="0" w:hanging="567" w:firstLineChars="0"/>
              <w:rPr>
                <w:rFonts w:hint="default"/>
              </w:rPr>
            </w:pPr>
            <w:bookmarkStart w:id="480" w:name="_Toc23561"/>
            <w:bookmarkStart w:id="481" w:name="_Toc28078"/>
            <w:bookmarkStart w:id="482" w:name="_Toc16753"/>
            <w:r>
              <w:rPr>
                <w:rFonts w:hint="default"/>
              </w:rPr>
              <w:t>施工期生态环境保护措施</w:t>
            </w:r>
            <w:bookmarkEnd w:id="480"/>
            <w:bookmarkEnd w:id="481"/>
            <w:bookmarkEnd w:id="482"/>
          </w:p>
          <w:p w14:paraId="3E2C5D62">
            <w:pPr>
              <w:pStyle w:val="4"/>
              <w:bidi w:val="0"/>
              <w:rPr>
                <w:rFonts w:hint="default" w:ascii="Times New Roman" w:hAnsi="Times New Roman" w:cs="Times New Roman"/>
                <w:color w:val="000000"/>
                <w:highlight w:val="none"/>
              </w:rPr>
            </w:pPr>
            <w:bookmarkStart w:id="483" w:name="_Toc20223"/>
            <w:bookmarkStart w:id="484" w:name="_Toc22758"/>
            <w:bookmarkStart w:id="485" w:name="_Toc19592"/>
            <w:bookmarkStart w:id="486" w:name="_Toc7691"/>
            <w:r>
              <w:rPr>
                <w:rFonts w:hint="default" w:ascii="Times New Roman" w:hAnsi="Times New Roman" w:cs="Times New Roman"/>
                <w:color w:val="000000"/>
                <w:highlight w:val="none"/>
              </w:rPr>
              <w:t>悬浮泥沙污染防治措施</w:t>
            </w:r>
            <w:bookmarkEnd w:id="483"/>
            <w:bookmarkEnd w:id="484"/>
          </w:p>
          <w:p w14:paraId="28073F7A">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lang w:val="en-US" w:eastAsia="zh-CN"/>
              </w:rPr>
              <w:t>1、</w:t>
            </w:r>
            <w:r>
              <w:rPr>
                <w:rFonts w:hint="default" w:ascii="Times New Roman" w:hAnsi="Times New Roman" w:cs="Times New Roman"/>
                <w:b/>
                <w:bCs/>
                <w:color w:val="000000"/>
                <w:highlight w:val="none"/>
              </w:rPr>
              <w:t>基槽开挖、港池疏浚悬浮泥沙污染防治措施</w:t>
            </w:r>
          </w:p>
          <w:p w14:paraId="28DDFEAC">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1）施工前认真做好准备工作，基槽开挖、港池疏浚前对施工区进行测量，作业前做好施工放样工作，若挖泥船采用导标法施工，应用导标将设计挖槽的起始线、终止线、挖槽边线、边坡线、工程分界线、中线和转向点等标出。</w:t>
            </w:r>
          </w:p>
          <w:p w14:paraId="648644EF">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（2）精确定位，</w:t>
            </w:r>
            <w:r>
              <w:rPr>
                <w:rFonts w:hint="default" w:ascii="Times New Roman" w:hAnsi="Times New Roman" w:cs="Times New Roman"/>
                <w:color w:val="000000"/>
                <w:highlight w:val="none"/>
                <w:lang w:eastAsia="zh-CN"/>
              </w:rPr>
              <w:t>减少</w:t>
            </w:r>
            <w:r>
              <w:rPr>
                <w:rFonts w:hint="default" w:ascii="Times New Roman" w:hAnsi="Times New Roman" w:cs="Times New Roman"/>
                <w:color w:val="000000"/>
                <w:highlight w:val="none"/>
              </w:rPr>
              <w:t>超挖土方量。要求所有挖泥船、测量船和运输驳船装备有精确的自动监测设备、DGPS定位设备和挖泥头深度指示器，以便施工人员根据船舶吃水深度和潮位变化，随时调整下挖深度，从而实现高精度的定深挖泥，提高挖泥施工精度，确保挖泥作业和淤泥处置工作准确、有效进行，减少不必要的超深、超宽的挖泥方量，降低对周围水体的扰动，减轻对周边海水水质和海洋生态环境的影响。</w:t>
            </w:r>
          </w:p>
          <w:p w14:paraId="4BAFC46D">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（3）确保泥门密闭，严防泥浆泄漏。挖泥作业前检查挖泥船和运泥船舱门的密闭性，确保挖泥抓斗在提升过</w:t>
            </w:r>
            <w:r>
              <w:rPr>
                <w:rFonts w:hint="default" w:ascii="Times New Roman" w:hAnsi="Times New Roman" w:cs="Times New Roman"/>
                <w:color w:val="000000"/>
                <w:highlight w:val="none"/>
                <w:lang w:eastAsia="zh-CN"/>
              </w:rPr>
              <w:t>程中</w:t>
            </w:r>
            <w:r>
              <w:rPr>
                <w:rFonts w:hint="default" w:ascii="Times New Roman" w:hAnsi="Times New Roman" w:cs="Times New Roman"/>
                <w:color w:val="000000"/>
                <w:highlight w:val="none"/>
              </w:rPr>
              <w:t>密闭性能好。将挖掘的泥沙直接卸入靠泊在挖泥船船舷旁的泥驳，装满泥浆后运至</w:t>
            </w:r>
            <w:r>
              <w:rPr>
                <w:rFonts w:hint="default" w:ascii="Times New Roman" w:hAnsi="Times New Roman" w:cs="Times New Roman"/>
                <w:color w:val="000000"/>
                <w:highlight w:val="none"/>
                <w:lang w:val="en-US" w:eastAsia="zh-CN"/>
              </w:rPr>
              <w:t>指定的弃方地点</w:t>
            </w:r>
            <w:r>
              <w:rPr>
                <w:rFonts w:hint="default" w:ascii="Times New Roman" w:hAnsi="Times New Roman" w:cs="Times New Roman"/>
                <w:color w:val="000000"/>
                <w:highlight w:val="none"/>
              </w:rPr>
              <w:t>。在运输途中泥门是关闭的，若在运输途中泥门不严将会导致泥浆泄漏，使沿途</w:t>
            </w:r>
            <w:r>
              <w:rPr>
                <w:rFonts w:hint="default" w:ascii="Times New Roman" w:hAnsi="Times New Roman" w:cs="Times New Roman"/>
                <w:color w:val="000000"/>
                <w:highlight w:val="none"/>
                <w:lang w:val="en-US" w:eastAsia="zh-CN"/>
              </w:rPr>
              <w:t>区</w:t>
            </w:r>
            <w:r>
              <w:rPr>
                <w:rFonts w:hint="default" w:ascii="Times New Roman" w:hAnsi="Times New Roman" w:cs="Times New Roman"/>
                <w:color w:val="000000"/>
                <w:highlight w:val="none"/>
              </w:rPr>
              <w:t>域遭受污染。施工单位应加强疏浚设备的日常维护与保养，确保疏浚设施的良好性能，尤其是挖泥船抓斗、运泥船泥舱的密闭性能和控制挖泥船抓斗、运泥船泥舱的开启与关闭的传动部分。</w:t>
            </w:r>
          </w:p>
          <w:p w14:paraId="01E4930F">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（4）增强安全意识，防止翻船事故发生。施工人员应增强安全观念与环保意识，根据运泥船的抗风浪性能，尽量提高其安全系数，在超出其安全系数和恶劣气象条件下，应停止运输。</w:t>
            </w:r>
          </w:p>
          <w:p w14:paraId="1F431D3A">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（5）施工环境监理中应加</w:t>
            </w:r>
            <w:r>
              <w:rPr>
                <w:rFonts w:hint="default" w:ascii="Times New Roman" w:hAnsi="Times New Roman" w:cs="Times New Roman"/>
                <w:color w:val="000000"/>
                <w:highlight w:val="none"/>
                <w:lang w:eastAsia="zh-CN"/>
              </w:rPr>
              <w:t>强对</w:t>
            </w:r>
            <w:r>
              <w:rPr>
                <w:rFonts w:hint="default" w:ascii="Times New Roman" w:hAnsi="Times New Roman" w:cs="Times New Roman"/>
                <w:color w:val="000000"/>
                <w:highlight w:val="none"/>
              </w:rPr>
              <w:t>挖泥施工作业的监督，避免施工单位的不规范操作。应尽量在低潮的时候进行，并尽量避免在雨天作业。</w:t>
            </w:r>
          </w:p>
          <w:p w14:paraId="2895CC65">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6）加强施工过程的环境跟踪监测，在施工过程中定期对海水水质中悬浮物、石油类等进行监测评估，发现问题及时检讨改进，并利用监测结果反过来约束施工作业，尽量减少项目施工对临近水体的环境所产生的影响</w:t>
            </w:r>
          </w:p>
          <w:p w14:paraId="0DFD08DC">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lang w:val="en-US" w:eastAsia="zh-CN"/>
              </w:rPr>
              <w:t>2、</w:t>
            </w:r>
            <w:r>
              <w:rPr>
                <w:rFonts w:hint="default" w:ascii="Times New Roman" w:hAnsi="Times New Roman" w:cs="Times New Roman"/>
                <w:b/>
                <w:bCs/>
                <w:color w:val="000000"/>
                <w:highlight w:val="none"/>
              </w:rPr>
              <w:t>防波堤抛石产生的悬浮泥沙</w:t>
            </w:r>
          </w:p>
          <w:p w14:paraId="523381FC">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1）抛石将引起附近水域悬浮物含量增高，为减少施工过程中泥沙释放量，选择适当的施工设备十分重要。项目在抛石过程中压低抛石高度，合理安排施工强度和施工时间。做好施工设备的日常维修检查工作，保持施工机械的良好运行和密闭性，发生故障后应及时予以修复。</w:t>
            </w:r>
          </w:p>
          <w:p w14:paraId="4474C167">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（2）优化抛石施工作业面布置，施工前应从避让来往船只的角度优化作业面布置，避免发生船舶碰撞事故。</w:t>
            </w:r>
          </w:p>
          <w:p w14:paraId="60AD61CE">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（3）应对整个施工进行合理规划，尽量缩短施工期，以减轻施工可能带来的水生生态环境影响。</w:t>
            </w:r>
          </w:p>
          <w:p w14:paraId="50F5AE48">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（4）加强与当地气象预报部门的联系，在恶劣天气条件下应提前做好施工安全防护工作，避免造成船舶碰撞事故。</w:t>
            </w:r>
          </w:p>
          <w:p w14:paraId="0AE2ED40">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（5）作业期间应同步进行海洋监测，并利用监测结果反过来约束施工作业，尽量减少项目施工对</w:t>
            </w:r>
            <w:r>
              <w:rPr>
                <w:rFonts w:hint="default" w:ascii="Times New Roman" w:hAnsi="Times New Roman" w:cs="Times New Roman"/>
                <w:color w:val="000000"/>
                <w:highlight w:val="none"/>
                <w:lang w:eastAsia="zh-CN"/>
              </w:rPr>
              <w:t>邻近</w:t>
            </w:r>
            <w:r>
              <w:rPr>
                <w:rFonts w:hint="default" w:ascii="Times New Roman" w:hAnsi="Times New Roman" w:cs="Times New Roman"/>
                <w:color w:val="000000"/>
                <w:highlight w:val="none"/>
              </w:rPr>
              <w:t>水体的环境所产生的影响。</w:t>
            </w:r>
          </w:p>
          <w:p w14:paraId="5A40F865">
            <w:pPr>
              <w:pStyle w:val="4"/>
              <w:bidi w:val="0"/>
              <w:rPr>
                <w:rFonts w:hint="default" w:ascii="Times New Roman" w:hAnsi="Times New Roman" w:cs="Times New Roman"/>
                <w:color w:val="000000"/>
                <w:highlight w:val="none"/>
              </w:rPr>
            </w:pPr>
            <w:bookmarkStart w:id="487" w:name="_Toc15709"/>
            <w:bookmarkStart w:id="488" w:name="_Toc13967"/>
            <w:r>
              <w:rPr>
                <w:rFonts w:hint="default" w:ascii="Times New Roman" w:hAnsi="Times New Roman" w:cs="Times New Roman"/>
                <w:color w:val="000000"/>
                <w:highlight w:val="none"/>
              </w:rPr>
              <w:t>施工期水污染防治措施</w:t>
            </w:r>
            <w:bookmarkEnd w:id="487"/>
            <w:bookmarkEnd w:id="488"/>
          </w:p>
          <w:p w14:paraId="5737ACDF">
            <w:pPr>
              <w:keepNext w:val="0"/>
              <w:keepLines w:val="0"/>
              <w:pageBreakBefore w:val="0"/>
              <w:widowControl w:val="0"/>
              <w:numPr>
                <w:ilvl w:val="0"/>
                <w:numId w:val="9"/>
              </w:numPr>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施工船舶产生的含油污水、船舶生活污水分类收集，由施工单位送海事管理部门认可的有处理能力的船舶服务公司接收处理，严禁直接排海。施工单位和接收单位负责人应做好接收污染物记录，以备核查。</w:t>
            </w:r>
          </w:p>
          <w:p w14:paraId="1998CB7A">
            <w:pPr>
              <w:keepNext w:val="0"/>
              <w:keepLines w:val="0"/>
              <w:pageBreakBefore w:val="0"/>
              <w:widowControl w:val="0"/>
              <w:numPr>
                <w:ilvl w:val="0"/>
                <w:numId w:val="9"/>
              </w:numPr>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加强施工设备的管理与养护，杜绝油类物质泄漏，减少海水受污染的可能性；对施工船机设备产生的废油进行回收后，交由有资质的单位接收处理，</w:t>
            </w:r>
            <w:r>
              <w:rPr>
                <w:rFonts w:hint="default" w:ascii="Times New Roman" w:hAnsi="Times New Roman" w:cs="Times New Roman"/>
                <w:color w:val="000000"/>
                <w:highlight w:val="none"/>
                <w:lang w:val="en-US" w:eastAsia="zh-CN"/>
              </w:rPr>
              <w:t>船东</w:t>
            </w:r>
            <w:r>
              <w:rPr>
                <w:rFonts w:hint="default" w:ascii="Times New Roman" w:hAnsi="Times New Roman" w:cs="Times New Roman"/>
                <w:color w:val="000000"/>
                <w:highlight w:val="none"/>
              </w:rPr>
              <w:t>和接收单位应做好接收污染物记录，以备核查。</w:t>
            </w:r>
          </w:p>
          <w:p w14:paraId="14FBCB35">
            <w:pPr>
              <w:keepNext w:val="0"/>
              <w:keepLines w:val="0"/>
              <w:pageBreakBefore w:val="0"/>
              <w:widowControl w:val="0"/>
              <w:numPr>
                <w:ilvl w:val="0"/>
                <w:numId w:val="9"/>
              </w:numPr>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施工机械、车辆等冲洗应到本工程专设的冲洗场地进行，该部分废水经隔油沉淀处理达标后可回用于设备冲洗，含油污泥交由有资质的单位处理。</w:t>
            </w:r>
          </w:p>
          <w:p w14:paraId="0A4DB6AE">
            <w:pPr>
              <w:keepNext w:val="0"/>
              <w:keepLines w:val="0"/>
              <w:pageBreakBefore w:val="0"/>
              <w:widowControl w:val="0"/>
              <w:numPr>
                <w:ilvl w:val="0"/>
                <w:numId w:val="9"/>
              </w:numPr>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项目施工人员拟租用</w:t>
            </w:r>
            <w:r>
              <w:rPr>
                <w:rFonts w:hint="default" w:ascii="Times New Roman" w:hAnsi="Times New Roman" w:cs="Times New Roman"/>
                <w:color w:val="000000"/>
                <w:highlight w:val="none"/>
                <w:lang w:eastAsia="zh-CN"/>
              </w:rPr>
              <w:t>沃口村</w:t>
            </w:r>
            <w:r>
              <w:rPr>
                <w:rFonts w:hint="default" w:ascii="Times New Roman" w:hAnsi="Times New Roman" w:cs="Times New Roman"/>
                <w:color w:val="000000"/>
                <w:highlight w:val="none"/>
              </w:rPr>
              <w:t>民房，不设置集中生活营地。施工生活污水依托</w:t>
            </w:r>
            <w:r>
              <w:rPr>
                <w:rFonts w:hint="default" w:ascii="Times New Roman" w:hAnsi="Times New Roman" w:cs="Times New Roman"/>
                <w:color w:val="000000"/>
                <w:highlight w:val="none"/>
                <w:lang w:eastAsia="zh-CN"/>
              </w:rPr>
              <w:t>沃口村</w:t>
            </w:r>
            <w:r>
              <w:rPr>
                <w:rFonts w:hint="default" w:ascii="Times New Roman" w:hAnsi="Times New Roman" w:cs="Times New Roman"/>
                <w:color w:val="000000"/>
                <w:highlight w:val="none"/>
              </w:rPr>
              <w:t>民房现有的化粪池处理</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禁止向海域排放</w:t>
            </w:r>
            <w:r>
              <w:rPr>
                <w:rFonts w:hint="default" w:ascii="Times New Roman" w:hAnsi="Times New Roman" w:cs="Times New Roman"/>
                <w:color w:val="000000"/>
                <w:highlight w:val="none"/>
              </w:rPr>
              <w:t>。</w:t>
            </w:r>
          </w:p>
          <w:p w14:paraId="65C0DA92">
            <w:pPr>
              <w:keepNext w:val="0"/>
              <w:keepLines w:val="0"/>
              <w:pageBreakBefore w:val="0"/>
              <w:widowControl w:val="0"/>
              <w:numPr>
                <w:ilvl w:val="0"/>
                <w:numId w:val="9"/>
              </w:numPr>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严禁施工船舶向施工海域排放废油、残油等污染物；不得在施工区域清洗油舱和有污染物质的容器。</w:t>
            </w:r>
          </w:p>
          <w:p w14:paraId="2D7059EE">
            <w:pPr>
              <w:pStyle w:val="4"/>
              <w:bidi w:val="0"/>
              <w:rPr>
                <w:rFonts w:hint="default" w:ascii="Times New Roman" w:hAnsi="Times New Roman" w:cs="Times New Roman"/>
                <w:color w:val="000000"/>
                <w:highlight w:val="none"/>
              </w:rPr>
            </w:pPr>
            <w:bookmarkStart w:id="489" w:name="_Toc5754"/>
            <w:bookmarkStart w:id="490" w:name="_Toc28766"/>
            <w:r>
              <w:rPr>
                <w:rFonts w:hint="default" w:ascii="Times New Roman" w:hAnsi="Times New Roman" w:cs="Times New Roman"/>
                <w:color w:val="000000"/>
                <w:highlight w:val="none"/>
              </w:rPr>
              <w:t>施工期大气污染防治措施</w:t>
            </w:r>
            <w:bookmarkEnd w:id="489"/>
            <w:bookmarkEnd w:id="490"/>
          </w:p>
          <w:p w14:paraId="7AD5C182">
            <w:pPr>
              <w:keepNext w:val="0"/>
              <w:keepLines w:val="0"/>
              <w:pageBreakBefore w:val="0"/>
              <w:widowControl w:val="0"/>
              <w:numPr>
                <w:ilvl w:val="0"/>
                <w:numId w:val="10"/>
              </w:numPr>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要求施工场地配备洒水车，定时洒水，施工主干道路面和进港道路要定时清扫和喷洒水，并尽量要求运输车辆减缓行车速度，以减少汽车行驶扰动起来的扬尘。</w:t>
            </w:r>
          </w:p>
          <w:p w14:paraId="2B70647F">
            <w:pPr>
              <w:keepNext w:val="0"/>
              <w:keepLines w:val="0"/>
              <w:pageBreakBefore w:val="0"/>
              <w:widowControl w:val="0"/>
              <w:numPr>
                <w:ilvl w:val="0"/>
                <w:numId w:val="10"/>
              </w:numPr>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运输建筑渣土的车辆必须净车出场，不得超载，装料高度不得高于车厢边缘高度，并采用加盖篷布和洒水的方法，以防止土石泄漏，增加道路路面土石粉尘。同时应根据天气情况，合理安排施工，应尽量避免大风天气下进行易起扬尘的工序施工。</w:t>
            </w:r>
          </w:p>
          <w:p w14:paraId="09971E2B">
            <w:pPr>
              <w:keepNext w:val="0"/>
              <w:keepLines w:val="0"/>
              <w:pageBreakBefore w:val="0"/>
              <w:widowControl w:val="0"/>
              <w:numPr>
                <w:ilvl w:val="0"/>
                <w:numId w:val="10"/>
              </w:numPr>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施工过程中产生的弃料及其他建筑垃圾，应及时清运。若在工地内堆置超过一周的，则应覆盖防尘网，并定期喷水压尘。</w:t>
            </w:r>
          </w:p>
          <w:p w14:paraId="0CDE7FB1">
            <w:pPr>
              <w:keepNext w:val="0"/>
              <w:keepLines w:val="0"/>
              <w:pageBreakBefore w:val="0"/>
              <w:widowControl w:val="0"/>
              <w:numPr>
                <w:ilvl w:val="0"/>
                <w:numId w:val="10"/>
              </w:numPr>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施工过程中使用水泥、石灰、砂石、涂料、铺装材料等易产生扬尘的建筑材料，应采取防尘措施，如密闭存储、设置围挡或堆砌围墙、采用防尘布苫盖、其他有效的防尘措施。</w:t>
            </w:r>
          </w:p>
          <w:p w14:paraId="42A4C3F9">
            <w:pPr>
              <w:keepNext w:val="0"/>
              <w:keepLines w:val="0"/>
              <w:pageBreakBefore w:val="0"/>
              <w:widowControl w:val="0"/>
              <w:numPr>
                <w:ilvl w:val="0"/>
                <w:numId w:val="10"/>
              </w:numPr>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所有施工车辆、机械的尾气应达到国家规定的尾气排放标准，注意施工机械养护，并做好施工工艺安排。</w:t>
            </w:r>
          </w:p>
          <w:p w14:paraId="6690B60C">
            <w:pPr>
              <w:keepNext w:val="0"/>
              <w:keepLines w:val="0"/>
              <w:pageBreakBefore w:val="0"/>
              <w:widowControl w:val="0"/>
              <w:numPr>
                <w:ilvl w:val="0"/>
                <w:numId w:val="10"/>
              </w:numPr>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加强施工船舶和施工车辆的合理调配，尽量压缩工区内施工机械密度，以减少尾气的排放。</w:t>
            </w:r>
          </w:p>
          <w:p w14:paraId="321046CB">
            <w:pPr>
              <w:pStyle w:val="4"/>
              <w:bidi w:val="0"/>
              <w:rPr>
                <w:rFonts w:hint="default" w:ascii="Times New Roman" w:hAnsi="Times New Roman" w:cs="Times New Roman"/>
                <w:color w:val="000000"/>
                <w:highlight w:val="none"/>
              </w:rPr>
            </w:pPr>
            <w:bookmarkStart w:id="491" w:name="_Toc6619"/>
            <w:bookmarkStart w:id="492" w:name="_Toc1559"/>
            <w:r>
              <w:rPr>
                <w:rFonts w:hint="default" w:ascii="Times New Roman" w:hAnsi="Times New Roman" w:cs="Times New Roman"/>
                <w:color w:val="000000"/>
                <w:highlight w:val="none"/>
              </w:rPr>
              <w:t>施工期声环境保护措施</w:t>
            </w:r>
            <w:bookmarkEnd w:id="491"/>
            <w:bookmarkEnd w:id="492"/>
          </w:p>
          <w:p w14:paraId="090EE8E2">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rPr>
              <w:t>由于本工程码头区域距离后方</w:t>
            </w:r>
            <w:r>
              <w:rPr>
                <w:rFonts w:hint="default" w:ascii="Times New Roman" w:hAnsi="Times New Roman" w:cs="Times New Roman"/>
                <w:color w:val="000000"/>
                <w:highlight w:val="none"/>
                <w:lang w:val="en-US" w:eastAsia="zh-CN"/>
              </w:rPr>
              <w:t>沃口</w:t>
            </w:r>
            <w:r>
              <w:rPr>
                <w:rFonts w:hint="default" w:ascii="Times New Roman" w:hAnsi="Times New Roman" w:cs="Times New Roman"/>
                <w:color w:val="000000"/>
                <w:highlight w:val="none"/>
              </w:rPr>
              <w:t>村居民区较远，基本不会对周边居民区的声环境产生影响</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但</w:t>
            </w:r>
            <w:r>
              <w:rPr>
                <w:rFonts w:hint="default" w:ascii="Times New Roman" w:hAnsi="Times New Roman" w:cs="Times New Roman"/>
                <w:color w:val="000000"/>
                <w:highlight w:val="none"/>
                <w:lang w:val="en-US" w:eastAsia="zh-CN"/>
              </w:rPr>
              <w:t>后方陆域部分与沃口村居民区最近距离约74m，因此</w:t>
            </w:r>
            <w:r>
              <w:rPr>
                <w:rFonts w:hint="default" w:ascii="Times New Roman" w:hAnsi="Times New Roman" w:cs="Times New Roman"/>
                <w:color w:val="000000"/>
                <w:highlight w:val="none"/>
              </w:rPr>
              <w:t>建设单位仍应在</w:t>
            </w:r>
            <w:r>
              <w:rPr>
                <w:rFonts w:hint="default" w:ascii="Times New Roman" w:hAnsi="Times New Roman" w:cs="Times New Roman"/>
                <w:color w:val="000000"/>
                <w:highlight w:val="none"/>
                <w:lang w:val="en-US" w:eastAsia="zh-CN"/>
              </w:rPr>
              <w:t>后方陆域建设期间避免</w:t>
            </w:r>
            <w:r>
              <w:rPr>
                <w:rFonts w:hint="default" w:ascii="Times New Roman" w:hAnsi="Times New Roman" w:cs="Times New Roman"/>
                <w:color w:val="000000"/>
                <w:highlight w:val="none"/>
              </w:rPr>
              <w:t>夜间和午休时段进行高噪声项目施工</w:t>
            </w:r>
            <w:r>
              <w:rPr>
                <w:rFonts w:hint="default" w:ascii="Times New Roman" w:hAnsi="Times New Roman" w:cs="Times New Roman"/>
                <w:color w:val="000000"/>
                <w:highlight w:val="none"/>
                <w:lang w:eastAsia="zh-CN"/>
              </w:rPr>
              <w:t>。</w:t>
            </w:r>
          </w:p>
          <w:p w14:paraId="363F57E4">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建议采取的措施包括：</w:t>
            </w:r>
          </w:p>
          <w:p w14:paraId="2A01A420">
            <w:pPr>
              <w:keepNext w:val="0"/>
              <w:keepLines w:val="0"/>
              <w:pageBreakBefore w:val="0"/>
              <w:widowControl w:val="0"/>
              <w:numPr>
                <w:ilvl w:val="0"/>
                <w:numId w:val="11"/>
              </w:numPr>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强噪声的施工机械夜间（22:00～次日6:00）应停止施工作业。必须连续施工的工点，施工单位应视具体情况向当地生态环境部门申领夜间施工证，同时发布公告。</w:t>
            </w:r>
          </w:p>
          <w:p w14:paraId="13C83734">
            <w:pPr>
              <w:keepNext w:val="0"/>
              <w:keepLines w:val="0"/>
              <w:pageBreakBefore w:val="0"/>
              <w:widowControl w:val="0"/>
              <w:numPr>
                <w:ilvl w:val="0"/>
                <w:numId w:val="11"/>
              </w:numPr>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选用效率高、噪声低的施工机械设备和大型运输车辆进入工地施工，而不选用噪声大、效率低的农用车、拖拉机进入工地参与施工，同时尽量缩短工期，减少施工噪声影响的时间。</w:t>
            </w:r>
          </w:p>
          <w:p w14:paraId="7C2F8AC2">
            <w:pPr>
              <w:keepNext w:val="0"/>
              <w:keepLines w:val="0"/>
              <w:pageBreakBefore w:val="0"/>
              <w:widowControl w:val="0"/>
              <w:numPr>
                <w:ilvl w:val="0"/>
                <w:numId w:val="11"/>
              </w:numPr>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加强对机械设备的维护保养和正确操作，保证在良好的条件下使用，减少运行噪声。</w:t>
            </w:r>
          </w:p>
          <w:p w14:paraId="4A43A40C">
            <w:pPr>
              <w:keepNext w:val="0"/>
              <w:keepLines w:val="0"/>
              <w:pageBreakBefore w:val="0"/>
              <w:widowControl w:val="0"/>
              <w:numPr>
                <w:ilvl w:val="0"/>
                <w:numId w:val="11"/>
              </w:numPr>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加强对运输车辆的管理，运输路线尽量绕开周围的村庄、学校、医院等，禁止沿途进出村庄居民区时车辆鸣笛，维持车辆的良好运行状态降低运行噪声。</w:t>
            </w:r>
          </w:p>
          <w:p w14:paraId="4CABA7D3">
            <w:pPr>
              <w:keepNext w:val="0"/>
              <w:keepLines w:val="0"/>
              <w:pageBreakBefore w:val="0"/>
              <w:widowControl w:val="0"/>
              <w:numPr>
                <w:ilvl w:val="0"/>
                <w:numId w:val="11"/>
              </w:numPr>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做好施工船舶、机械和运输车辆的调度和交通疏导工作，减少车船鸣笛，降低交通噪声。</w:t>
            </w:r>
          </w:p>
          <w:p w14:paraId="4456E7F1">
            <w:pPr>
              <w:keepNext w:val="0"/>
              <w:keepLines w:val="0"/>
              <w:pageBreakBefore w:val="0"/>
              <w:widowControl w:val="0"/>
              <w:numPr>
                <w:ilvl w:val="0"/>
                <w:numId w:val="11"/>
              </w:numPr>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运输车辆尽量在昼间工作，以免进出道路附近居民夜间受交通噪声干扰；若需夜间运输，经过居民区时应限制车速和鸣号。超限设备应避开夜间及午间休息时段施工。</w:t>
            </w:r>
          </w:p>
          <w:p w14:paraId="49682131">
            <w:pPr>
              <w:keepNext w:val="0"/>
              <w:keepLines w:val="0"/>
              <w:pageBreakBefore w:val="0"/>
              <w:widowControl w:val="0"/>
              <w:numPr>
                <w:ilvl w:val="0"/>
                <w:numId w:val="11"/>
              </w:numPr>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施工期应严格执行国家或地方对施工噪声的管制条例，施工场界执行《建筑施工噪声排放标准》（GB12523-2025）。</w:t>
            </w:r>
          </w:p>
          <w:p w14:paraId="401EAD9D">
            <w:pPr>
              <w:pStyle w:val="4"/>
              <w:bidi w:val="0"/>
              <w:rPr>
                <w:rFonts w:hint="default" w:ascii="Times New Roman" w:hAnsi="Times New Roman" w:cs="Times New Roman"/>
                <w:color w:val="000000"/>
                <w:highlight w:val="none"/>
              </w:rPr>
            </w:pPr>
            <w:bookmarkStart w:id="493" w:name="_Toc20371"/>
            <w:bookmarkStart w:id="494" w:name="_Toc27348"/>
            <w:r>
              <w:rPr>
                <w:rFonts w:hint="default" w:ascii="Times New Roman" w:hAnsi="Times New Roman" w:cs="Times New Roman"/>
                <w:color w:val="000000"/>
                <w:highlight w:val="none"/>
              </w:rPr>
              <w:t>施工期固体废物保护措施</w:t>
            </w:r>
            <w:bookmarkEnd w:id="493"/>
            <w:bookmarkEnd w:id="494"/>
          </w:p>
          <w:p w14:paraId="43A5EB38">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本工程施工期产生的固体废物主要为船舶垃圾、生活垃圾、建筑垃圾和开挖弃方。应采取以下措施：</w:t>
            </w:r>
          </w:p>
          <w:p w14:paraId="2D8C547A">
            <w:pPr>
              <w:keepNext w:val="0"/>
              <w:keepLines w:val="0"/>
              <w:pageBreakBefore w:val="0"/>
              <w:widowControl w:val="0"/>
              <w:numPr>
                <w:ilvl w:val="0"/>
                <w:numId w:val="12"/>
              </w:numPr>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施工船舶垃圾应做好日常的收集、分类与储存工作，靠岸后由具有资质的船舶污染物接收单位负责接收处置，严禁将船舶垃圾倾倒入海。</w:t>
            </w:r>
          </w:p>
          <w:p w14:paraId="21E866C2">
            <w:pPr>
              <w:keepNext w:val="0"/>
              <w:keepLines w:val="0"/>
              <w:pageBreakBefore w:val="0"/>
              <w:widowControl w:val="0"/>
              <w:numPr>
                <w:ilvl w:val="0"/>
                <w:numId w:val="12"/>
              </w:numPr>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建筑垃圾中可利用的物料较多，施工单位应分类收集回收利用；不可回收的部分集中收集后交由环卫部门转运至市政垃圾</w:t>
            </w:r>
            <w:r>
              <w:rPr>
                <w:rFonts w:hint="default" w:ascii="Times New Roman" w:hAnsi="Times New Roman" w:cs="Times New Roman"/>
                <w:color w:val="000000"/>
                <w:highlight w:val="none"/>
                <w:lang w:eastAsia="zh-CN"/>
              </w:rPr>
              <w:t>处理厂</w:t>
            </w:r>
            <w:r>
              <w:rPr>
                <w:rFonts w:hint="default" w:ascii="Times New Roman" w:hAnsi="Times New Roman" w:cs="Times New Roman"/>
                <w:color w:val="000000"/>
                <w:highlight w:val="none"/>
              </w:rPr>
              <w:t>处置，严禁随意抛弃。</w:t>
            </w:r>
          </w:p>
          <w:p w14:paraId="1410EF76">
            <w:pPr>
              <w:keepNext w:val="0"/>
              <w:keepLines w:val="0"/>
              <w:pageBreakBefore w:val="0"/>
              <w:widowControl w:val="0"/>
              <w:numPr>
                <w:ilvl w:val="0"/>
                <w:numId w:val="12"/>
              </w:numPr>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施工场地的生活垃圾应设临时垃圾箱及时收集，及时清运，不得抛入海中，应及时由环卫部门清运处理。</w:t>
            </w:r>
          </w:p>
          <w:p w14:paraId="00611FB4">
            <w:pPr>
              <w:keepNext w:val="0"/>
              <w:keepLines w:val="0"/>
              <w:pageBreakBefore w:val="0"/>
              <w:widowControl w:val="0"/>
              <w:numPr>
                <w:ilvl w:val="0"/>
                <w:numId w:val="12"/>
              </w:numPr>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机械保养产生的</w:t>
            </w:r>
            <w:r>
              <w:rPr>
                <w:rFonts w:hint="default" w:ascii="Times New Roman" w:hAnsi="Times New Roman" w:cs="Times New Roman"/>
                <w:color w:val="000000"/>
                <w:highlight w:val="none"/>
                <w:lang w:val="en-US" w:eastAsia="zh-CN"/>
              </w:rPr>
              <w:t>含油抹布、手套</w:t>
            </w:r>
            <w:r>
              <w:rPr>
                <w:rFonts w:hint="default" w:ascii="Times New Roman" w:hAnsi="Times New Roman" w:cs="Times New Roman"/>
                <w:color w:val="000000"/>
                <w:highlight w:val="none"/>
              </w:rPr>
              <w:t>可不按危险废物管理，并入生活垃圾处理；机械保养产生的</w:t>
            </w:r>
            <w:r>
              <w:rPr>
                <w:rFonts w:hint="default" w:ascii="Times New Roman" w:hAnsi="Times New Roman" w:cs="Times New Roman"/>
                <w:color w:val="000000"/>
                <w:highlight w:val="none"/>
                <w:lang w:val="en-US" w:eastAsia="zh-CN"/>
              </w:rPr>
              <w:t>废机油、</w:t>
            </w:r>
            <w:r>
              <w:rPr>
                <w:rFonts w:hint="default" w:ascii="Times New Roman" w:hAnsi="Times New Roman" w:cs="Times New Roman"/>
                <w:color w:val="000000"/>
                <w:highlight w:val="none"/>
              </w:rPr>
              <w:t>隔油沉淀池的废油、污泥按危险废物管理，委托有资质单位接收处理。</w:t>
            </w:r>
          </w:p>
          <w:p w14:paraId="70176D8A">
            <w:pPr>
              <w:keepNext w:val="0"/>
              <w:keepLines w:val="0"/>
              <w:pageBreakBefore w:val="0"/>
              <w:widowControl w:val="0"/>
              <w:numPr>
                <w:ilvl w:val="0"/>
                <w:numId w:val="12"/>
              </w:numPr>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施工单位应将施工现场零散材料堆场地面尽量硬化。在施工区内设置废弃物收集点、垃圾箱和卫生责任区，经常清理各类施工垃圾，并确定责任人定期清理。</w:t>
            </w:r>
          </w:p>
          <w:p w14:paraId="353A286A">
            <w:pPr>
              <w:keepNext w:val="0"/>
              <w:keepLines w:val="0"/>
              <w:pageBreakBefore w:val="0"/>
              <w:widowControl w:val="0"/>
              <w:numPr>
                <w:ilvl w:val="0"/>
                <w:numId w:val="12"/>
              </w:numPr>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加强对施工单位的监督管理，严禁将施工垃圾倾倒至项目区附近海域。</w:t>
            </w:r>
          </w:p>
          <w:p w14:paraId="6CA73F61">
            <w:pPr>
              <w:keepNext w:val="0"/>
              <w:keepLines w:val="0"/>
              <w:pageBreakBefore w:val="0"/>
              <w:widowControl w:val="0"/>
              <w:numPr>
                <w:ilvl w:val="0"/>
                <w:numId w:val="12"/>
              </w:numPr>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根据</w:t>
            </w:r>
            <w:r>
              <w:rPr>
                <w:rFonts w:hint="default" w:ascii="Times New Roman" w:hAnsi="Times New Roman" w:cs="Times New Roman"/>
                <w:color w:val="000000"/>
                <w:highlight w:val="none"/>
                <w:lang w:val="en-US" w:eastAsia="zh-CN"/>
              </w:rPr>
              <w:t>《福建省福清海亮沃口一级渔港工程水土保持方案报告书》及其批复（附件17），本工程陆域形成余方511.44万m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、南防波堤工程余方13.58万m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、东防波堤工程余方5.28万m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和港池疏浚物</w:t>
            </w:r>
            <w:r>
              <w:rPr>
                <w:rFonts w:hint="default" w:ascii="Times New Roman" w:hAnsi="Times New Roman" w:cs="Times New Roman"/>
                <w:color w:val="000000"/>
                <w:highlight w:val="none"/>
              </w:rPr>
              <w:t>4.84万</w:t>
            </w:r>
            <w:r>
              <w:rPr>
                <w:rFonts w:hint="default" w:ascii="Times New Roman" w:hAnsi="Times New Roman" w:cs="Times New Roman"/>
                <w:color w:val="000000"/>
                <w:highlight w:val="none"/>
                <w:lang w:val="en-US" w:eastAsia="zh-CN"/>
              </w:rPr>
              <w:t>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等施工产生弃方合计535.14万m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eastAsia="zh-CN"/>
              </w:rPr>
              <w:t>。根据《福清市人民政府关于印发福清市建设工程项目涉及砂石资源处置监管工作方案（试行）的通知》（融政发〔2022〕6号），后方陆域山体开挖整平由福清市自然资源和规划局委托相关单位进行，剩余砂石资源（含淤泥）由属地政府进行公开有偿化处置。</w:t>
            </w:r>
          </w:p>
          <w:p w14:paraId="49B59E4E">
            <w:pPr>
              <w:keepNext w:val="0"/>
              <w:keepLines w:val="0"/>
              <w:pageBreakBefore w:val="0"/>
              <w:widowControl w:val="0"/>
              <w:numPr>
                <w:ilvl w:val="0"/>
                <w:numId w:val="12"/>
              </w:numPr>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运输过程中应限制装载量，防止超载，应经常检查</w:t>
            </w:r>
            <w:r>
              <w:rPr>
                <w:rFonts w:hint="default" w:ascii="Times New Roman" w:hAnsi="Times New Roman" w:cs="Times New Roman"/>
                <w:color w:val="000000"/>
                <w:highlight w:val="none"/>
                <w:lang w:val="en-US" w:eastAsia="zh-CN"/>
              </w:rPr>
              <w:t>运输车辆</w:t>
            </w:r>
            <w:r>
              <w:rPr>
                <w:rFonts w:hint="default" w:ascii="Times New Roman" w:hAnsi="Times New Roman" w:cs="Times New Roman"/>
                <w:color w:val="000000"/>
                <w:highlight w:val="none"/>
              </w:rPr>
              <w:t>的密封性能，控制泥门开关的传动装置应经常维修保养，及时更换液压杆上的密封圈，以免液压系统失控导致泥门关闭不严。确保泥门关闭，以防弃方外溢。</w:t>
            </w:r>
          </w:p>
          <w:p w14:paraId="33EFC16B">
            <w:pPr>
              <w:pStyle w:val="4"/>
              <w:bidi w:val="0"/>
              <w:rPr>
                <w:rFonts w:hint="default" w:ascii="Times New Roman" w:hAnsi="Times New Roman" w:cs="Times New Roman"/>
                <w:color w:val="000000"/>
                <w:highlight w:val="none"/>
              </w:rPr>
            </w:pPr>
            <w:bookmarkStart w:id="495" w:name="_Toc4259"/>
            <w:bookmarkStart w:id="496" w:name="_Toc5846"/>
            <w:r>
              <w:rPr>
                <w:rFonts w:hint="default" w:ascii="Times New Roman" w:hAnsi="Times New Roman" w:cs="Times New Roman"/>
                <w:color w:val="000000"/>
                <w:highlight w:val="none"/>
              </w:rPr>
              <w:t>施工期海洋生态环境保护措施</w:t>
            </w:r>
            <w:bookmarkEnd w:id="495"/>
            <w:bookmarkEnd w:id="496"/>
          </w:p>
          <w:p w14:paraId="72F0EEFB">
            <w:pPr>
              <w:keepNext w:val="0"/>
              <w:keepLines w:val="0"/>
              <w:pageBreakBefore w:val="0"/>
              <w:widowControl w:val="0"/>
              <w:numPr>
                <w:ilvl w:val="0"/>
                <w:numId w:val="13"/>
              </w:numPr>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基槽开挖</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港池疏浚</w:t>
            </w:r>
            <w:r>
              <w:rPr>
                <w:rFonts w:hint="default" w:ascii="Times New Roman" w:hAnsi="Times New Roman" w:cs="Times New Roman"/>
                <w:color w:val="000000"/>
                <w:highlight w:val="none"/>
              </w:rPr>
              <w:t>和防波堤施工尽量利用退潮露滩时或低潮期间进行施工，以减轻施工过程泥沙流失对海水水质、海洋生态的影响。</w:t>
            </w:r>
          </w:p>
          <w:p w14:paraId="52BEFB76">
            <w:pPr>
              <w:keepNext w:val="0"/>
              <w:keepLines w:val="0"/>
              <w:pageBreakBefore w:val="0"/>
              <w:widowControl w:val="0"/>
              <w:numPr>
                <w:ilvl w:val="0"/>
                <w:numId w:val="13"/>
              </w:numPr>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严格禁止向海域倾倒各种垃圾和排放未达标的含油废水，以及其他有毒有害废水。</w:t>
            </w:r>
          </w:p>
          <w:p w14:paraId="0AA4A875">
            <w:pPr>
              <w:keepNext w:val="0"/>
              <w:keepLines w:val="0"/>
              <w:pageBreakBefore w:val="0"/>
              <w:widowControl w:val="0"/>
              <w:numPr>
                <w:ilvl w:val="0"/>
                <w:numId w:val="13"/>
              </w:numPr>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基槽开挖、</w:t>
            </w:r>
            <w:r>
              <w:rPr>
                <w:rFonts w:hint="default" w:ascii="Times New Roman" w:hAnsi="Times New Roman" w:cs="Times New Roman"/>
                <w:color w:val="000000"/>
                <w:highlight w:val="none"/>
                <w:lang w:val="en-US" w:eastAsia="zh-CN"/>
              </w:rPr>
              <w:t>港池疏浚</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抛石等作业尽量避开渔业资源繁殖季节，以减少对鱼卵仔鱼的影响。</w:t>
            </w:r>
          </w:p>
          <w:p w14:paraId="67C0AD73">
            <w:pPr>
              <w:keepNext w:val="0"/>
              <w:keepLines w:val="0"/>
              <w:pageBreakBefore w:val="0"/>
              <w:widowControl w:val="0"/>
              <w:numPr>
                <w:ilvl w:val="0"/>
                <w:numId w:val="13"/>
              </w:numPr>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做好施工期周边海域海洋环境跟踪监测，及时了解海洋生态环境变化情况。</w:t>
            </w:r>
          </w:p>
          <w:p w14:paraId="17268EEC">
            <w:pPr>
              <w:keepNext w:val="0"/>
              <w:keepLines w:val="0"/>
              <w:pageBreakBefore w:val="0"/>
              <w:widowControl w:val="0"/>
              <w:numPr>
                <w:ilvl w:val="0"/>
                <w:numId w:val="13"/>
              </w:numPr>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u w:val="none"/>
              </w:rPr>
            </w:pPr>
            <w:r>
              <w:rPr>
                <w:rFonts w:hint="default" w:ascii="Times New Roman" w:hAnsi="Times New Roman" w:cs="Times New Roman"/>
                <w:color w:val="000000"/>
                <w:highlight w:val="none"/>
              </w:rPr>
              <w:t>建设单位应根据当地渔业主管部门要求落实生态补偿措施。本工程生态补偿费用为</w:t>
            </w:r>
            <w:r>
              <w:rPr>
                <w:rFonts w:hint="eastAsia" w:cs="Times New Roman"/>
                <w:color w:val="000000"/>
                <w:highlight w:val="none"/>
                <w:lang w:val="en-US" w:eastAsia="zh-CN"/>
              </w:rPr>
              <w:t>241</w:t>
            </w:r>
            <w:r>
              <w:rPr>
                <w:rFonts w:hint="default" w:ascii="Times New Roman" w:hAnsi="Times New Roman" w:cs="Times New Roman"/>
                <w:color w:val="000000"/>
                <w:highlight w:val="none"/>
                <w:lang w:eastAsia="zh-CN"/>
              </w:rPr>
              <w:t>万元</w:t>
            </w:r>
            <w:r>
              <w:rPr>
                <w:rFonts w:hint="default" w:ascii="Times New Roman" w:hAnsi="Times New Roman" w:cs="Times New Roman"/>
                <w:color w:val="000000"/>
                <w:highlight w:val="none"/>
              </w:rPr>
              <w:t>，建议通过渔业资源增殖放流</w:t>
            </w:r>
            <w:r>
              <w:rPr>
                <w:rFonts w:hint="default" w:ascii="Times New Roman" w:hAnsi="Times New Roman" w:cs="Times New Roman"/>
                <w:color w:val="000000"/>
                <w:highlight w:val="none"/>
                <w:lang w:val="en-US" w:eastAsia="zh-CN"/>
              </w:rPr>
              <w:t>进行</w:t>
            </w:r>
            <w:r>
              <w:rPr>
                <w:rFonts w:hint="default" w:ascii="Times New Roman" w:hAnsi="Times New Roman" w:cs="Times New Roman"/>
                <w:color w:val="000000"/>
                <w:highlight w:val="none"/>
              </w:rPr>
              <w:t>补偿。</w:t>
            </w:r>
            <w:r>
              <w:rPr>
                <w:rFonts w:hint="default" w:ascii="Times New Roman" w:hAnsi="Times New Roman" w:cs="Times New Roman"/>
                <w:color w:val="000000"/>
                <w:highlight w:val="none"/>
                <w:lang w:val="en-US" w:eastAsia="zh-CN"/>
              </w:rPr>
              <w:t>应</w:t>
            </w:r>
            <w:r>
              <w:rPr>
                <w:rFonts w:hint="default" w:ascii="Times New Roman" w:hAnsi="Times New Roman" w:cs="Times New Roman"/>
                <w:color w:val="000000"/>
                <w:highlight w:val="none"/>
                <w:u w:val="none"/>
                <w:lang w:val="en-US" w:eastAsia="zh-CN"/>
              </w:rPr>
              <w:t>按照《水生生物增殖放流技术规程》（SC/T 9401-2010）、《农业农村部办公厅关于进一步做好水生生物增殖放流工作的通知》（农办渔〔2024〕5号）等要求开展增殖放流工作，</w:t>
            </w:r>
            <w:r>
              <w:rPr>
                <w:rFonts w:hint="default" w:ascii="Times New Roman" w:hAnsi="Times New Roman" w:cs="Times New Roman"/>
                <w:color w:val="000000"/>
                <w:highlight w:val="none"/>
              </w:rPr>
              <w:t>建设单位可委托</w:t>
            </w:r>
            <w:r>
              <w:rPr>
                <w:rFonts w:hint="default" w:ascii="Times New Roman" w:hAnsi="Times New Roman" w:cs="Times New Roman"/>
                <w:color w:val="000000"/>
                <w:highlight w:val="none"/>
                <w:lang w:val="en-US" w:eastAsia="zh-CN"/>
              </w:rPr>
              <w:t>第三方单位</w:t>
            </w:r>
            <w:r>
              <w:rPr>
                <w:rFonts w:hint="default" w:ascii="Times New Roman" w:hAnsi="Times New Roman" w:cs="Times New Roman"/>
                <w:color w:val="000000"/>
                <w:highlight w:val="none"/>
              </w:rPr>
              <w:t>编制人工增殖放流方案</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增殖放流可采用放流游泳</w:t>
            </w:r>
            <w:r>
              <w:rPr>
                <w:rFonts w:hint="default" w:ascii="Times New Roman" w:hAnsi="Times New Roman" w:cs="Times New Roman"/>
                <w:color w:val="000000"/>
                <w:highlight w:val="none"/>
                <w:lang w:val="en-US" w:eastAsia="zh-CN"/>
              </w:rPr>
              <w:t>动物</w:t>
            </w:r>
            <w:r>
              <w:rPr>
                <w:rFonts w:hint="default" w:ascii="Times New Roman" w:hAnsi="Times New Roman" w:cs="Times New Roman"/>
                <w:color w:val="000000"/>
                <w:highlight w:val="none"/>
              </w:rPr>
              <w:t>、贝类底播等方式进行，增殖放流时间应选择5-6月，放流品种应满足适宜当地海域生长、不造成生态危害、具有较高的经济价值等条件，实施前应向渔业主管部门报备，并在渔业主管部门现场监督下实施。</w:t>
            </w:r>
            <w:bookmarkEnd w:id="485"/>
            <w:bookmarkEnd w:id="486"/>
          </w:p>
        </w:tc>
      </w:tr>
      <w:tr w14:paraId="1CFC8A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8" w:type="dxa"/>
            <w:left w:w="108" w:type="dxa"/>
            <w:bottom w:w="108" w:type="dxa"/>
            <w:right w:w="108" w:type="dxa"/>
          </w:tblCellMar>
        </w:tblPrEx>
        <w:trPr>
          <w:trHeight w:val="5670" w:hRule="atLeast"/>
          <w:jc w:val="center"/>
        </w:trPr>
        <w:tc>
          <w:tcPr>
            <w:tcW w:w="753" w:type="dxa"/>
            <w:noWrap w:val="0"/>
            <w:tcMar>
              <w:left w:w="28" w:type="dxa"/>
              <w:right w:w="28" w:type="dxa"/>
            </w:tcMar>
            <w:vAlign w:val="center"/>
          </w:tcPr>
          <w:p w14:paraId="56B22FE4">
            <w:pPr>
              <w:adjustRightInd w:val="0"/>
              <w:snapToGrid w:val="0"/>
              <w:spacing w:line="360" w:lineRule="auto"/>
              <w:jc w:val="center"/>
              <w:rPr>
                <w:rFonts w:hint="default" w:ascii="Times New Roman" w:hAnsi="Times New Roman" w:cs="Times New Roman"/>
                <w:bCs/>
                <w:color w:val="000000"/>
                <w:spacing w:val="10"/>
                <w:szCs w:val="21"/>
                <w:u w:val="none"/>
              </w:rPr>
            </w:pPr>
            <w:r>
              <w:rPr>
                <w:rFonts w:hint="default" w:ascii="Times New Roman" w:hAnsi="Times New Roman" w:cs="Times New Roman"/>
                <w:bCs/>
                <w:color w:val="000000"/>
                <w:spacing w:val="10"/>
                <w:szCs w:val="21"/>
                <w:u w:val="none"/>
              </w:rPr>
              <w:t>运营期生态环境保护措施</w:t>
            </w:r>
          </w:p>
        </w:tc>
        <w:tc>
          <w:tcPr>
            <w:tcW w:w="8457" w:type="dxa"/>
            <w:noWrap w:val="0"/>
            <w:vAlign w:val="top"/>
          </w:tcPr>
          <w:p w14:paraId="44B9D11A">
            <w:pPr>
              <w:pStyle w:val="3"/>
              <w:bidi w:val="0"/>
              <w:ind w:left="567" w:leftChars="0" w:hanging="567" w:firstLineChars="0"/>
              <w:rPr>
                <w:rFonts w:hint="default"/>
                <w:lang w:val="en-US" w:eastAsia="zh-CN"/>
              </w:rPr>
            </w:pPr>
            <w:bookmarkStart w:id="497" w:name="_Toc19993"/>
            <w:bookmarkStart w:id="498" w:name="_Toc19665"/>
            <w:bookmarkStart w:id="499" w:name="_Toc12165"/>
            <w:r>
              <w:rPr>
                <w:rFonts w:hint="default"/>
                <w:lang w:val="en-US" w:eastAsia="zh-CN"/>
              </w:rPr>
              <w:t>运营期生态环境保护措施</w:t>
            </w:r>
            <w:bookmarkEnd w:id="497"/>
            <w:bookmarkEnd w:id="498"/>
            <w:bookmarkEnd w:id="499"/>
          </w:p>
          <w:p w14:paraId="45A76083">
            <w:pPr>
              <w:pStyle w:val="4"/>
              <w:bidi w:val="0"/>
              <w:rPr>
                <w:rFonts w:hint="default" w:ascii="Times New Roman" w:hAnsi="Times New Roman" w:cs="Times New Roman"/>
                <w:color w:val="000000"/>
                <w:highlight w:val="none"/>
                <w:lang w:val="en-US" w:eastAsia="zh-CN"/>
              </w:rPr>
            </w:pPr>
            <w:bookmarkStart w:id="500" w:name="_Toc19085"/>
            <w:bookmarkStart w:id="501" w:name="_Toc9359"/>
            <w:bookmarkStart w:id="502" w:name="_Toc29336"/>
            <w:bookmarkStart w:id="503" w:name="_Toc3668"/>
            <w:r>
              <w:rPr>
                <w:rFonts w:hint="default" w:ascii="Times New Roman" w:hAnsi="Times New Roman" w:cs="Times New Roman"/>
                <w:color w:val="000000"/>
                <w:highlight w:val="none"/>
                <w:lang w:val="en-US" w:eastAsia="zh-CN"/>
              </w:rPr>
              <w:t>运营期水污染防治措施</w:t>
            </w:r>
            <w:bookmarkEnd w:id="500"/>
            <w:bookmarkEnd w:id="501"/>
          </w:p>
          <w:p w14:paraId="21D15A5C">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根据《船舶水污染物排放控制标准》（GB3552-2018）规定，船舶含油污水经船舶自带的油水分离器处理后，石油类污染物小于15mg/L，可在船舶航行中排放；船舶未安装油水分离器的，必须设置油污水收集舱。本项目要求未安装油水分离器的船舶，配备含油污水收集桶，待靠泊后，由船主交由海事管理部门认可的有处理能力的船舶服务公司接收处理，不在港区收集和处理，严禁直接排入附近海域。</w:t>
            </w:r>
          </w:p>
          <w:p w14:paraId="52652B89">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根据《船舶水污染物排放控制标准》（GB3552-2018）规定，在距最近陆地3海里以内（含）的海域，船舶生活污水不得直接排入环境水体，自带污水处理设施的船舶，生活污水处理后按规定条件在指定海域排放；对于无自带污水处理设施的渔船，由具备相应接收能力的污染物接收单位接收处理。本工程要求无自带生活污水处理设施的船舶，必须配备生活污水收集桶，待渔船靠泊后，由船长自行委托有资质的船舶服务公司进行处置，严禁直接排入附近海域。</w:t>
            </w:r>
          </w:p>
          <w:p w14:paraId="382384C4">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（3）渔获物在卸渔码头卸货后，在码头至卸渔区的途中，不可避免会产生滴漏，要求每天在卸渔结束后，及时对卸渔区地面进行冲洗。</w:t>
            </w:r>
          </w:p>
          <w:p w14:paraId="30F50C19">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（4）</w:t>
            </w:r>
            <w:r>
              <w:rPr>
                <w:rFonts w:hint="default" w:ascii="Times New Roman" w:hAnsi="Times New Roman" w:cs="Times New Roman"/>
                <w:color w:val="000000"/>
                <w:highlight w:val="none"/>
              </w:rPr>
              <w:t>码头</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卸渔区</w:t>
            </w:r>
            <w:r>
              <w:rPr>
                <w:rFonts w:hint="default" w:ascii="Times New Roman" w:hAnsi="Times New Roman" w:cs="Times New Roman"/>
                <w:color w:val="000000"/>
                <w:highlight w:val="none"/>
              </w:rPr>
              <w:t>域设置废水收集沟，</w:t>
            </w:r>
            <w:r>
              <w:rPr>
                <w:rFonts w:hint="default" w:ascii="Times New Roman" w:hAnsi="Times New Roman" w:cs="Times New Roman"/>
                <w:color w:val="000000"/>
                <w:highlight w:val="none"/>
                <w:lang w:val="en-US" w:eastAsia="zh-CN"/>
              </w:rPr>
              <w:t>冲洗</w:t>
            </w:r>
            <w:r>
              <w:rPr>
                <w:rFonts w:hint="default" w:ascii="Times New Roman" w:hAnsi="Times New Roman" w:cs="Times New Roman"/>
                <w:color w:val="000000"/>
                <w:highlight w:val="none"/>
              </w:rPr>
              <w:t>废水经收集后接入港区自建污水处理站处理</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达到</w:t>
            </w:r>
            <w:r>
              <w:rPr>
                <w:rFonts w:hint="default" w:ascii="Times New Roman" w:hAnsi="Times New Roman" w:cs="Times New Roman"/>
                <w:b w:val="0"/>
                <w:bCs w:val="0"/>
                <w:color w:val="000000"/>
                <w:sz w:val="24"/>
                <w:szCs w:val="32"/>
                <w:highlight w:val="none"/>
                <w:lang w:val="en-US" w:eastAsia="zh-CN"/>
              </w:rPr>
              <w:t>《城市污水再生利用城市杂用水水质》（GB/T 18920-2020）表1中的城市绿化、道路清扫用水标准后，回用于港区绿化灌溉、洒水及冲洗用水</w:t>
            </w:r>
            <w:r>
              <w:rPr>
                <w:rFonts w:hint="default" w:ascii="Times New Roman" w:hAnsi="Times New Roman" w:cs="Times New Roman"/>
                <w:color w:val="000000"/>
                <w:highlight w:val="none"/>
              </w:rPr>
              <w:t>。</w:t>
            </w:r>
          </w:p>
          <w:p w14:paraId="198DE6BA">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5</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拟在污水处理站前设置1个容积300</w:t>
            </w:r>
            <w:r>
              <w:rPr>
                <w:rFonts w:hint="default" w:ascii="Times New Roman" w:hAnsi="Times New Roman" w:cs="Times New Roman"/>
                <w:color w:val="000000"/>
                <w:highlight w:val="none"/>
              </w:rPr>
              <w:t>m</w:t>
            </w:r>
            <w:r>
              <w:rPr>
                <w:rFonts w:hint="default" w:ascii="Times New Roman" w:hAnsi="Times New Roman" w:cs="Times New Roman"/>
                <w:color w:val="000000"/>
                <w:highlight w:val="none"/>
                <w:vertAlign w:val="superscript"/>
              </w:rPr>
              <w:t>3</w:t>
            </w:r>
            <w:r>
              <w:rPr>
                <w:rFonts w:hint="default" w:ascii="Times New Roman" w:hAnsi="Times New Roman" w:cs="Times New Roman"/>
                <w:color w:val="000000"/>
                <w:highlight w:val="none"/>
                <w:lang w:val="en-US" w:eastAsia="zh-CN"/>
              </w:rPr>
              <w:t>的收集池，</w:t>
            </w:r>
            <w:r>
              <w:rPr>
                <w:rFonts w:hint="default" w:ascii="Times New Roman" w:hAnsi="Times New Roman" w:cs="Times New Roman"/>
                <w:color w:val="000000"/>
                <w:highlight w:val="none"/>
              </w:rPr>
              <w:t>收集池前设置转换闸门，雨天收集前15分钟初期雨水后，转换闸门，</w:t>
            </w:r>
            <w:r>
              <w:rPr>
                <w:rFonts w:hint="default" w:ascii="Times New Roman" w:hAnsi="Times New Roman" w:cs="Times New Roman"/>
                <w:color w:val="000000"/>
                <w:highlight w:val="none"/>
                <w:lang w:val="en-US" w:eastAsia="zh-CN"/>
              </w:rPr>
              <w:t>初期雨水进入污水处理站处理后回用，</w:t>
            </w:r>
            <w:r>
              <w:rPr>
                <w:rFonts w:hint="default" w:ascii="Times New Roman" w:hAnsi="Times New Roman" w:cs="Times New Roman"/>
                <w:color w:val="000000"/>
                <w:highlight w:val="none"/>
              </w:rPr>
              <w:t>15分钟后干净的雨水可通过收集管排放入海</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不下雨时冲洗废水进入收集池，进入污水处理站处理后回用。</w:t>
            </w:r>
          </w:p>
          <w:p w14:paraId="5ACB5650">
            <w:pPr>
              <w:pStyle w:val="4"/>
              <w:bidi w:val="0"/>
              <w:rPr>
                <w:rFonts w:hint="default" w:ascii="Times New Roman" w:hAnsi="Times New Roman" w:cs="Times New Roman"/>
                <w:color w:val="000000"/>
                <w:highlight w:val="none"/>
                <w:lang w:val="en-US" w:eastAsia="zh-CN"/>
              </w:rPr>
            </w:pPr>
            <w:bookmarkStart w:id="504" w:name="_Toc12958"/>
            <w:bookmarkStart w:id="505" w:name="_Toc27522"/>
            <w:r>
              <w:rPr>
                <w:rFonts w:hint="default" w:ascii="Times New Roman" w:hAnsi="Times New Roman" w:cs="Times New Roman"/>
                <w:color w:val="000000"/>
                <w:highlight w:val="none"/>
                <w:lang w:val="en-US" w:eastAsia="zh-CN"/>
              </w:rPr>
              <w:t>运营期大气污染防治措施</w:t>
            </w:r>
            <w:bookmarkEnd w:id="504"/>
            <w:bookmarkEnd w:id="505"/>
          </w:p>
          <w:p w14:paraId="4292CCD1">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运营期进出港船舶满足《船舶发动机排气污染物排放限值及测量方法（中国第一、第二阶段）（GB15097-2016）》要求，进港车辆满足《轻型汽车污染物排放限值及测量方法（中国第六阶段）》（GB18352.6-2016）的要求。</w:t>
            </w:r>
          </w:p>
          <w:p w14:paraId="28D459E5">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（2）减少卸渔尾水滴漏，卸渔区地面每日清洗；渔产品废弃临时堆存点用盖板密封，减少恶臭气体逸散；其次要做到定期清运，及时灭菌消毒，避免长时间堆存产生恶臭污染。</w:t>
            </w:r>
          </w:p>
          <w:p w14:paraId="19D988BF">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（3）建设单位应经常清理运输道路上的粉尘、对港区道路喷水增湿，减少汽车行驶产生的扬尘。</w:t>
            </w:r>
          </w:p>
          <w:p w14:paraId="049F231A">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（4）加强对船舶柴油机的运行管理，使各项性能参数和运行工况均处于最佳状态，从而减少柴油机的排放污染。尽量使用低硫分的燃油，以减少SO</w:t>
            </w:r>
            <w:r>
              <w:rPr>
                <w:rFonts w:hint="default" w:ascii="Times New Roman" w:hAnsi="Times New Roman" w:cs="Times New Roman"/>
                <w:color w:val="000000"/>
                <w:highlight w:val="none"/>
                <w:vertAlign w:val="subscript"/>
                <w:lang w:val="en-US" w:eastAsia="zh-CN"/>
              </w:rPr>
              <w:t>2</w:t>
            </w:r>
            <w:r>
              <w:rPr>
                <w:rFonts w:hint="default" w:ascii="Times New Roman" w:hAnsi="Times New Roman" w:cs="Times New Roman"/>
                <w:color w:val="000000"/>
                <w:highlight w:val="none"/>
                <w:lang w:val="en-US" w:eastAsia="zh-CN"/>
              </w:rPr>
              <w:t>的排放。减少船舶港内停泊时柴油发动机工作时间。</w:t>
            </w:r>
          </w:p>
          <w:p w14:paraId="0E264DE7">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（5）港区食堂油烟经油烟净化装置处理后至屋顶天面排放。</w:t>
            </w:r>
          </w:p>
          <w:p w14:paraId="15B7EACA">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（6）加强港区绿化，在渔港周围种植乔木和灌木绿化隔离林带，既可防控噪声影响，也可起到防尘作用。在污水处理设施周围进行绿化，减小恶臭气体对周边环境的影响。</w:t>
            </w:r>
          </w:p>
          <w:p w14:paraId="6FB08CA9">
            <w:pPr>
              <w:pStyle w:val="4"/>
              <w:bidi w:val="0"/>
              <w:rPr>
                <w:rFonts w:hint="default" w:ascii="Times New Roman" w:hAnsi="Times New Roman" w:cs="Times New Roman"/>
                <w:color w:val="000000"/>
                <w:highlight w:val="none"/>
                <w:lang w:val="en-US" w:eastAsia="zh-CN"/>
              </w:rPr>
            </w:pPr>
            <w:bookmarkStart w:id="506" w:name="_Toc21933"/>
            <w:bookmarkStart w:id="507" w:name="_Toc4886"/>
            <w:r>
              <w:rPr>
                <w:rFonts w:hint="default" w:ascii="Times New Roman" w:hAnsi="Times New Roman" w:cs="Times New Roman"/>
                <w:color w:val="000000"/>
                <w:highlight w:val="none"/>
                <w:lang w:val="en-US" w:eastAsia="zh-CN"/>
              </w:rPr>
              <w:t>运营期噪声污染防治措施</w:t>
            </w:r>
            <w:bookmarkEnd w:id="506"/>
            <w:bookmarkEnd w:id="507"/>
          </w:p>
          <w:p w14:paraId="03197A5F">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本项目噪声主要来自船舶噪声和港内道路来往车辆产生的交通噪声，建议采取以下噪声防治措施：</w:t>
            </w:r>
          </w:p>
          <w:p w14:paraId="777CA2F9">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（1）船舶靠港后应及时关闭发动机，减少船舶噪声的影响。</w:t>
            </w:r>
          </w:p>
          <w:p w14:paraId="1FC320F8">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（2）选用先进的低噪声机械设备、装置，加强机械设备的定期检修和维护。</w:t>
            </w:r>
          </w:p>
          <w:p w14:paraId="7338DC06">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（3）加强车辆管理，保持港区道路通畅，合理疏导交通，减少车辆会车鸣笛的次数，进出港车辆禁止使用高音喇叭。</w:t>
            </w:r>
          </w:p>
          <w:p w14:paraId="350D4E57">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（4）要求车辆进出港区低速行驶，港区内设置减速标志牌，尽量减轻夜间运输对途经沿线居民的影响。</w:t>
            </w:r>
          </w:p>
          <w:p w14:paraId="5F3C0DDD">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5）由于本工程码头泊位距离沃口村最近居民点约493m，码头装卸作业噪声对周边居民产生影响较小，但渔获运输车辆噪声会对沿途村庄声环境造成一定的影响，建议选用先进的低噪声机械设备、装置，加强机械设备的定期检修和维护，对发电机等高噪声的机械设备，应采取减振、隔声等措施控制噪声；严格控制夜间货物运输，在条件允许的情况下，尽可能安排在白天进行装卸作业，缩短夜间作业时间，要求车辆进出港区怠速行驶，港区内设置禁止鸣笛标志。</w:t>
            </w:r>
          </w:p>
          <w:p w14:paraId="39D30D98">
            <w:pPr>
              <w:pStyle w:val="4"/>
              <w:bidi w:val="0"/>
              <w:rPr>
                <w:rFonts w:hint="default" w:ascii="Times New Roman" w:hAnsi="Times New Roman" w:cs="Times New Roman"/>
                <w:color w:val="000000"/>
                <w:highlight w:val="none"/>
                <w:lang w:val="en-US" w:eastAsia="zh-CN"/>
              </w:rPr>
            </w:pPr>
            <w:bookmarkStart w:id="508" w:name="_Toc28590"/>
            <w:bookmarkStart w:id="509" w:name="_Toc2244"/>
            <w:r>
              <w:rPr>
                <w:rFonts w:hint="default" w:ascii="Times New Roman" w:hAnsi="Times New Roman" w:cs="Times New Roman"/>
                <w:color w:val="000000"/>
                <w:highlight w:val="none"/>
                <w:lang w:val="en-US" w:eastAsia="zh-CN"/>
              </w:rPr>
              <w:t>运营期固体废弃物污染处置措施</w:t>
            </w:r>
            <w:bookmarkEnd w:id="508"/>
            <w:bookmarkEnd w:id="509"/>
          </w:p>
          <w:p w14:paraId="4A39F71B">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（1）运营期要求船舶配备垃圾桶，分类收集生活垃圾和含油垃圾，靠岸后由船主交由海事部门认可的船舶污染接收单位接收处理，不在港区排放。</w:t>
            </w:r>
          </w:p>
          <w:p w14:paraId="0B49F90B">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（2）渔产品由渔民自行挑选后，安排车辆外运至加工点，不在港区加工。港区分选渔货产生的鱼产品废弃物，可以回收的，回收后</w:t>
            </w:r>
            <w:r>
              <w:rPr>
                <w:rFonts w:hint="default" w:ascii="Times New Roman" w:hAnsi="Times New Roman" w:cs="Times New Roman"/>
                <w:color w:val="000000"/>
                <w:highlight w:val="none"/>
              </w:rPr>
              <w:t>作为饲料或加工后作为农田、果树的肥料使用</w:t>
            </w:r>
            <w:r>
              <w:rPr>
                <w:rFonts w:hint="default" w:ascii="Times New Roman" w:hAnsi="Times New Roman" w:cs="Times New Roman"/>
                <w:color w:val="000000"/>
                <w:highlight w:val="none"/>
                <w:lang w:val="en-US" w:eastAsia="zh-CN"/>
              </w:rPr>
              <w:t>，不能回收利用的在港区设置渔产品废弃物暂存点，设置专用垃圾桶，定点收集后，由环卫单位每日清理，外运至生活垃圾处理厂集中处理。要求渔产品废弃物外运时，使用密闭的容器或者使用密闭转运车，防止</w:t>
            </w:r>
            <w:r>
              <w:rPr>
                <w:rFonts w:hint="default" w:ascii="Times New Roman" w:hAnsi="Times New Roman" w:eastAsia="宋体" w:cs="Times New Roman"/>
                <w:color w:val="000000"/>
                <w:kern w:val="2"/>
                <w:sz w:val="24"/>
                <w:szCs w:val="24"/>
                <w:highlight w:val="none"/>
                <w:lang w:val="en-US" w:eastAsia="zh-CN" w:bidi="ar-SA"/>
              </w:rPr>
              <w:t>渔产品</w:t>
            </w:r>
            <w:r>
              <w:rPr>
                <w:rFonts w:hint="default" w:ascii="Times New Roman" w:hAnsi="Times New Roman" w:cs="Times New Roman"/>
                <w:color w:val="000000"/>
                <w:highlight w:val="none"/>
                <w:lang w:val="en-US" w:eastAsia="zh-CN"/>
              </w:rPr>
              <w:t>废弃物滴漏或遗撒。港区生活垃圾收集后由环卫部门每日清运处理。</w:t>
            </w:r>
          </w:p>
          <w:p w14:paraId="6D0ED58A">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（3）到港船舶禁止在港区附近水域排放垃圾，严格执行《船舶水污染物排放控制标准》（GB3552-2018）等要求。</w:t>
            </w:r>
          </w:p>
          <w:p w14:paraId="0D1B3378">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（4）</w:t>
            </w:r>
            <w:r>
              <w:rPr>
                <w:rFonts w:hint="default" w:ascii="Times New Roman" w:hAnsi="Times New Roman" w:cs="Times New Roman"/>
                <w:color w:val="000000"/>
                <w:highlight w:val="none"/>
              </w:rPr>
              <w:t>本码头</w:t>
            </w:r>
            <w:r>
              <w:rPr>
                <w:rFonts w:hint="default" w:ascii="Times New Roman" w:hAnsi="Times New Roman" w:cs="Times New Roman"/>
                <w:color w:val="000000"/>
                <w:highlight w:val="none"/>
                <w:lang w:val="en-US" w:eastAsia="zh-CN"/>
              </w:rPr>
              <w:t>暂</w:t>
            </w:r>
            <w:r>
              <w:rPr>
                <w:rFonts w:hint="default" w:ascii="Times New Roman" w:hAnsi="Times New Roman" w:cs="Times New Roman"/>
                <w:color w:val="000000"/>
                <w:highlight w:val="none"/>
              </w:rPr>
              <w:t>不提供船舶维修场所，船舶定期前往修造船厂保养，维修保养产生的固废由修造船厂处理。</w:t>
            </w:r>
          </w:p>
          <w:p w14:paraId="638F355F">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（5）</w:t>
            </w:r>
            <w:r>
              <w:rPr>
                <w:rFonts w:hint="default" w:ascii="Times New Roman" w:hAnsi="Times New Roman" w:cs="Times New Roman"/>
                <w:color w:val="000000"/>
                <w:highlight w:val="none"/>
              </w:rPr>
              <w:t>污水处理站污泥经压滤机脱水处理，降低含水率后外运至生活垃圾处理厂处理。</w:t>
            </w:r>
          </w:p>
          <w:p w14:paraId="60C020C0">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6</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港区设备保养产生的废机油交由有资质的单位处理；废含油手套和抹布与生活垃圾一并交由环卫部门接收处置。</w:t>
            </w:r>
          </w:p>
          <w:p w14:paraId="3056666F">
            <w:pPr>
              <w:pStyle w:val="4"/>
              <w:bidi w:val="0"/>
              <w:rPr>
                <w:rFonts w:hint="default" w:ascii="Times New Roman" w:hAnsi="Times New Roman" w:cs="Times New Roman"/>
                <w:color w:val="000000"/>
                <w:highlight w:val="none"/>
                <w:lang w:val="en-US" w:eastAsia="zh-CN"/>
              </w:rPr>
            </w:pPr>
            <w:bookmarkStart w:id="510" w:name="_Toc32106"/>
            <w:bookmarkStart w:id="511" w:name="_Toc6478"/>
            <w:r>
              <w:rPr>
                <w:rFonts w:hint="default" w:ascii="Times New Roman" w:hAnsi="Times New Roman" w:cs="Times New Roman"/>
                <w:color w:val="000000"/>
                <w:highlight w:val="none"/>
                <w:lang w:val="en-US" w:eastAsia="zh-CN"/>
              </w:rPr>
              <w:t>运营期海洋生态保护措施</w:t>
            </w:r>
            <w:bookmarkEnd w:id="510"/>
            <w:bookmarkEnd w:id="511"/>
          </w:p>
          <w:p w14:paraId="0DA7309F">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（1）加强各类废水收集、输送和处理等环节管理工作，确保污水处理设施正常运转，杜绝废水事故性排放，造成附近海域水质受到污染。</w:t>
            </w:r>
          </w:p>
          <w:p w14:paraId="75EEAC7E">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（2）加强港区环境保护宣传工作，增强到港渔民海洋环境保护意识，以减少污水未处理入海和垃圾入海的现象发生。</w:t>
            </w:r>
          </w:p>
          <w:p w14:paraId="0EF58971">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（3）加强进出港区船舶的管理工作，减少船舶碰撞事故的发生对海洋生态的影响。</w:t>
            </w:r>
          </w:p>
          <w:p w14:paraId="7DDBADD3">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（4）提高船舶溢油风险事故应急防范能力建设，重点防范突发性环境污染事故，建立事故报警、应急处理程序，专人负责指挥、调度，增强工作人员的安全意识及防范、应急处理技能，将事故风险降到最低。</w:t>
            </w:r>
          </w:p>
          <w:p w14:paraId="15210DA0">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（5）严格执行本报告提出的运营期海洋生态环境和渔业资源跟踪监测计划，及时了解海洋生态环境变化情况，对不利的生态影响及时向生态环境、海洋和渔业行政主管部门报告并采取积极的补救措施。</w:t>
            </w:r>
          </w:p>
          <w:p w14:paraId="38A870DB">
            <w:pPr>
              <w:pStyle w:val="3"/>
              <w:bidi w:val="0"/>
              <w:rPr>
                <w:rFonts w:hint="default"/>
              </w:rPr>
            </w:pPr>
            <w:bookmarkStart w:id="512" w:name="_Toc6214"/>
            <w:bookmarkStart w:id="513" w:name="_Toc18494"/>
            <w:bookmarkStart w:id="514" w:name="_Toc13275"/>
            <w:bookmarkStart w:id="515" w:name="_Toc2443"/>
            <w:bookmarkStart w:id="516" w:name="_Toc31406"/>
            <w:bookmarkStart w:id="517" w:name="_Toc1882"/>
            <w:r>
              <w:rPr>
                <w:rFonts w:hint="default"/>
              </w:rPr>
              <w:t>溢油事故环境风险防范措施与应急预案</w:t>
            </w:r>
            <w:bookmarkEnd w:id="512"/>
            <w:bookmarkEnd w:id="513"/>
            <w:bookmarkEnd w:id="514"/>
          </w:p>
          <w:p w14:paraId="7E33E622">
            <w:pPr>
              <w:pStyle w:val="4"/>
              <w:bidi w:val="0"/>
              <w:rPr>
                <w:rFonts w:hint="default"/>
              </w:rPr>
            </w:pPr>
            <w:bookmarkStart w:id="518" w:name="_Toc4359"/>
            <w:bookmarkStart w:id="519" w:name="_Toc25785"/>
            <w:r>
              <w:rPr>
                <w:rFonts w:hint="default"/>
              </w:rPr>
              <w:t>船舶溢油事故防范措施</w:t>
            </w:r>
            <w:bookmarkEnd w:id="518"/>
            <w:bookmarkEnd w:id="519"/>
          </w:p>
          <w:p w14:paraId="7ED236B9">
            <w:pPr>
              <w:pStyle w:val="5"/>
              <w:bidi w:val="0"/>
              <w:rPr>
                <w:rFonts w:hint="default"/>
              </w:rPr>
            </w:pPr>
            <w:r>
              <w:rPr>
                <w:rFonts w:hint="default"/>
              </w:rPr>
              <w:t>施工期溢油风险事故防范措施</w:t>
            </w:r>
          </w:p>
          <w:p w14:paraId="698C5173">
            <w:pPr>
              <w:keepNext w:val="0"/>
              <w:keepLines w:val="0"/>
              <w:pageBreakBefore w:val="0"/>
              <w:widowControl/>
              <w:suppressLineNumbers w:val="0"/>
              <w:kinsoku/>
              <w:wordWrap/>
              <w:overflowPunct/>
              <w:topLinePunct w:val="0"/>
              <w:autoSpaceDE/>
              <w:autoSpaceDN/>
              <w:bidi w:val="0"/>
              <w:adjustRightInd/>
              <w:snapToGrid/>
              <w:ind w:firstLine="480" w:firstLineChars="200"/>
              <w:jc w:val="left"/>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本工程在施工期将雇用少量船舶进行作业，一旦发生溢油，将对工程附近海域的环境保护目标造成破坏。因此要强化措施和管理，避免溢油事故的发生。溢油事故的发生会对海洋环境和海洋生物造成严重的破坏。而船舶事故风险的原因则与操作失误有关，施工方对此应有高度认识与戒备，并将其纳入项目的环境保护目标，切实贯彻“以防为主，防治结合”的方针，制定船舶事故的防范和应急处理计划，以尽可能缩小事故发生的规模和所造成的损失与损害。</w:t>
            </w:r>
          </w:p>
          <w:p w14:paraId="17502EE5">
            <w:pPr>
              <w:keepNext w:val="0"/>
              <w:keepLines w:val="0"/>
              <w:pageBreakBefore w:val="0"/>
              <w:widowControl/>
              <w:suppressLineNumbers w:val="0"/>
              <w:kinsoku/>
              <w:wordWrap/>
              <w:overflowPunct/>
              <w:topLinePunct w:val="0"/>
              <w:autoSpaceDE/>
              <w:autoSpaceDN/>
              <w:bidi w:val="0"/>
              <w:adjustRightInd/>
              <w:snapToGrid/>
              <w:ind w:firstLine="480" w:firstLineChars="200"/>
              <w:jc w:val="left"/>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1）施工单位在施工前应与海事部门、港务部门等充分沟通协调，及时了解项目施工海域附近船舶进出情况，以便尽早采取避让措施，避免施工船舶与进出船舶发生碰撞事故。施工前要发布航行公告，防止无关船舶进入施工作业水域。</w:t>
            </w:r>
          </w:p>
          <w:p w14:paraId="7053ED71">
            <w:pPr>
              <w:keepNext w:val="0"/>
              <w:keepLines w:val="0"/>
              <w:pageBreakBefore w:val="0"/>
              <w:widowControl/>
              <w:suppressLineNumbers w:val="0"/>
              <w:kinsoku/>
              <w:wordWrap/>
              <w:overflowPunct/>
              <w:topLinePunct w:val="0"/>
              <w:autoSpaceDE/>
              <w:autoSpaceDN/>
              <w:bidi w:val="0"/>
              <w:adjustRightInd/>
              <w:snapToGrid/>
              <w:ind w:firstLine="480" w:firstLineChars="200"/>
              <w:jc w:val="left"/>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（2）施工船舶一般限定在批准的水域进行作业，施工结束后向海上交通安全管理部门通报施工船舶的航行情况，与施工及船运单位保持联系，切实加</w:t>
            </w:r>
            <w:r>
              <w:rPr>
                <w:rFonts w:hint="default" w:ascii="Times New Roman" w:hAnsi="Times New Roman" w:cs="Times New Roman"/>
                <w:color w:val="000000"/>
                <w:highlight w:val="none"/>
                <w:lang w:eastAsia="zh-CN"/>
              </w:rPr>
              <w:t>强对</w:t>
            </w:r>
            <w:r>
              <w:rPr>
                <w:rFonts w:hint="default" w:ascii="Times New Roman" w:hAnsi="Times New Roman" w:cs="Times New Roman"/>
                <w:color w:val="000000"/>
                <w:highlight w:val="none"/>
              </w:rPr>
              <w:t>施工船舶进出施工水域航行的指导。</w:t>
            </w:r>
          </w:p>
          <w:p w14:paraId="30FE80BE">
            <w:pPr>
              <w:keepNext w:val="0"/>
              <w:keepLines w:val="0"/>
              <w:pageBreakBefore w:val="0"/>
              <w:widowControl/>
              <w:suppressLineNumbers w:val="0"/>
              <w:kinsoku/>
              <w:wordWrap/>
              <w:overflowPunct/>
              <w:topLinePunct w:val="0"/>
              <w:autoSpaceDE/>
              <w:autoSpaceDN/>
              <w:bidi w:val="0"/>
              <w:adjustRightInd/>
              <w:snapToGrid/>
              <w:ind w:firstLine="480" w:firstLineChars="200"/>
              <w:jc w:val="left"/>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（3）施工单位应制定防范恶劣天气和海况的措施，施工船舶作业应在适航的天气条件下进行。</w:t>
            </w:r>
          </w:p>
          <w:p w14:paraId="16E71236">
            <w:pPr>
              <w:keepNext w:val="0"/>
              <w:keepLines w:val="0"/>
              <w:pageBreakBefore w:val="0"/>
              <w:widowControl/>
              <w:suppressLineNumbers w:val="0"/>
              <w:kinsoku/>
              <w:wordWrap/>
              <w:overflowPunct/>
              <w:topLinePunct w:val="0"/>
              <w:autoSpaceDE/>
              <w:autoSpaceDN/>
              <w:bidi w:val="0"/>
              <w:adjustRightInd/>
              <w:snapToGrid/>
              <w:ind w:firstLine="480" w:firstLineChars="200"/>
              <w:jc w:val="left"/>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4）在安全作业区界限上应设置明显的警示标志，附近船舶不得进入警示标志内的施工水域；当发现附近船舶接近警示标志或有可能进入施工区域，施工船舶应用有效的方法及时发出警告，并注意双方的避让；施工作业船舶不得擅自在警示标志外侧水域逗留、漂航。</w:t>
            </w:r>
          </w:p>
          <w:p w14:paraId="03E65663">
            <w:pPr>
              <w:keepNext w:val="0"/>
              <w:keepLines w:val="0"/>
              <w:pageBreakBefore w:val="0"/>
              <w:widowControl/>
              <w:suppressLineNumbers w:val="0"/>
              <w:kinsoku/>
              <w:wordWrap/>
              <w:overflowPunct/>
              <w:topLinePunct w:val="0"/>
              <w:autoSpaceDE/>
              <w:autoSpaceDN/>
              <w:bidi w:val="0"/>
              <w:adjustRightInd/>
              <w:snapToGrid/>
              <w:ind w:firstLine="480" w:firstLineChars="200"/>
              <w:jc w:val="left"/>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（5）加强船舶的维护，保证船舶处在良好的运行状态。</w:t>
            </w:r>
          </w:p>
          <w:p w14:paraId="7265B55B">
            <w:pPr>
              <w:keepNext w:val="0"/>
              <w:keepLines w:val="0"/>
              <w:pageBreakBefore w:val="0"/>
              <w:widowControl/>
              <w:suppressLineNumbers w:val="0"/>
              <w:kinsoku/>
              <w:wordWrap/>
              <w:overflowPunct/>
              <w:topLinePunct w:val="0"/>
              <w:autoSpaceDE/>
              <w:autoSpaceDN/>
              <w:bidi w:val="0"/>
              <w:adjustRightInd/>
              <w:snapToGrid/>
              <w:ind w:firstLine="480" w:firstLineChars="200"/>
              <w:jc w:val="left"/>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6）加强进出港管理，对进出港船舶应制定严格管理制度，包括船舶进出港区、进出锚地的引航员制度、引航员职责、业务技术培训与考核、锚泊间距等。聘请熟悉当地海域情况的船员引航，并对引航员进行必要的培训，明确引航员的职责、加强引航员对航道、浅滩、礁石、港口水文气象条件熟悉的培训。</w:t>
            </w:r>
          </w:p>
          <w:p w14:paraId="1029D6DD">
            <w:pPr>
              <w:keepNext w:val="0"/>
              <w:keepLines w:val="0"/>
              <w:pageBreakBefore w:val="0"/>
              <w:widowControl/>
              <w:suppressLineNumbers w:val="0"/>
              <w:kinsoku/>
              <w:wordWrap/>
              <w:overflowPunct/>
              <w:topLinePunct w:val="0"/>
              <w:autoSpaceDE/>
              <w:autoSpaceDN/>
              <w:bidi w:val="0"/>
              <w:adjustRightInd/>
              <w:snapToGrid/>
              <w:ind w:firstLine="480" w:firstLineChars="200"/>
              <w:jc w:val="left"/>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（7）船舶驾驶员的技术应符合要求。</w:t>
            </w:r>
            <w:r>
              <w:rPr>
                <w:rFonts w:hint="default" w:ascii="Times New Roman" w:hAnsi="Times New Roman" w:cs="Times New Roman"/>
                <w:color w:val="000000"/>
                <w:highlight w:val="none"/>
                <w:lang w:eastAsia="zh-CN"/>
              </w:rPr>
              <w:t>按照</w:t>
            </w:r>
            <w:r>
              <w:rPr>
                <w:rFonts w:hint="default" w:ascii="Times New Roman" w:hAnsi="Times New Roman" w:cs="Times New Roman"/>
                <w:color w:val="000000"/>
                <w:highlight w:val="none"/>
              </w:rPr>
              <w:t>《中华人民共和国防止船舶污染海域管理条例》，对施工船舶及其人员应提出严格的书面管理要求及所应承担的防止船舶溢油</w:t>
            </w:r>
            <w:r>
              <w:rPr>
                <w:rFonts w:hint="default" w:ascii="Times New Roman" w:hAnsi="Times New Roman" w:cs="Times New Roman"/>
                <w:color w:val="000000"/>
                <w:highlight w:val="none"/>
                <w:lang w:val="en-US" w:eastAsia="zh-CN"/>
              </w:rPr>
              <w:t>责任</w:t>
            </w:r>
            <w:r>
              <w:rPr>
                <w:rFonts w:hint="default" w:ascii="Times New Roman" w:hAnsi="Times New Roman" w:cs="Times New Roman"/>
                <w:color w:val="000000"/>
                <w:highlight w:val="none"/>
              </w:rPr>
              <w:t>和义务，并落实所规定的防止污染相关措施。船员应学习、了解可能出现事故溢油的人为原因与自然原因，提高溢油危害的认识及安全运输的责任感和责任心。</w:t>
            </w:r>
          </w:p>
          <w:p w14:paraId="0EAE710D">
            <w:pPr>
              <w:keepNext w:val="0"/>
              <w:keepLines w:val="0"/>
              <w:pageBreakBefore w:val="0"/>
              <w:widowControl/>
              <w:suppressLineNumbers w:val="0"/>
              <w:kinsoku/>
              <w:wordWrap/>
              <w:overflowPunct/>
              <w:topLinePunct w:val="0"/>
              <w:autoSpaceDE/>
              <w:autoSpaceDN/>
              <w:bidi w:val="0"/>
              <w:adjustRightInd/>
              <w:snapToGrid/>
              <w:ind w:firstLine="480" w:firstLineChars="200"/>
              <w:jc w:val="left"/>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（8）施工期间所有施工船舶必须按照</w:t>
            </w:r>
            <w:r>
              <w:rPr>
                <w:rFonts w:hint="default" w:ascii="Times New Roman" w:hAnsi="Times New Roman" w:cs="Times New Roman"/>
                <w:color w:val="000000"/>
                <w:highlight w:val="none"/>
                <w:lang w:eastAsia="zh-CN"/>
              </w:rPr>
              <w:t>交通运输部</w:t>
            </w:r>
            <w:r>
              <w:rPr>
                <w:rFonts w:hint="default" w:ascii="Times New Roman" w:hAnsi="Times New Roman" w:cs="Times New Roman"/>
                <w:color w:val="000000"/>
                <w:highlight w:val="none"/>
              </w:rPr>
              <w:t>信号管理规定悬挂信号灯；加强值班、瞭望工作，减少船舶事故发生的可能性。控制施工船只的航速，严格抛锚作业等，以防船只脱锚、碰撞、挤压、搁浅，触礁等事故发生。</w:t>
            </w:r>
          </w:p>
          <w:p w14:paraId="0DC6B8CC">
            <w:pPr>
              <w:keepNext w:val="0"/>
              <w:keepLines w:val="0"/>
              <w:pageBreakBefore w:val="0"/>
              <w:widowControl/>
              <w:suppressLineNumbers w:val="0"/>
              <w:kinsoku/>
              <w:wordWrap/>
              <w:overflowPunct/>
              <w:topLinePunct w:val="0"/>
              <w:autoSpaceDE/>
              <w:autoSpaceDN/>
              <w:bidi w:val="0"/>
              <w:adjustRightInd/>
              <w:snapToGrid/>
              <w:ind w:firstLine="480" w:firstLineChars="200"/>
              <w:jc w:val="left"/>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9）项目施工方应制定应急计划，当施工作业船舶在发生紧急事件时，应立即采取必要的措施，及时向海上交管中心报告。同时迅速与建设单位及附近的港务公司联系，利用港务公司的应急队伍和设备，消除危害、降低风险。积极配合有关港务部门、海洋管理部门、环保部门与渔业部门做好相关应急工作。</w:t>
            </w:r>
          </w:p>
          <w:p w14:paraId="39EB38C8">
            <w:pPr>
              <w:keepNext w:val="0"/>
              <w:keepLines w:val="0"/>
              <w:pageBreakBefore w:val="0"/>
              <w:widowControl/>
              <w:suppressLineNumbers w:val="0"/>
              <w:kinsoku/>
              <w:wordWrap/>
              <w:overflowPunct/>
              <w:topLinePunct w:val="0"/>
              <w:autoSpaceDE/>
              <w:autoSpaceDN/>
              <w:bidi w:val="0"/>
              <w:adjustRightInd/>
              <w:snapToGrid/>
              <w:ind w:firstLine="480" w:firstLineChars="200"/>
              <w:jc w:val="left"/>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（10）施工船舶应配置一定的吸油材料，发生船舶溢油事故时，对漏油船舶立即查找泄漏污染源，关闭阀门，封堵甲板出水孔（缝），并投放吸附材料，收集泄漏油污，及时控制油污扩散。</w:t>
            </w:r>
          </w:p>
          <w:p w14:paraId="51761FE8">
            <w:pPr>
              <w:pStyle w:val="5"/>
              <w:bidi w:val="0"/>
              <w:rPr>
                <w:rFonts w:hint="default"/>
              </w:rPr>
            </w:pPr>
            <w:r>
              <w:rPr>
                <w:rFonts w:hint="default"/>
              </w:rPr>
              <w:t>运营期溢油风险事故防范措施</w:t>
            </w:r>
          </w:p>
          <w:p w14:paraId="7055BD50">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随着本工程的建设，船舶通行密度将增大，船舶发生风险的概率也会加大，</w:t>
            </w:r>
            <w:r>
              <w:rPr>
                <w:rFonts w:hint="default" w:ascii="Times New Roman" w:hAnsi="Times New Roman" w:cs="Times New Roman"/>
                <w:color w:val="000000"/>
                <w:highlight w:val="none"/>
                <w:lang w:eastAsia="zh-CN"/>
              </w:rPr>
              <w:t>如果进出本渔港的船舶</w:t>
            </w:r>
            <w:r>
              <w:rPr>
                <w:rFonts w:hint="default" w:ascii="Times New Roman" w:hAnsi="Times New Roman" w:cs="Times New Roman"/>
                <w:color w:val="000000"/>
                <w:highlight w:val="none"/>
              </w:rPr>
              <w:t>发生风险事故，将可能因燃料油溢漏入海，造成对海洋环境和海洋生物生态的破坏，因此对船舶事故风险应有高度认识与戒备，切实贯彻“以防为主，防治结合”的方针。</w:t>
            </w:r>
          </w:p>
          <w:p w14:paraId="4775F3A2">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本工程营运后应完善助导航设备，注意进出港船舶的合理调度，建立完善的溢油事故防范体系，防止溢油事故发生。</w:t>
            </w:r>
          </w:p>
          <w:p w14:paraId="1B4C1236">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（1）船舶交通事故预防措施</w:t>
            </w:r>
          </w:p>
          <w:p w14:paraId="3748C42E">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①</w:t>
            </w:r>
            <w:r>
              <w:rPr>
                <w:rFonts w:hint="default" w:ascii="Times New Roman" w:hAnsi="Times New Roman" w:cs="Times New Roman"/>
                <w:color w:val="000000"/>
                <w:highlight w:val="none"/>
              </w:rPr>
              <w:t>为了保障码头附近海域船舶的航行安全，码头经营者要接受所处辖区内海事管理部门对船舶交通和船舶报告等方面的协调、监督和管理，在码头前沿和船舶掉头区设置必要的助航等安全保障设施。</w:t>
            </w:r>
          </w:p>
          <w:p w14:paraId="6E1822DA">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②</w:t>
            </w:r>
            <w:r>
              <w:rPr>
                <w:rFonts w:hint="default" w:ascii="Times New Roman" w:hAnsi="Times New Roman" w:cs="Times New Roman"/>
                <w:color w:val="000000"/>
                <w:highlight w:val="none"/>
              </w:rPr>
              <w:t>推进船舶交通管理系统建设，保障船舶安全航行，重点强化预警预控，严格控制和规范船舶在恶劣气象海况下航行和作业秩序。</w:t>
            </w:r>
          </w:p>
          <w:p w14:paraId="1CA30B67">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③</w:t>
            </w:r>
            <w:r>
              <w:rPr>
                <w:rFonts w:hint="default" w:ascii="Times New Roman" w:hAnsi="Times New Roman" w:cs="Times New Roman"/>
                <w:color w:val="000000"/>
                <w:highlight w:val="none"/>
              </w:rPr>
              <w:t>加强航道内船舶交通秩序管理，及时掌握进出航道船舶的动态，在冷藏船调转时，其他船舶尽量采取避让措施。</w:t>
            </w:r>
          </w:p>
          <w:p w14:paraId="448047F4">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④</w:t>
            </w:r>
            <w:r>
              <w:rPr>
                <w:rFonts w:hint="default" w:ascii="Times New Roman" w:hAnsi="Times New Roman" w:cs="Times New Roman"/>
                <w:color w:val="000000"/>
                <w:highlight w:val="none"/>
              </w:rPr>
              <w:t>在港船舶应实施值班、瞭望制度，对进出港船舶控制船速，并实施引航；建设单位应与监管部门进行沟通协调，加</w:t>
            </w:r>
            <w:r>
              <w:rPr>
                <w:rFonts w:hint="default" w:ascii="Times New Roman" w:hAnsi="Times New Roman" w:cs="Times New Roman"/>
                <w:color w:val="000000"/>
                <w:highlight w:val="none"/>
                <w:lang w:eastAsia="zh-CN"/>
              </w:rPr>
              <w:t>强对</w:t>
            </w:r>
            <w:r>
              <w:rPr>
                <w:rFonts w:hint="default" w:ascii="Times New Roman" w:hAnsi="Times New Roman" w:cs="Times New Roman"/>
                <w:color w:val="000000"/>
                <w:highlight w:val="none"/>
              </w:rPr>
              <w:t>附近海域的监管，加强港区和锚地管理；及时发布气象信息，在气象条件不良的情况下，建议避免进出港。</w:t>
            </w:r>
          </w:p>
          <w:p w14:paraId="24317F29">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（2）配备风险应急设备及物资</w:t>
            </w:r>
          </w:p>
          <w:p w14:paraId="2AABF732">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①</w:t>
            </w:r>
            <w:r>
              <w:rPr>
                <w:rFonts w:hint="default" w:ascii="Times New Roman" w:hAnsi="Times New Roman" w:cs="Times New Roman"/>
                <w:color w:val="000000"/>
                <w:highlight w:val="none"/>
              </w:rPr>
              <w:t>根据《</w:t>
            </w:r>
            <w:r>
              <w:rPr>
                <w:rFonts w:hint="default" w:ascii="Times New Roman" w:hAnsi="Times New Roman" w:cs="Times New Roman"/>
                <w:color w:val="000000"/>
                <w:highlight w:val="none"/>
                <w:lang w:eastAsia="zh-CN"/>
              </w:rPr>
              <w:t>防治船舶污染海洋环境管理条例</w:t>
            </w:r>
            <w:r>
              <w:rPr>
                <w:rFonts w:hint="default" w:ascii="Times New Roman" w:hAnsi="Times New Roman" w:cs="Times New Roman"/>
                <w:color w:val="000000"/>
                <w:highlight w:val="none"/>
              </w:rPr>
              <w:t>》等相关规定，按照海事管理机构的要求制定有关安全营运和防治污染的管理制度；按照国家有关防治船舶及其有关作业活动污染海洋环境的规范和标准，根据《港口码头溢油应急设备配备要求》（JT/T45-2009）配备必需的防治污染设备和器材，确保防治污染设备和器材符合防治船舶及其有关作业活动污染海洋环境的要求。</w:t>
            </w:r>
          </w:p>
          <w:p w14:paraId="6DB11ED6">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②</w:t>
            </w:r>
            <w:r>
              <w:rPr>
                <w:rFonts w:hint="default" w:ascii="Times New Roman" w:hAnsi="Times New Roman" w:cs="Times New Roman"/>
                <w:color w:val="000000"/>
                <w:highlight w:val="none"/>
              </w:rPr>
              <w:t>在码头前沿和易发生船舶碰撞的区域放置足量围油栏、吸油毡等应急设施，在发生溢油事故时，能够及时进行围截，将溢油范围控制在港区范围内。</w:t>
            </w:r>
          </w:p>
          <w:p w14:paraId="29BB0D54">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（3）制定风险应急预案</w:t>
            </w:r>
          </w:p>
          <w:p w14:paraId="6F590220">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建设单位应建立溢油应急体系和制定溢油应急预案，并报主管部门审批通过后投入运营。本工程渔港码头溢油应急预案，可纳入冬古作业区的溢油应急预案中，建立与相关应急反应部门的应急通讯联络机制，配备应急反应的设备设施，制定应对突发污染事故的应急反应对策，定期进行突发性污染事故应急的必要训练。</w:t>
            </w:r>
          </w:p>
          <w:p w14:paraId="769D6CBF">
            <w:pPr>
              <w:pStyle w:val="4"/>
              <w:bidi w:val="0"/>
              <w:rPr>
                <w:rFonts w:hint="default"/>
              </w:rPr>
            </w:pPr>
            <w:bookmarkStart w:id="520" w:name="_Toc3633"/>
            <w:bookmarkStart w:id="521" w:name="_Toc32592"/>
            <w:r>
              <w:rPr>
                <w:rFonts w:hint="default"/>
              </w:rPr>
              <w:t>应急能力调查及配备要求</w:t>
            </w:r>
            <w:bookmarkEnd w:id="520"/>
            <w:bookmarkEnd w:id="521"/>
          </w:p>
          <w:p w14:paraId="2C44CE2B">
            <w:pPr>
              <w:pStyle w:val="5"/>
              <w:bidi w:val="0"/>
              <w:rPr>
                <w:rFonts w:hint="default"/>
              </w:rPr>
            </w:pPr>
            <w:r>
              <w:rPr>
                <w:rFonts w:hint="default"/>
              </w:rPr>
              <w:t>区域应急资源调查</w:t>
            </w:r>
          </w:p>
          <w:p w14:paraId="2AA32A4C">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eastAsia="宋体" w:cs="Times New Roman"/>
                <w:b/>
                <w:bCs/>
                <w:color w:val="000000"/>
                <w:highlight w:val="none"/>
                <w:lang w:eastAsia="zh-CN"/>
              </w:rPr>
            </w:pP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1</w:t>
            </w: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rPr>
              <w:t>福建海事局福州船舶溢油应急设备库</w:t>
            </w:r>
          </w:p>
          <w:p w14:paraId="636AC500">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rPr>
              <w:t>福建海事局福州船舶溢油应急设备库位于福清市城头镇松下元洪投资区海事工作船码头后方陆域，元洪投资区滨海大道与城头海堤之间</w:t>
            </w:r>
            <w:r>
              <w:rPr>
                <w:rFonts w:hint="default" w:ascii="Times New Roman" w:hAnsi="Times New Roman" w:cs="Times New Roman"/>
                <w:color w:val="000000"/>
                <w:highlight w:val="none"/>
                <w:lang w:eastAsia="zh-CN"/>
              </w:rPr>
              <w:t>，总投资4200万元。溢油应急服务范围以福州海事局辖区海域为主，兼顾其邻近的其他海域溢油应急行动的协作，并对相关港口水域超出港口应急处置能力的重大事故予以支援。福州船舶溢油应急设备库应急设备及材料</w:t>
            </w:r>
            <w:r>
              <w:rPr>
                <w:rFonts w:hint="default" w:ascii="Times New Roman" w:hAnsi="Times New Roman" w:cs="Times New Roman"/>
                <w:color w:val="000000"/>
                <w:highlight w:val="none"/>
                <w:lang w:val="en-US" w:eastAsia="zh-CN"/>
              </w:rPr>
              <w:t>见</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REF _Ref25352 \h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5.3</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1</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val="en-US" w:eastAsia="zh-CN"/>
              </w:rPr>
              <w:t>。</w:t>
            </w:r>
          </w:p>
          <w:p w14:paraId="3D708844">
            <w:pPr>
              <w:pStyle w:val="30"/>
              <w:bidi w:val="0"/>
              <w:rPr>
                <w:rFonts w:hint="default" w:ascii="Times New Roman" w:hAnsi="Times New Roman" w:cs="Times New Roman"/>
                <w:color w:val="000000"/>
                <w:highlight w:val="none"/>
                <w:lang w:eastAsia="zh-CN"/>
              </w:rPr>
            </w:pPr>
            <w:bookmarkStart w:id="522" w:name="_Ref25352"/>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5.3</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表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1</w:t>
            </w:r>
            <w:r>
              <w:rPr>
                <w:rFonts w:hint="default" w:ascii="Times New Roman" w:hAnsi="Times New Roman" w:cs="Times New Roman"/>
                <w:color w:val="000000"/>
                <w:highlight w:val="none"/>
              </w:rPr>
              <w:fldChar w:fldCharType="end"/>
            </w:r>
            <w:bookmarkEnd w:id="522"/>
            <w:r>
              <w:rPr>
                <w:rFonts w:hint="default" w:ascii="Times New Roman" w:hAnsi="Times New Roman" w:cs="Times New Roman"/>
                <w:color w:val="000000"/>
                <w:highlight w:val="none"/>
                <w:lang w:val="en-US" w:eastAsia="zh-CN"/>
              </w:rPr>
              <w:t xml:space="preserve"> </w:t>
            </w:r>
            <w:r>
              <w:rPr>
                <w:rFonts w:hint="default" w:ascii="Times New Roman" w:hAnsi="Times New Roman" w:cs="Times New Roman"/>
                <w:color w:val="000000"/>
                <w:highlight w:val="none"/>
                <w:lang w:eastAsia="zh-CN"/>
              </w:rPr>
              <w:t>福州船舶溢油应急设备库应急设备及材料一览表</w:t>
            </w:r>
          </w:p>
          <w:p w14:paraId="4F41B41E">
            <w:pPr>
              <w:pStyle w:val="31"/>
              <w:bidi w:val="0"/>
              <w:rPr>
                <w:rFonts w:hint="default"/>
                <w:lang w:eastAsia="zh-CN"/>
              </w:rPr>
            </w:pPr>
            <w:r>
              <w:rPr>
                <w:rFonts w:hint="eastAsia"/>
                <w:lang w:val="en-US" w:eastAsia="zh-CN"/>
              </w:rPr>
              <w:t>（涉密删除）</w:t>
            </w:r>
          </w:p>
          <w:p w14:paraId="7153F9FB">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（2）</w:t>
            </w:r>
            <w:r>
              <w:rPr>
                <w:rFonts w:hint="default" w:ascii="Times New Roman" w:hAnsi="Times New Roman" w:cs="Times New Roman"/>
                <w:color w:val="000000"/>
                <w:highlight w:val="none"/>
                <w:lang w:val="en-US" w:eastAsia="zh-CN"/>
              </w:rPr>
              <w:t>福州辖区船舶污染清除单位</w:t>
            </w:r>
          </w:p>
          <w:p w14:paraId="7499D6BD">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福州市目前建立了2家船舶污染清除单位，福州市百洋恒丰船舶服务有限公司能力等级为一级，福州加利亚船舶服务有限公司能力等级为二级，服务区域均为福州海域，已按照相应标准配备应急设备，有效增强了福州市沿海船舶污染应急能力。</w:t>
            </w:r>
          </w:p>
          <w:p w14:paraId="65D595CF">
            <w:pPr>
              <w:pStyle w:val="5"/>
              <w:bidi w:val="0"/>
              <w:rPr>
                <w:rFonts w:hint="default"/>
              </w:rPr>
            </w:pPr>
            <w:r>
              <w:rPr>
                <w:rFonts w:hint="default"/>
              </w:rPr>
              <w:t>本项目应急设备及管理要求</w:t>
            </w:r>
          </w:p>
          <w:p w14:paraId="15730AD0">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（1）本工程应配备的溢油应急基本设施和器材</w:t>
            </w:r>
          </w:p>
          <w:p w14:paraId="5C6D4CD7">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向建设单位了解到，</w:t>
            </w:r>
            <w:r>
              <w:rPr>
                <w:rFonts w:hint="default" w:ascii="Times New Roman" w:hAnsi="Times New Roman" w:cs="Times New Roman"/>
                <w:color w:val="000000"/>
                <w:highlight w:val="none"/>
                <w:lang w:val="en-US" w:eastAsia="zh-CN"/>
              </w:rPr>
              <w:t>现有二</w:t>
            </w:r>
            <w:r>
              <w:rPr>
                <w:rFonts w:hint="default" w:ascii="Times New Roman" w:hAnsi="Times New Roman" w:cs="Times New Roman"/>
                <w:color w:val="000000"/>
                <w:highlight w:val="none"/>
              </w:rPr>
              <w:t>级渔港未配备溢油应急物资，未制定环境风险应急预案，尚未开展应急培训和应急演练。本工程为渔港码头，</w:t>
            </w:r>
            <w:r>
              <w:rPr>
                <w:rFonts w:hint="default" w:ascii="Times New Roman" w:hAnsi="Times New Roman" w:cs="Times New Roman"/>
                <w:color w:val="000000"/>
                <w:highlight w:val="none"/>
                <w:lang w:val="en-US" w:eastAsia="zh-CN"/>
              </w:rPr>
              <w:t>建成后</w:t>
            </w:r>
            <w:r>
              <w:rPr>
                <w:rFonts w:hint="default" w:ascii="Times New Roman" w:hAnsi="Times New Roman" w:cs="Times New Roman"/>
                <w:color w:val="000000"/>
                <w:highlight w:val="none"/>
              </w:rPr>
              <w:t>南防波堤兼码头长220m（内侧码头长160m，设4个200HP泊位；外侧码头长150m，设3个600HP泊位（兼靠3000t冷藏船，结构长度按10000t散货船预留）），根据《港口码头水上污染事故应急防备能力要求》（JT/T451-2017）表4“海港其他码头水上溢油应急设施、设备、物资配备要求”，本项目应配备的应急设备见</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REF _Ref12228 \h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5.3</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2</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rPr>
              <w:t>。</w:t>
            </w:r>
          </w:p>
          <w:p w14:paraId="46CEC396">
            <w:pPr>
              <w:pStyle w:val="30"/>
              <w:bidi w:val="0"/>
              <w:rPr>
                <w:rFonts w:hint="default" w:ascii="Times New Roman" w:hAnsi="Times New Roman" w:cs="Times New Roman"/>
                <w:color w:val="000000"/>
                <w:highlight w:val="none"/>
                <w:lang w:eastAsia="zh-CN"/>
              </w:rPr>
            </w:pPr>
            <w:bookmarkStart w:id="523" w:name="_Ref12228"/>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5.3</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表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2</w:t>
            </w:r>
            <w:r>
              <w:rPr>
                <w:rFonts w:hint="default" w:ascii="Times New Roman" w:hAnsi="Times New Roman" w:cs="Times New Roman"/>
                <w:color w:val="000000"/>
                <w:highlight w:val="none"/>
              </w:rPr>
              <w:fldChar w:fldCharType="end"/>
            </w:r>
            <w:bookmarkEnd w:id="523"/>
            <w:r>
              <w:rPr>
                <w:rFonts w:hint="default" w:ascii="Times New Roman" w:hAnsi="Times New Roman" w:cs="Times New Roman"/>
                <w:color w:val="000000"/>
                <w:highlight w:val="none"/>
                <w:lang w:val="en-US" w:eastAsia="zh-CN"/>
              </w:rPr>
              <w:t xml:space="preserve"> </w:t>
            </w:r>
            <w:r>
              <w:rPr>
                <w:rFonts w:hint="default" w:ascii="Times New Roman" w:hAnsi="Times New Roman" w:cs="Times New Roman"/>
                <w:color w:val="000000"/>
                <w:highlight w:val="none"/>
                <w:lang w:eastAsia="zh-CN"/>
              </w:rPr>
              <w:t>海港其他码头水上溢油应急设施、设备、物资配备要求</w:t>
            </w:r>
          </w:p>
          <w:tbl>
            <w:tblPr>
              <w:tblStyle w:val="32"/>
              <w:tblW w:w="501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1452"/>
              <w:gridCol w:w="2683"/>
              <w:gridCol w:w="4119"/>
            </w:tblGrid>
            <w:tr w14:paraId="45E577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2505" w:type="pct"/>
                  <w:gridSpan w:val="2"/>
                  <w:noWrap w:val="0"/>
                  <w:vAlign w:val="center"/>
                </w:tcPr>
                <w:p w14:paraId="00399F5D">
                  <w:pPr>
                    <w:pStyle w:val="31"/>
                    <w:bidi w:val="0"/>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rPr>
                    <w:t>设备名称</w:t>
                  </w:r>
                </w:p>
              </w:tc>
              <w:tc>
                <w:tcPr>
                  <w:tcW w:w="2494" w:type="pct"/>
                  <w:noWrap w:val="0"/>
                  <w:vAlign w:val="center"/>
                </w:tcPr>
                <w:p w14:paraId="7824AB06">
                  <w:pPr>
                    <w:pStyle w:val="31"/>
                    <w:bidi w:val="0"/>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rPr>
                    <w:t>靠泊能力：10000吨级～50000吨级（含）</w:t>
                  </w:r>
                </w:p>
              </w:tc>
            </w:tr>
            <w:tr w14:paraId="1204A6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880" w:type="pct"/>
                  <w:noWrap w:val="0"/>
                  <w:vAlign w:val="center"/>
                </w:tcPr>
                <w:p w14:paraId="2D550E18">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围油栏</w:t>
                  </w:r>
                </w:p>
              </w:tc>
              <w:tc>
                <w:tcPr>
                  <w:tcW w:w="1624" w:type="pct"/>
                  <w:noWrap w:val="0"/>
                  <w:vAlign w:val="center"/>
                </w:tcPr>
                <w:p w14:paraId="356F383A">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应急型（m）</w:t>
                  </w:r>
                </w:p>
              </w:tc>
              <w:tc>
                <w:tcPr>
                  <w:tcW w:w="2494" w:type="pct"/>
                  <w:noWrap w:val="0"/>
                  <w:vAlign w:val="center"/>
                </w:tcPr>
                <w:p w14:paraId="703F5DDE">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410</w:t>
                  </w:r>
                  <w:r>
                    <w:rPr>
                      <w:rFonts w:hint="default" w:ascii="Times New Roman" w:hAnsi="Times New Roman" w:cs="Times New Roman"/>
                      <w:color w:val="000000"/>
                      <w:highlight w:val="none"/>
                    </w:rPr>
                    <w:t>m（不低于最大设计船型设计船长的</w:t>
                  </w:r>
                  <w:r>
                    <w:rPr>
                      <w:rFonts w:hint="default" w:ascii="Times New Roman" w:hAnsi="Times New Roman" w:cs="Times New Roman"/>
                      <w:color w:val="000000"/>
                      <w:highlight w:val="none"/>
                      <w:lang w:val="en-US" w:eastAsia="zh-CN"/>
                    </w:rPr>
                    <w:t>3</w:t>
                  </w:r>
                  <w:r>
                    <w:rPr>
                      <w:rFonts w:hint="default" w:ascii="Times New Roman" w:hAnsi="Times New Roman" w:cs="Times New Roman"/>
                      <w:color w:val="000000"/>
                      <w:highlight w:val="none"/>
                    </w:rPr>
                    <w:t>倍）</w:t>
                  </w:r>
                </w:p>
              </w:tc>
            </w:tr>
            <w:tr w14:paraId="691767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880" w:type="pct"/>
                  <w:noWrap w:val="0"/>
                  <w:vAlign w:val="center"/>
                </w:tcPr>
                <w:p w14:paraId="5C015501">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收油机</w:t>
                  </w:r>
                </w:p>
              </w:tc>
              <w:tc>
                <w:tcPr>
                  <w:tcW w:w="1624" w:type="pct"/>
                  <w:noWrap w:val="0"/>
                  <w:vAlign w:val="center"/>
                </w:tcPr>
                <w:p w14:paraId="2CD91255">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总能力（m</w:t>
                  </w:r>
                  <w:r>
                    <w:rPr>
                      <w:rFonts w:hint="default" w:ascii="Times New Roman" w:hAnsi="Times New Roman" w:cs="Times New Roman"/>
                      <w:color w:val="000000"/>
                      <w:highlight w:val="none"/>
                      <w:vertAlign w:val="superscript"/>
                    </w:rPr>
                    <w:t>3</w:t>
                  </w:r>
                  <w:r>
                    <w:rPr>
                      <w:rFonts w:hint="default" w:ascii="Times New Roman" w:hAnsi="Times New Roman" w:cs="Times New Roman"/>
                      <w:color w:val="000000"/>
                      <w:highlight w:val="none"/>
                    </w:rPr>
                    <w:t>/h）</w:t>
                  </w:r>
                </w:p>
              </w:tc>
              <w:tc>
                <w:tcPr>
                  <w:tcW w:w="2494" w:type="pct"/>
                  <w:noWrap w:val="0"/>
                  <w:vAlign w:val="center"/>
                </w:tcPr>
                <w:p w14:paraId="62B18A57">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3</w:t>
                  </w:r>
                </w:p>
              </w:tc>
            </w:tr>
            <w:tr w14:paraId="2CEAD9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880" w:type="pct"/>
                  <w:noWrap w:val="0"/>
                  <w:vAlign w:val="center"/>
                </w:tcPr>
                <w:p w14:paraId="4044CBFE">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油拖网</w:t>
                  </w:r>
                  <w:r>
                    <w:rPr>
                      <w:rFonts w:hint="default" w:ascii="Times New Roman" w:hAnsi="Times New Roman" w:cs="Times New Roman"/>
                      <w:color w:val="000000"/>
                      <w:highlight w:val="none"/>
                      <w:vertAlign w:val="superscript"/>
                    </w:rPr>
                    <w:t>a</w:t>
                  </w:r>
                </w:p>
              </w:tc>
              <w:tc>
                <w:tcPr>
                  <w:tcW w:w="1624" w:type="pct"/>
                  <w:noWrap w:val="0"/>
                  <w:vAlign w:val="center"/>
                </w:tcPr>
                <w:p w14:paraId="3269AD67">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数量（套）</w:t>
                  </w:r>
                </w:p>
              </w:tc>
              <w:tc>
                <w:tcPr>
                  <w:tcW w:w="2494" w:type="pct"/>
                  <w:noWrap w:val="0"/>
                  <w:vAlign w:val="center"/>
                </w:tcPr>
                <w:p w14:paraId="0C985CC9">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1</w:t>
                  </w:r>
                </w:p>
              </w:tc>
            </w:tr>
            <w:tr w14:paraId="308907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880" w:type="pct"/>
                  <w:noWrap w:val="0"/>
                  <w:vAlign w:val="center"/>
                </w:tcPr>
                <w:p w14:paraId="14343E3B">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吸油材料</w:t>
                  </w:r>
                </w:p>
              </w:tc>
              <w:tc>
                <w:tcPr>
                  <w:tcW w:w="1624" w:type="pct"/>
                  <w:noWrap w:val="0"/>
                  <w:vAlign w:val="center"/>
                </w:tcPr>
                <w:p w14:paraId="64168B1F">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数量（t）</w:t>
                  </w:r>
                </w:p>
              </w:tc>
              <w:tc>
                <w:tcPr>
                  <w:tcW w:w="2494" w:type="pct"/>
                  <w:noWrap w:val="0"/>
                  <w:vAlign w:val="center"/>
                </w:tcPr>
                <w:p w14:paraId="5313EDA8">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0.5</w:t>
                  </w:r>
                </w:p>
              </w:tc>
            </w:tr>
            <w:tr w14:paraId="3ED77E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880" w:type="pct"/>
                  <w:noWrap w:val="0"/>
                  <w:vAlign w:val="center"/>
                </w:tcPr>
                <w:p w14:paraId="20998089">
                  <w:pPr>
                    <w:pStyle w:val="31"/>
                    <w:bidi w:val="0"/>
                    <w:rPr>
                      <w:rFonts w:hint="default" w:ascii="Times New Roman" w:hAnsi="Times New Roman" w:cs="Times New Roman"/>
                      <w:color w:val="000000"/>
                      <w:highlight w:val="none"/>
                      <w:lang w:val="en-US" w:eastAsia="en-US"/>
                    </w:rPr>
                  </w:pPr>
                  <w:r>
                    <w:rPr>
                      <w:rFonts w:hint="default" w:ascii="Times New Roman" w:hAnsi="Times New Roman" w:cs="Times New Roman"/>
                      <w:color w:val="000000"/>
                      <w:highlight w:val="none"/>
                    </w:rPr>
                    <w:t>溢油分散剂</w:t>
                  </w:r>
                </w:p>
              </w:tc>
              <w:tc>
                <w:tcPr>
                  <w:tcW w:w="1624" w:type="pct"/>
                  <w:noWrap w:val="0"/>
                  <w:vAlign w:val="center"/>
                </w:tcPr>
                <w:p w14:paraId="0DD0B411">
                  <w:pPr>
                    <w:pStyle w:val="31"/>
                    <w:bidi w:val="0"/>
                    <w:rPr>
                      <w:rFonts w:hint="default" w:ascii="Times New Roman" w:hAnsi="Times New Roman" w:cs="Times New Roman"/>
                      <w:color w:val="000000"/>
                      <w:highlight w:val="none"/>
                      <w:lang w:val="en-US" w:eastAsia="en-US"/>
                    </w:rPr>
                  </w:pPr>
                  <w:r>
                    <w:rPr>
                      <w:rFonts w:hint="default" w:ascii="Times New Roman" w:hAnsi="Times New Roman" w:cs="Times New Roman"/>
                      <w:color w:val="000000"/>
                      <w:highlight w:val="none"/>
                    </w:rPr>
                    <w:t>浓缩型溢油分散，数量（t）</w:t>
                  </w:r>
                </w:p>
              </w:tc>
              <w:tc>
                <w:tcPr>
                  <w:tcW w:w="2494" w:type="pct"/>
                  <w:noWrap w:val="0"/>
                  <w:vAlign w:val="center"/>
                </w:tcPr>
                <w:p w14:paraId="288D8BBF">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rPr>
                    <w:t>0.4</w:t>
                  </w:r>
                </w:p>
              </w:tc>
            </w:tr>
            <w:tr w14:paraId="79349B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880" w:type="pct"/>
                  <w:noWrap w:val="0"/>
                  <w:vAlign w:val="center"/>
                </w:tcPr>
                <w:p w14:paraId="057BC9A6">
                  <w:pPr>
                    <w:pStyle w:val="31"/>
                    <w:bidi w:val="0"/>
                    <w:rPr>
                      <w:rFonts w:hint="default" w:ascii="Times New Roman" w:hAnsi="Times New Roman" w:cs="Times New Roman"/>
                      <w:color w:val="000000"/>
                      <w:highlight w:val="none"/>
                      <w:lang w:val="en-US" w:eastAsia="en-US"/>
                    </w:rPr>
                  </w:pPr>
                  <w:r>
                    <w:rPr>
                      <w:rFonts w:hint="default" w:ascii="Times New Roman" w:hAnsi="Times New Roman" w:cs="Times New Roman"/>
                      <w:color w:val="000000"/>
                      <w:highlight w:val="none"/>
                    </w:rPr>
                    <w:t>溢油分散剂喷洒装置</w:t>
                  </w:r>
                </w:p>
              </w:tc>
              <w:tc>
                <w:tcPr>
                  <w:tcW w:w="1624" w:type="pct"/>
                  <w:noWrap w:val="0"/>
                  <w:vAlign w:val="center"/>
                </w:tcPr>
                <w:p w14:paraId="788972D9">
                  <w:pPr>
                    <w:pStyle w:val="31"/>
                    <w:bidi w:val="0"/>
                    <w:rPr>
                      <w:rFonts w:hint="default" w:ascii="Times New Roman" w:hAnsi="Times New Roman" w:cs="Times New Roman"/>
                      <w:color w:val="000000"/>
                      <w:highlight w:val="none"/>
                      <w:lang w:val="en-US" w:eastAsia="en-US"/>
                    </w:rPr>
                  </w:pPr>
                  <w:r>
                    <w:rPr>
                      <w:rFonts w:hint="default" w:ascii="Times New Roman" w:hAnsi="Times New Roman" w:cs="Times New Roman"/>
                      <w:color w:val="000000"/>
                      <w:highlight w:val="none"/>
                    </w:rPr>
                    <w:t>数量（套）</w:t>
                  </w:r>
                </w:p>
              </w:tc>
              <w:tc>
                <w:tcPr>
                  <w:tcW w:w="2494" w:type="pct"/>
                  <w:noWrap w:val="0"/>
                  <w:vAlign w:val="center"/>
                </w:tcPr>
                <w:p w14:paraId="6F7BC03C">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rPr>
                    <w:t>1</w:t>
                  </w:r>
                </w:p>
              </w:tc>
            </w:tr>
            <w:tr w14:paraId="1EA55A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880" w:type="pct"/>
                  <w:noWrap w:val="0"/>
                  <w:vAlign w:val="center"/>
                </w:tcPr>
                <w:p w14:paraId="1694C870">
                  <w:pPr>
                    <w:pStyle w:val="31"/>
                    <w:bidi w:val="0"/>
                    <w:rPr>
                      <w:rFonts w:hint="default" w:ascii="Times New Roman" w:hAnsi="Times New Roman" w:cs="Times New Roman"/>
                      <w:color w:val="000000"/>
                      <w:highlight w:val="none"/>
                      <w:lang w:val="en-US" w:eastAsia="en-US"/>
                    </w:rPr>
                  </w:pPr>
                  <w:r>
                    <w:rPr>
                      <w:rFonts w:hint="default" w:ascii="Times New Roman" w:hAnsi="Times New Roman" w:cs="Times New Roman"/>
                      <w:color w:val="000000"/>
                      <w:highlight w:val="none"/>
                    </w:rPr>
                    <w:t>储存装置</w:t>
                  </w:r>
                </w:p>
              </w:tc>
              <w:tc>
                <w:tcPr>
                  <w:tcW w:w="1624" w:type="pct"/>
                  <w:noWrap w:val="0"/>
                  <w:vAlign w:val="center"/>
                </w:tcPr>
                <w:p w14:paraId="4C46BF4F">
                  <w:pPr>
                    <w:pStyle w:val="31"/>
                    <w:bidi w:val="0"/>
                    <w:rPr>
                      <w:rFonts w:hint="default" w:ascii="Times New Roman" w:hAnsi="Times New Roman" w:cs="Times New Roman"/>
                      <w:color w:val="000000"/>
                      <w:highlight w:val="none"/>
                      <w:lang w:val="en-US" w:eastAsia="en-US"/>
                    </w:rPr>
                  </w:pPr>
                  <w:r>
                    <w:rPr>
                      <w:rFonts w:hint="default" w:ascii="Times New Roman" w:hAnsi="Times New Roman" w:cs="Times New Roman"/>
                      <w:color w:val="000000"/>
                      <w:highlight w:val="none"/>
                    </w:rPr>
                    <w:t>有效容积（m</w:t>
                  </w:r>
                  <w:r>
                    <w:rPr>
                      <w:rFonts w:hint="default" w:ascii="Times New Roman" w:hAnsi="Times New Roman" w:cs="Times New Roman"/>
                      <w:color w:val="000000"/>
                      <w:highlight w:val="none"/>
                      <w:vertAlign w:val="superscript"/>
                    </w:rPr>
                    <w:t>3</w:t>
                  </w:r>
                  <w:r>
                    <w:rPr>
                      <w:rFonts w:hint="default" w:ascii="Times New Roman" w:hAnsi="Times New Roman" w:cs="Times New Roman"/>
                      <w:color w:val="000000"/>
                      <w:highlight w:val="none"/>
                    </w:rPr>
                    <w:t>）</w:t>
                  </w:r>
                </w:p>
              </w:tc>
              <w:tc>
                <w:tcPr>
                  <w:tcW w:w="2494" w:type="pct"/>
                  <w:noWrap w:val="0"/>
                  <w:vAlign w:val="center"/>
                </w:tcPr>
                <w:p w14:paraId="1510A7CF">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rPr>
                    <w:t>3</w:t>
                  </w:r>
                </w:p>
              </w:tc>
            </w:tr>
            <w:tr w14:paraId="360768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880" w:type="pct"/>
                  <w:noWrap w:val="0"/>
                  <w:vAlign w:val="center"/>
                </w:tcPr>
                <w:p w14:paraId="60764F84">
                  <w:pPr>
                    <w:pStyle w:val="31"/>
                    <w:bidi w:val="0"/>
                    <w:rPr>
                      <w:rFonts w:hint="default" w:ascii="Times New Roman" w:hAnsi="Times New Roman" w:cs="Times New Roman"/>
                      <w:color w:val="000000"/>
                      <w:highlight w:val="none"/>
                      <w:lang w:val="en-US" w:eastAsia="en-US"/>
                    </w:rPr>
                  </w:pPr>
                  <w:r>
                    <w:rPr>
                      <w:rFonts w:hint="default" w:ascii="Times New Roman" w:hAnsi="Times New Roman" w:cs="Times New Roman"/>
                      <w:color w:val="000000"/>
                      <w:highlight w:val="none"/>
                    </w:rPr>
                    <w:t>围油栏布放艇</w:t>
                  </w:r>
                </w:p>
              </w:tc>
              <w:tc>
                <w:tcPr>
                  <w:tcW w:w="1624" w:type="pct"/>
                  <w:noWrap w:val="0"/>
                  <w:vAlign w:val="center"/>
                </w:tcPr>
                <w:p w14:paraId="2C3ED706">
                  <w:pPr>
                    <w:pStyle w:val="31"/>
                    <w:bidi w:val="0"/>
                    <w:rPr>
                      <w:rFonts w:hint="default" w:ascii="Times New Roman" w:hAnsi="Times New Roman" w:cs="Times New Roman"/>
                      <w:color w:val="000000"/>
                      <w:highlight w:val="none"/>
                      <w:lang w:val="en-US" w:eastAsia="en-US"/>
                    </w:rPr>
                  </w:pPr>
                  <w:r>
                    <w:rPr>
                      <w:rFonts w:hint="default" w:ascii="Times New Roman" w:hAnsi="Times New Roman" w:cs="Times New Roman"/>
                      <w:color w:val="000000"/>
                      <w:highlight w:val="none"/>
                    </w:rPr>
                    <w:t>数量（艘）</w:t>
                  </w:r>
                </w:p>
              </w:tc>
              <w:tc>
                <w:tcPr>
                  <w:tcW w:w="2494" w:type="pct"/>
                  <w:noWrap w:val="0"/>
                  <w:vAlign w:val="center"/>
                </w:tcPr>
                <w:p w14:paraId="246EC7C5">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rPr>
                    <w:t>1</w:t>
                  </w:r>
                </w:p>
              </w:tc>
            </w:tr>
            <w:tr w14:paraId="2E2E12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5000" w:type="pct"/>
                  <w:gridSpan w:val="3"/>
                  <w:noWrap w:val="0"/>
                  <w:vAlign w:val="center"/>
                </w:tcPr>
                <w:p w14:paraId="79275C8B">
                  <w:pPr>
                    <w:pStyle w:val="31"/>
                    <w:bidi w:val="0"/>
                    <w:jc w:val="both"/>
                    <w:rPr>
                      <w:rFonts w:hint="default" w:ascii="Times New Roman" w:hAnsi="Times New Roman" w:cs="Times New Roman"/>
                      <w:color w:val="000000"/>
                      <w:highlight w:val="none"/>
                    </w:rPr>
                  </w:pPr>
                  <w:r>
                    <w:rPr>
                      <w:rFonts w:hint="default" w:ascii="Times New Roman" w:hAnsi="Times New Roman" w:cs="Times New Roman"/>
                      <w:color w:val="000000"/>
                      <w:highlight w:val="none"/>
                    </w:rPr>
                    <w:t>注a</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仅适用于油品的黏度大于6000cSt或在港区水域的水温可能低于油品凝点的情况下配备。</w:t>
                  </w:r>
                </w:p>
              </w:tc>
            </w:tr>
          </w:tbl>
          <w:p w14:paraId="618395A9">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（2）应急设备管理要求</w:t>
            </w:r>
          </w:p>
          <w:p w14:paraId="290C54B9">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①港口、码头、装卸站应制定水上污染事故应急预案，定期开展应急培训和应急演练。</w:t>
            </w:r>
          </w:p>
          <w:p w14:paraId="696A9039">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②港口、码头、装卸站应配备专职或兼职的应急人员，应急人员应熟悉使用基本防备要求的设备和物资。通过联防、购买服务方式满足应急防备能力要求的，应在应急预案中列明联防机构或受委托的应急单位应急人员的配备情况。</w:t>
            </w:r>
          </w:p>
          <w:p w14:paraId="27EE4C63">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③港口、码头、装卸站应定期对溢油应急设备设施进行维护、保养，确保其在应急处置行动中的正常使用。</w:t>
            </w:r>
          </w:p>
          <w:p w14:paraId="43EB6427">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④同一港口或同一港区、作业区的码头、装卸站，宜参加或建立联防机构。联防机构各成员之间应有合作协议、应急联动预案以及联动指挥调度系统。</w:t>
            </w:r>
          </w:p>
          <w:p w14:paraId="38E9BF3A">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⑤港口、码头、装卸站通过购买服务方式满足应急防备能力要求的，应按照JT/T877对提供应急防备服务的单位的应急防备能力进行评估；船舶污染清除单位提供应急防备服务的，不应影响其为船舶提供应急服务的能力。</w:t>
            </w:r>
          </w:p>
          <w:p w14:paraId="45019A52">
            <w:pPr>
              <w:pStyle w:val="4"/>
              <w:bidi w:val="0"/>
              <w:rPr>
                <w:rFonts w:hint="default"/>
              </w:rPr>
            </w:pPr>
            <w:bookmarkStart w:id="524" w:name="_Toc563"/>
            <w:bookmarkStart w:id="525" w:name="_Toc22750"/>
            <w:r>
              <w:rPr>
                <w:rFonts w:hint="default"/>
                <w:lang w:val="en-US" w:eastAsia="zh-CN"/>
              </w:rPr>
              <w:t>应急预案</w:t>
            </w:r>
            <w:bookmarkEnd w:id="524"/>
            <w:bookmarkEnd w:id="525"/>
          </w:p>
          <w:p w14:paraId="235D66A2">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建设单位应根据国家、福建省《突发环境事件应急预案》《环境污染事故应急预案编制指南》的有关规定，以及海事部门</w:t>
            </w:r>
            <w:r>
              <w:rPr>
                <w:rFonts w:hint="default" w:ascii="Times New Roman" w:hAnsi="Times New Roman" w:cs="Times New Roman"/>
                <w:color w:val="000000"/>
                <w:highlight w:val="none"/>
                <w:lang w:eastAsia="zh-CN"/>
              </w:rPr>
              <w:t>对</w:t>
            </w:r>
            <w:r>
              <w:rPr>
                <w:rFonts w:hint="default" w:ascii="Times New Roman" w:hAnsi="Times New Roman" w:cs="Times New Roman"/>
                <w:color w:val="000000"/>
                <w:highlight w:val="none"/>
              </w:rPr>
              <w:t>该海域通航风险应急预案的内容，制定应急预案，上报当地政府有关部门审批备案，并与当地海事部门产生联动机制。本工程应急预案主要内容如下：</w:t>
            </w:r>
          </w:p>
          <w:p w14:paraId="0816AA17">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（1）机构与职责</w:t>
            </w:r>
          </w:p>
          <w:p w14:paraId="67610D7E">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①成立安全领导小组和应急指挥部门：明确其负责人和组成人员，规定其职责，包括初始评估溢油事故，制定并实施应急计划，组建应急队伍和组织应急行动，发布和解除应急信号，向相关政府主管机关通报事故情况，必要时请求支援，组织抢修抢建，分析事故原因并作出处理。</w:t>
            </w:r>
          </w:p>
          <w:p w14:paraId="4CAE28C0">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②组织应急专业</w:t>
            </w:r>
            <w:r>
              <w:rPr>
                <w:rFonts w:hint="default" w:ascii="Times New Roman" w:hAnsi="Times New Roman" w:cs="Times New Roman"/>
                <w:color w:val="000000"/>
                <w:highlight w:val="none"/>
                <w:lang w:eastAsia="zh-CN"/>
              </w:rPr>
              <w:t>队伍</w:t>
            </w:r>
            <w:r>
              <w:rPr>
                <w:rFonts w:hint="default" w:ascii="Times New Roman" w:hAnsi="Times New Roman" w:cs="Times New Roman"/>
                <w:color w:val="000000"/>
                <w:highlight w:val="none"/>
              </w:rPr>
              <w:t>：包括消防、清污、救护等，并明确其职责。</w:t>
            </w:r>
          </w:p>
          <w:p w14:paraId="2D6C79AE">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（2）事故报告、初始评估和预警</w:t>
            </w:r>
          </w:p>
          <w:p w14:paraId="3806E95D">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①</w:t>
            </w:r>
            <w:r>
              <w:rPr>
                <w:rFonts w:hint="default" w:ascii="Times New Roman" w:hAnsi="Times New Roman" w:cs="Times New Roman"/>
                <w:color w:val="000000"/>
                <w:highlight w:val="none"/>
              </w:rPr>
              <w:t>事故信息报告</w:t>
            </w:r>
          </w:p>
          <w:p w14:paraId="4A993F98">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事故信息报告包括单位、部门和个人报告，事故船舶报告，指挥部办公室报告，动态信息报告。</w:t>
            </w:r>
          </w:p>
          <w:p w14:paraId="6A0F9C6E">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②</w:t>
            </w:r>
            <w:r>
              <w:rPr>
                <w:rFonts w:hint="default" w:ascii="Times New Roman" w:hAnsi="Times New Roman" w:cs="Times New Roman"/>
                <w:color w:val="000000"/>
                <w:highlight w:val="none"/>
              </w:rPr>
              <w:t>初始评估</w:t>
            </w:r>
          </w:p>
          <w:p w14:paraId="66CD7A01">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指挥部办公室在调查核实事故有关信息后，应根据环境敏感图、当时水文气象资料及事故报告内容对事故进行初步评估，判断污染事故的紧迫程度和对人身安全、环境和资源造成威胁的可能性和污染程度、影响范围，确定是否发布预警、启动响应程序。</w:t>
            </w:r>
          </w:p>
          <w:p w14:paraId="3C32F5BD">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③</w:t>
            </w:r>
            <w:r>
              <w:rPr>
                <w:rFonts w:hint="default" w:ascii="Times New Roman" w:hAnsi="Times New Roman" w:cs="Times New Roman"/>
                <w:color w:val="000000"/>
                <w:highlight w:val="none"/>
              </w:rPr>
              <w:t>事故预警</w:t>
            </w:r>
          </w:p>
          <w:p w14:paraId="4CFB4FB0">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指挥部根据初始评估结果，决定向哪一部门发出事故预警，并要求各方面做好资源保护和污染应急准备工作，需要援助时提出援助请求。</w:t>
            </w:r>
          </w:p>
          <w:p w14:paraId="538E9B85">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应急救援指挥部成员单位接到事故预警后，应及时按计划的规定和要求做好污染事故防备和应急反应的各项工作，及时将采取或可能采取的措施反馈给指挥部，听从指挥部的统一指挥和安排，做好记录工作。</w:t>
            </w:r>
          </w:p>
          <w:p w14:paraId="64F342E9">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（3）应急响应</w:t>
            </w:r>
          </w:p>
          <w:p w14:paraId="35AAE0F6">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①</w:t>
            </w:r>
            <w:r>
              <w:rPr>
                <w:rFonts w:hint="default" w:ascii="Times New Roman" w:hAnsi="Times New Roman" w:cs="Times New Roman"/>
                <w:color w:val="000000"/>
                <w:highlight w:val="none"/>
              </w:rPr>
              <w:t>分级响应</w:t>
            </w:r>
          </w:p>
          <w:p w14:paraId="285E5793">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根据《福建省渔业水域污染事故应急处置工作方案（暂行）》规定，</w:t>
            </w:r>
            <w:r>
              <w:rPr>
                <w:rFonts w:hint="default" w:ascii="Times New Roman" w:hAnsi="Times New Roman" w:cs="Times New Roman"/>
                <w:color w:val="000000"/>
                <w:highlight w:val="none"/>
                <w:lang w:val="en-US" w:eastAsia="zh-CN"/>
              </w:rPr>
              <w:t>海亮沃口一级渔港</w:t>
            </w:r>
            <w:r>
              <w:rPr>
                <w:rFonts w:hint="default" w:ascii="Times New Roman" w:hAnsi="Times New Roman" w:cs="Times New Roman"/>
                <w:color w:val="000000"/>
                <w:highlight w:val="none"/>
              </w:rPr>
              <w:t>渔船活动水污染事故分为3个等级，分别由</w:t>
            </w:r>
            <w:r>
              <w:rPr>
                <w:rFonts w:hint="default" w:ascii="Times New Roman" w:hAnsi="Times New Roman" w:cs="Times New Roman"/>
                <w:color w:val="000000"/>
                <w:highlight w:val="none"/>
                <w:lang w:val="en-US" w:eastAsia="zh-CN"/>
              </w:rPr>
              <w:t>福清市</w:t>
            </w:r>
            <w:r>
              <w:rPr>
                <w:rFonts w:hint="default" w:ascii="Times New Roman" w:hAnsi="Times New Roman" w:cs="Times New Roman"/>
                <w:color w:val="000000"/>
                <w:highlight w:val="none"/>
              </w:rPr>
              <w:t>、</w:t>
            </w:r>
            <w:r>
              <w:rPr>
                <w:rFonts w:hint="default" w:ascii="Times New Roman" w:hAnsi="Times New Roman" w:cs="Times New Roman"/>
                <w:color w:val="000000"/>
                <w:highlight w:val="none"/>
                <w:lang w:val="en-US" w:eastAsia="zh-CN"/>
              </w:rPr>
              <w:t>福州市</w:t>
            </w:r>
            <w:r>
              <w:rPr>
                <w:rFonts w:hint="default" w:ascii="Times New Roman" w:hAnsi="Times New Roman" w:cs="Times New Roman"/>
                <w:color w:val="000000"/>
                <w:highlight w:val="none"/>
              </w:rPr>
              <w:t>和福建省渔业行政主管部门负责调查、处置和处理。</w:t>
            </w:r>
          </w:p>
          <w:p w14:paraId="725A69BE">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海亮沃口一级渔港</w:t>
            </w:r>
            <w:r>
              <w:rPr>
                <w:rFonts w:hint="default" w:ascii="Times New Roman" w:hAnsi="Times New Roman" w:cs="Times New Roman"/>
                <w:color w:val="000000"/>
                <w:highlight w:val="none"/>
              </w:rPr>
              <w:t>应急指挥部启动本级应急响应，由于能力和条件所限不能及时有效处置突发事故时，可请求上级应急处置领导小组启动相应级别的应急响应。</w:t>
            </w:r>
          </w:p>
          <w:p w14:paraId="4F40F52B">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事故等级确定后，因事态发展导致事故分级发生变化的，应及时提升或降低事故响应级别。</w:t>
            </w:r>
          </w:p>
          <w:p w14:paraId="4040E9C3">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②</w:t>
            </w:r>
            <w:r>
              <w:rPr>
                <w:rFonts w:hint="default" w:ascii="Times New Roman" w:hAnsi="Times New Roman" w:cs="Times New Roman"/>
                <w:color w:val="000000"/>
                <w:highlight w:val="none"/>
              </w:rPr>
              <w:t>事故进一步评估</w:t>
            </w:r>
          </w:p>
          <w:p w14:paraId="24A11F9C">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指挥部办公室应根据所掌握的信息召集有关专家、成员单位对污染事故进行进一步评估。</w:t>
            </w:r>
          </w:p>
          <w:p w14:paraId="5D79262F">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③</w:t>
            </w:r>
            <w:r>
              <w:rPr>
                <w:rFonts w:hint="default" w:ascii="Times New Roman" w:hAnsi="Times New Roman" w:cs="Times New Roman"/>
                <w:color w:val="000000"/>
                <w:highlight w:val="none"/>
              </w:rPr>
              <w:t>现场应急行动</w:t>
            </w:r>
          </w:p>
          <w:p w14:paraId="4DE3B505">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为高效执行现场应急行动方案，由应急处置组、事故调查组、后勤保障组等3个现场应急小组分工协作，开展现场应急处置工作。应急处置组分工安排：人员抢救、污染源控制、防火防爆围控、污染物清除。事故调查组分工安排：应急监测、索赔取证。后勤保障组：后勤支持。</w:t>
            </w:r>
          </w:p>
          <w:p w14:paraId="28583EC1">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人员抢救：在确保安全的前提下组织抢救遇险人员，控制危险源，封锁危险场所。杜绝盲目施救，防止事态扩大。立即下达停产撤人命令，组织现场人员及时、有序撤离到安全地点，减少人员伤亡。</w:t>
            </w:r>
          </w:p>
          <w:p w14:paraId="51CA26AB">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污染源控制：查找造成污染事故的原因和污染源。采取封控、堵漏、转驳等有效措施及时切断污染源，消减或防止污染物扩散。</w:t>
            </w:r>
          </w:p>
          <w:p w14:paraId="0B9B06E1">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防火防爆围控：发生火灾附近的渔民、工作人员，在保证个人人身安全的前提下，有义务就近使用灭火器展开初期火灾的扑救工作。消防队接到报警后应立即出发赶赴火场，根据火灾情况，组织有效灭火战斗，同时帮助火灾区域的人员进行有效疏散。消防队到达火场时，在火灾现场周围应拉设警戒带，以免其他人员误入火场造成伤害。协助消防队员隔离火灾危险源和重要物资，必要时对重要物资进行转移，并充分利用消防设施和器材进行灭火。采取必要的防爆措施，杜绝安全事故的发生。</w:t>
            </w:r>
          </w:p>
          <w:p w14:paraId="038D5D20">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污染物清除：对非持久性油污，由于此类油经过一定时间，大部分会挥发掉，一般不大可能采取回收方式，但为防止其向附近的敏感区扩散，视情况可利用围油栏、吸油材料等进行围控和清除；经渔业行政主管部门批准，可使用消油剂（沉降剂、分散剂）；严格控制消油剂的</w:t>
            </w:r>
            <w:r>
              <w:rPr>
                <w:rFonts w:hint="default" w:ascii="Times New Roman" w:hAnsi="Times New Roman" w:cs="Times New Roman"/>
                <w:color w:val="000000"/>
                <w:highlight w:val="none"/>
                <w:lang w:val="en-US" w:eastAsia="zh-CN"/>
              </w:rPr>
              <w:t>使用</w:t>
            </w:r>
            <w:r>
              <w:rPr>
                <w:rFonts w:hint="default" w:ascii="Times New Roman" w:hAnsi="Times New Roman" w:cs="Times New Roman"/>
                <w:color w:val="000000"/>
                <w:highlight w:val="none"/>
              </w:rPr>
              <w:t>，根据溢油的物理和化学性质、溢油量、溢油点位置以及周围的环境情况等，权衡利弊后，决定是否使用</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若经预测和实际观察，溢油总的趋势向外海扩散时，应采取严格监测溢油动向的相应措施。对持久性的油类，在可能的情况下，应采取物理方式进行回收，可以使用回收船、撇油器、吸油材料以及人工捞取等方法；回收的废油、含油废水和岸上清理出来的油污废弃物等，应考虑其运输、储存、处理的方法。船舶污油、类油物质和沾油废弃物的回收单位必须经海事局主管部门认可，作业单位应按要求进行，防止二次污染；受溢油污染的岸线，油污清除后，还要进行恢复。</w:t>
            </w:r>
          </w:p>
          <w:p w14:paraId="6FFD4F56">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应急监测：从《污染事故应急监测机构备选清单》中遴选监测单位进行。</w:t>
            </w:r>
          </w:p>
          <w:p w14:paraId="458EEC96">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④</w:t>
            </w:r>
            <w:r>
              <w:rPr>
                <w:rFonts w:hint="default" w:ascii="Times New Roman" w:hAnsi="Times New Roman" w:cs="Times New Roman"/>
                <w:color w:val="000000"/>
                <w:highlight w:val="none"/>
              </w:rPr>
              <w:t>应急响应的结束</w:t>
            </w:r>
          </w:p>
          <w:p w14:paraId="43003EB8">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在下列情况下，</w:t>
            </w:r>
            <w:r>
              <w:rPr>
                <w:rFonts w:hint="default" w:ascii="Times New Roman" w:hAnsi="Times New Roman" w:cs="Times New Roman"/>
                <w:color w:val="000000"/>
                <w:highlight w:val="none"/>
                <w:lang w:val="en-US" w:eastAsia="zh-CN"/>
              </w:rPr>
              <w:t>海亮沃口一级渔港</w:t>
            </w:r>
            <w:r>
              <w:rPr>
                <w:rFonts w:hint="default" w:ascii="Times New Roman" w:hAnsi="Times New Roman" w:cs="Times New Roman"/>
                <w:color w:val="000000"/>
                <w:highlight w:val="none"/>
              </w:rPr>
              <w:t>应急指挥部可以经主管部门批准，决定终止应急响应：现场处置已成功或事故紧急情况已不复存在；渔港和人员的安全不再受到威胁；污染物泄漏源或溢出源得到控制，并停止</w:t>
            </w:r>
            <w:r>
              <w:rPr>
                <w:rFonts w:hint="default" w:ascii="Times New Roman" w:hAnsi="Times New Roman" w:cs="Times New Roman"/>
                <w:color w:val="000000"/>
                <w:highlight w:val="none"/>
                <w:lang w:eastAsia="zh-CN"/>
              </w:rPr>
              <w:t>泄漏</w:t>
            </w:r>
            <w:r>
              <w:rPr>
                <w:rFonts w:hint="default" w:ascii="Times New Roman" w:hAnsi="Times New Roman" w:cs="Times New Roman"/>
                <w:color w:val="000000"/>
                <w:highlight w:val="none"/>
              </w:rPr>
              <w:t>或溢出；海洋环境监测项目符合国家相关环境标准，对污染敏感区的威胁已经得到排除，导致次生、衍生事故隐患消除。</w:t>
            </w:r>
          </w:p>
          <w:p w14:paraId="25A34471">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⑤</w:t>
            </w:r>
            <w:r>
              <w:rPr>
                <w:rFonts w:hint="default" w:ascii="Times New Roman" w:hAnsi="Times New Roman" w:cs="Times New Roman"/>
                <w:color w:val="000000"/>
                <w:highlight w:val="none"/>
              </w:rPr>
              <w:t>信息发布</w:t>
            </w:r>
          </w:p>
          <w:p w14:paraId="5D8EB5E7">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由应急指挥部确定新闻发言人，负责向社会发布</w:t>
            </w:r>
            <w:r>
              <w:rPr>
                <w:rFonts w:hint="default" w:ascii="Times New Roman" w:hAnsi="Times New Roman" w:cs="Times New Roman"/>
                <w:color w:val="000000"/>
                <w:highlight w:val="none"/>
                <w:lang w:val="en-US" w:eastAsia="zh-CN"/>
              </w:rPr>
              <w:t>海亮沃口一级渔港</w:t>
            </w:r>
            <w:r>
              <w:rPr>
                <w:rFonts w:hint="default" w:ascii="Times New Roman" w:hAnsi="Times New Roman" w:cs="Times New Roman"/>
                <w:color w:val="000000"/>
                <w:highlight w:val="none"/>
              </w:rPr>
              <w:t>污染突发事件的信息。新闻发布要及时、主动、</w:t>
            </w:r>
            <w:r>
              <w:rPr>
                <w:rFonts w:hint="default" w:ascii="Times New Roman" w:hAnsi="Times New Roman" w:cs="Times New Roman"/>
                <w:color w:val="000000"/>
                <w:highlight w:val="none"/>
                <w:lang w:eastAsia="zh-CN"/>
              </w:rPr>
              <w:t>客观</w:t>
            </w:r>
            <w:r>
              <w:rPr>
                <w:rFonts w:hint="default" w:ascii="Times New Roman" w:hAnsi="Times New Roman" w:cs="Times New Roman"/>
                <w:color w:val="000000"/>
                <w:highlight w:val="none"/>
              </w:rPr>
              <w:t>。视情况，可采取新闻发布会方式或者电视、广播、报刊、新媒体等渠道。</w:t>
            </w:r>
          </w:p>
          <w:p w14:paraId="3EB96AA4">
            <w:pPr>
              <w:pStyle w:val="4"/>
              <w:bidi w:val="0"/>
              <w:rPr>
                <w:rFonts w:hint="default"/>
              </w:rPr>
            </w:pPr>
            <w:bookmarkStart w:id="526" w:name="_Toc10187"/>
            <w:bookmarkStart w:id="527" w:name="_Toc2038"/>
            <w:bookmarkStart w:id="528" w:name="_Toc22851"/>
            <w:r>
              <w:rPr>
                <w:rFonts w:hint="default"/>
              </w:rPr>
              <w:t>其他环境风险评价及防范措施</w:t>
            </w:r>
            <w:bookmarkEnd w:id="526"/>
            <w:bookmarkEnd w:id="527"/>
            <w:bookmarkEnd w:id="528"/>
          </w:p>
          <w:p w14:paraId="490F8A2D">
            <w:pPr>
              <w:pStyle w:val="5"/>
              <w:bidi w:val="0"/>
              <w:rPr>
                <w:rFonts w:hint="default"/>
              </w:rPr>
            </w:pPr>
            <w:bookmarkStart w:id="529" w:name="_Toc24978"/>
            <w:bookmarkStart w:id="530" w:name="_Toc6685"/>
            <w:r>
              <w:rPr>
                <w:rFonts w:hint="default"/>
              </w:rPr>
              <w:t>台风、风暴潮风险分析及防范措施</w:t>
            </w:r>
            <w:bookmarkEnd w:id="529"/>
            <w:bookmarkEnd w:id="530"/>
          </w:p>
          <w:p w14:paraId="407ECF5B">
            <w:pPr>
              <w:bidi w:val="0"/>
              <w:ind w:firstLine="482" w:firstLineChars="200"/>
              <w:rPr>
                <w:rFonts w:hint="default"/>
                <w:b/>
                <w:bCs/>
                <w:lang w:eastAsia="zh-CN"/>
              </w:rPr>
            </w:pPr>
            <w:r>
              <w:rPr>
                <w:rFonts w:hint="eastAsia"/>
                <w:b/>
                <w:bCs/>
                <w:lang w:val="en-US" w:eastAsia="zh-CN"/>
              </w:rPr>
              <w:t>1、</w:t>
            </w:r>
            <w:r>
              <w:rPr>
                <w:rFonts w:hint="default"/>
                <w:b/>
                <w:bCs/>
                <w:lang w:eastAsia="zh-CN"/>
              </w:rPr>
              <w:t>台风、风暴潮风险分析</w:t>
            </w:r>
          </w:p>
          <w:p w14:paraId="2D4C4D51">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台风是福建省海岸带地区的主要灾害性天气，常给这一地区人民的生命财产带来惨重损失。福清地区历年台风出现的时间主要集中在7~9月份，这段时间对施工较为不利。台风灾害作用强，破坏性大，对海岸地貌、海底地形和滨海沉积物运移都有较大影响。台风期间往往伴随大浪和风暴潮增水，具有较大的破坏性，可能造成施工船舶之间发生碰撞且随风暴潮涨落</w:t>
            </w:r>
            <w:r>
              <w:rPr>
                <w:rFonts w:hint="default" w:ascii="Times New Roman" w:hAnsi="Times New Roman" w:cs="Times New Roman"/>
                <w:color w:val="000000"/>
                <w:highlight w:val="none"/>
                <w:lang w:eastAsia="zh-CN"/>
              </w:rPr>
              <w:t>漂走</w:t>
            </w:r>
            <w:r>
              <w:rPr>
                <w:rFonts w:hint="default" w:ascii="Times New Roman" w:hAnsi="Times New Roman" w:cs="Times New Roman"/>
                <w:color w:val="000000"/>
                <w:highlight w:val="none"/>
              </w:rPr>
              <w:t>等事故，并可能对施工人员的人身安全构成威胁，风险性增大。在施工期间，若突遇台风正面袭击，可能造成未完工的工程受到破坏，还可能引起大量泥沙流失，从而严重影响周围海域资源与生态环境。</w:t>
            </w:r>
          </w:p>
          <w:p w14:paraId="2776448B">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项目营运期间，在极端气象条件下（风暴潮和天文大潮期重合），形成风暴增水，有着强大的破坏力，可能构成岸上的建筑物或水中的构筑物崩塌的风险，同时会对来港靠泊的船舶和人员安全产生极大的威胁；渔船遭到破坏产生溢油，会对海洋环境造成巨大影响。</w:t>
            </w:r>
          </w:p>
          <w:p w14:paraId="430F37ED">
            <w:pPr>
              <w:bidi w:val="0"/>
              <w:ind w:firstLine="482" w:firstLineChars="200"/>
              <w:rPr>
                <w:rFonts w:hint="default"/>
                <w:b/>
                <w:bCs/>
              </w:rPr>
            </w:pPr>
            <w:r>
              <w:rPr>
                <w:rFonts w:hint="eastAsia"/>
                <w:b/>
                <w:bCs/>
                <w:lang w:val="en-US" w:eastAsia="zh-CN"/>
              </w:rPr>
              <w:t>2、</w:t>
            </w:r>
            <w:r>
              <w:rPr>
                <w:rFonts w:hint="default"/>
                <w:b/>
                <w:bCs/>
              </w:rPr>
              <w:t>台风、风暴潮风险防范措施</w:t>
            </w:r>
          </w:p>
          <w:p w14:paraId="6BCA35BD">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1）在施工前发布航行公告，严禁无关船舶进入施工作业水域。渔船进港靠泊装卸经过施工水域时，应谨慎操作，缓速行驶，并与施工船舶保持适当安全距离。应注意施工期间对进出港渔船的影响，加强对施工船舶作业的监管。</w:t>
            </w:r>
          </w:p>
          <w:p w14:paraId="3DDED903">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（2）施工作业船舶必须具有合格的证书，并处于适航状态，配备符合要求的船员，施工船作业时应正确显示规定的信号。</w:t>
            </w:r>
          </w:p>
          <w:p w14:paraId="356D5038">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（3）工程竣工后，施工方及时清除遗留在施工作业水域的碍航物，认真检查水工建筑及其附属设施是否</w:t>
            </w:r>
            <w:r>
              <w:rPr>
                <w:rFonts w:hint="default" w:ascii="Times New Roman" w:hAnsi="Times New Roman" w:cs="Times New Roman"/>
                <w:color w:val="000000"/>
                <w:highlight w:val="none"/>
                <w:lang w:eastAsia="zh-CN"/>
              </w:rPr>
              <w:t>达到</w:t>
            </w:r>
            <w:r>
              <w:rPr>
                <w:rFonts w:hint="default" w:ascii="Times New Roman" w:hAnsi="Times New Roman" w:cs="Times New Roman"/>
                <w:color w:val="000000"/>
                <w:highlight w:val="none"/>
              </w:rPr>
              <w:t>设计要求，检查施工水域遗留的碍航物是否已清除干净，发现问题及时解决。</w:t>
            </w:r>
          </w:p>
          <w:p w14:paraId="583112F2">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（4）在本工程水域</w:t>
            </w:r>
            <w:r>
              <w:rPr>
                <w:rFonts w:hint="default" w:ascii="Times New Roman" w:hAnsi="Times New Roman" w:cs="Times New Roman"/>
                <w:color w:val="000000"/>
                <w:highlight w:val="none"/>
                <w:lang w:eastAsia="zh-CN"/>
              </w:rPr>
              <w:t>设置</w:t>
            </w:r>
            <w:r>
              <w:rPr>
                <w:rFonts w:hint="default" w:ascii="Times New Roman" w:hAnsi="Times New Roman" w:cs="Times New Roman"/>
                <w:color w:val="000000"/>
                <w:highlight w:val="none"/>
              </w:rPr>
              <w:t>助航标志，标示工程范围，警示过往船舶与工程保持一定安全距离，通航安全保障设施应同步设计、同步建设、同步投入使用。</w:t>
            </w:r>
          </w:p>
          <w:p w14:paraId="1CA65137">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（5）台风期，项目业主通过与当地海事局、海洋渔业主管部门、</w:t>
            </w:r>
            <w:r>
              <w:rPr>
                <w:rFonts w:hint="default" w:ascii="Times New Roman" w:hAnsi="Times New Roman" w:cs="Times New Roman"/>
                <w:color w:val="000000"/>
                <w:highlight w:val="none"/>
                <w:lang w:eastAsia="zh-CN"/>
              </w:rPr>
              <w:t>沃口村</w:t>
            </w:r>
            <w:r>
              <w:rPr>
                <w:rFonts w:hint="default" w:ascii="Times New Roman" w:hAnsi="Times New Roman" w:cs="Times New Roman"/>
                <w:color w:val="000000"/>
                <w:highlight w:val="none"/>
              </w:rPr>
              <w:t>委会等有关部门联络，合理指导渔船提前做好避风工作，采取相应的避让措施，以避免船舶碰撞事故的发生。编制台风或风暴潮事故应急预案。</w:t>
            </w:r>
          </w:p>
          <w:p w14:paraId="29A8A766">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（6）建立台风、风暴潮风险应急预案制度</w:t>
            </w:r>
          </w:p>
          <w:p w14:paraId="2E9CD791">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本工程施工、运营期间要做好防台风袭击的各项应急预案和措施，加强与气象、水利等部门的联系，做好预报预警工作；加强工程设计施工和质量管理，保证工程的防浪防潮设施按标准设计，将可能存在的风险减少到最低程度。</w:t>
            </w:r>
          </w:p>
          <w:p w14:paraId="08045393">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建立统一领导、分级负责、综合协调的组织指挥体系和通畅有效的应急指挥通讯网络，以及严格的安全生产规章制度，积极配合渔业、海事等相关管理部门做好相关应急工作，做到及时有序地防御台风风暴潮灾害，最大限度地减少人员伤亡、财产损失、环境影响。</w:t>
            </w:r>
          </w:p>
          <w:p w14:paraId="38143265">
            <w:pPr>
              <w:pStyle w:val="5"/>
              <w:bidi w:val="0"/>
              <w:rPr>
                <w:rFonts w:hint="default"/>
              </w:rPr>
            </w:pPr>
            <w:bookmarkStart w:id="531" w:name="_Toc4358"/>
            <w:bookmarkStart w:id="532" w:name="_Toc5603"/>
            <w:r>
              <w:rPr>
                <w:rFonts w:hint="default"/>
              </w:rPr>
              <w:t>渔港火灾风险分析</w:t>
            </w:r>
            <w:r>
              <w:rPr>
                <w:rFonts w:hint="default"/>
                <w:lang w:val="en-US" w:eastAsia="zh-CN"/>
              </w:rPr>
              <w:t>及防范措施</w:t>
            </w:r>
            <w:bookmarkEnd w:id="531"/>
            <w:bookmarkEnd w:id="532"/>
          </w:p>
          <w:p w14:paraId="3D346C19">
            <w:pPr>
              <w:bidi w:val="0"/>
              <w:ind w:firstLine="482" w:firstLineChars="200"/>
              <w:rPr>
                <w:rFonts w:hint="default"/>
                <w:b/>
                <w:bCs/>
              </w:rPr>
            </w:pPr>
            <w:r>
              <w:rPr>
                <w:rFonts w:hint="eastAsia"/>
                <w:b/>
                <w:bCs/>
                <w:lang w:val="en-US" w:eastAsia="zh-CN"/>
              </w:rPr>
              <w:t>1、</w:t>
            </w:r>
            <w:r>
              <w:rPr>
                <w:rFonts w:hint="default"/>
                <w:b/>
                <w:bCs/>
              </w:rPr>
              <w:t>渔港火灾风险分析</w:t>
            </w:r>
          </w:p>
          <w:p w14:paraId="02325233">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渔港发生火灾亦是影响渔港安全使用的一个重要因素，特别是项目区港内有较多的木质渔船停泊。渔船起火的原因主要有：①没有做到专人值班，导致小火酿大灾；②电焊、切割作业引发火灾；③购买不合格柴油挥发爆炸引发火灾；④使用液化气引发火灾；⑤烟头乱丢、电器线路老化，物品堆放杂乱等。</w:t>
            </w:r>
          </w:p>
          <w:p w14:paraId="39219979">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渔船火灾的特点：</w:t>
            </w:r>
          </w:p>
          <w:p w14:paraId="57B1882A">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（1）燃烧猛烈、蔓延速度快。如果起火点在船舱内，起火后火势将沿着机器设备、电线、油管等向四周和上部船板蔓延，一般在起火后20分钟内就能蔓延整个渔船，还殃及相邻的渔船，造成火烧连环船；</w:t>
            </w:r>
          </w:p>
          <w:p w14:paraId="1A048DC2">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2）温度高，烟雾浓，有毒气体多。由于船舶结构复杂，各层舱室比较封闭，燃烧氧气的供给主要依靠舱室内和沿通风系统进入的空气。火灾发生后，燃烧产物弥漫整个舱室，当舱门被烧穿后，新鲜空气注入舱室，从而导致预热材料分解的产物燃烧，使燃烧更加剧烈，火焰将通过门孔、走廊、向梯道发展，走廊、梯道将充满高温、浓烟和有毒气体，施救人员极易受到威胁。</w:t>
            </w:r>
          </w:p>
          <w:p w14:paraId="118CDE73">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3）易形成多层、多舱室、立体式火灾。由于舱内易燃物多，各舱室内顶板、底板、侧板相连，火焰高温会迅速加热舱壁、家具和设备的装饰材料，同时被加热的舱壁又将高温传导到上、下、左、右舱室，引燃毗邻舱室内的可燃物，发展成内外着火，纵横燃烧，上下发展的立体火灾，增加灭火作战的难度。</w:t>
            </w:r>
          </w:p>
          <w:p w14:paraId="75490724">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4）火点隐蔽、内攻障碍多，火源不易确定和接近。渔船发生火灾时，燃烧在甲板上进行，消防员虽然扑灭甲板上的火势，为了扑灭舱内火灾，灭火人员不得不从上向下实施进攻，亦受到加热燃烧产生的上升气流（气浪）的冲击，高温气浪及烟雾不仅妨碍侦察工作的进行，而且还阻碍了直接在火源处用水和泡沫射流组织灭火。为此不得不在甲板、舱壁等处进行破拆，以实施火情侦察或内攻灭火。</w:t>
            </w:r>
          </w:p>
          <w:p w14:paraId="7C75AE2B">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（5）容易发生爆炸。因每艘渔船都贮存易燃油品，一旦发生火灾，油箱（柜）、储气钢瓶等在高温烧灼后，有可能发生物理性爆炸，导致火势扩大，船毁人亡。</w:t>
            </w:r>
          </w:p>
          <w:p w14:paraId="7E41D038">
            <w:pPr>
              <w:bidi w:val="0"/>
              <w:ind w:firstLine="482" w:firstLineChars="200"/>
              <w:rPr>
                <w:rFonts w:hint="default"/>
                <w:b/>
                <w:bCs/>
              </w:rPr>
            </w:pPr>
            <w:r>
              <w:rPr>
                <w:rFonts w:hint="eastAsia"/>
                <w:b/>
                <w:bCs/>
                <w:lang w:val="en-US" w:eastAsia="zh-CN"/>
              </w:rPr>
              <w:t>2、</w:t>
            </w:r>
            <w:r>
              <w:rPr>
                <w:rFonts w:hint="default"/>
                <w:b/>
                <w:bCs/>
              </w:rPr>
              <w:t>火灾风险防范</w:t>
            </w:r>
            <w:r>
              <w:rPr>
                <w:rFonts w:hint="default"/>
                <w:b/>
                <w:bCs/>
                <w:lang w:eastAsia="zh-CN"/>
              </w:rPr>
              <w:t>措施</w:t>
            </w:r>
          </w:p>
          <w:p w14:paraId="3BDB9823">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rPr>
              <w:t>渔港火灾防范要做到</w:t>
            </w:r>
            <w:r>
              <w:rPr>
                <w:rFonts w:hint="default" w:ascii="Times New Roman" w:hAnsi="Times New Roman" w:cs="Times New Roman"/>
                <w:color w:val="000000"/>
                <w:highlight w:val="none"/>
                <w:lang w:val="en-US" w:eastAsia="zh-CN"/>
              </w:rPr>
              <w:t>以下</w:t>
            </w:r>
            <w:r>
              <w:rPr>
                <w:rFonts w:hint="default" w:ascii="Times New Roman" w:hAnsi="Times New Roman" w:cs="Times New Roman"/>
                <w:color w:val="000000"/>
                <w:highlight w:val="none"/>
              </w:rPr>
              <w:t>“五个严禁”</w:t>
            </w:r>
            <w:r>
              <w:rPr>
                <w:rFonts w:hint="default" w:ascii="Times New Roman" w:hAnsi="Times New Roman" w:cs="Times New Roman"/>
                <w:color w:val="000000"/>
                <w:highlight w:val="none"/>
                <w:lang w:eastAsia="zh-CN"/>
              </w:rPr>
              <w:t>：</w:t>
            </w:r>
          </w:p>
          <w:p w14:paraId="775BB06E">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①严禁在港内进行电焊、</w:t>
            </w:r>
            <w:r>
              <w:rPr>
                <w:rFonts w:hint="default" w:ascii="Times New Roman" w:hAnsi="Times New Roman" w:cs="Times New Roman"/>
                <w:color w:val="000000"/>
                <w:highlight w:val="none"/>
                <w:lang w:eastAsia="zh-CN"/>
              </w:rPr>
              <w:t>切割</w:t>
            </w:r>
            <w:r>
              <w:rPr>
                <w:rFonts w:hint="default" w:ascii="Times New Roman" w:hAnsi="Times New Roman" w:cs="Times New Roman"/>
                <w:color w:val="000000"/>
                <w:highlight w:val="none"/>
              </w:rPr>
              <w:t>等各种形式的明火修船作业和进行烧香拜神、燃放烟花爆竹等活动；</w:t>
            </w:r>
          </w:p>
          <w:p w14:paraId="6C017BE1">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highlight w:val="none"/>
                <w:lang w:eastAsia="zh-CN"/>
              </w:rPr>
            </w:pPr>
            <w:r>
              <w:rPr>
                <w:rFonts w:hint="default" w:ascii="Times New Roman" w:hAnsi="Times New Roman" w:cs="Times New Roman"/>
                <w:color w:val="000000"/>
                <w:highlight w:val="none"/>
              </w:rPr>
              <w:t>②严禁在船上生火做饭、乱扔烟头；</w:t>
            </w:r>
          </w:p>
          <w:p w14:paraId="6009D2B1">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③严禁把液化气瓶等危险物品遗留船上；</w:t>
            </w:r>
          </w:p>
          <w:p w14:paraId="53066670">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④严禁在船内装卸、运载易燃、易爆等危险物品；</w:t>
            </w:r>
          </w:p>
          <w:p w14:paraId="64F74B62">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⑤严禁电焊船、加油船进入渔港区。</w:t>
            </w:r>
          </w:p>
          <w:p w14:paraId="448D8658">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同时，渔船应配备4个以上ABC类干粉灭火器或泡沫灭火器，并定期保养检修，使之保持良好状态。渔船不得随意拉电线，不得随意使用电热器具，油桶需放置在隐蔽隔离地方，不得随意摆放。此外，渔船要明确消防安全管理人员，船上船员必须懂得常用的灭火逃生知识。当发生火灾后，船员必须疏散引导船上人员安全逃生，船上人员要按照船员的方向逃生，不要跳海逃生。</w:t>
            </w:r>
          </w:p>
          <w:p w14:paraId="5800AAB3">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加强港区管理和值班制度，定期组织消防部门对船上作业人员进行防火安全培训，提升船员的防火安全意识，并通过演练使得渔船安全管理人员和港区管理人员能够熟练使用消防器材，做到一旦发生火灾，能在初始阶段及时扑灭。同时渔港要做好渔港水域火灾事故应急处理预案和预防措施，加强火灾危害宣传，</w:t>
            </w:r>
            <w:r>
              <w:rPr>
                <w:rFonts w:hint="default" w:ascii="Times New Roman" w:hAnsi="Times New Roman" w:cs="Times New Roman"/>
                <w:color w:val="000000"/>
                <w:highlight w:val="none"/>
                <w:lang w:eastAsia="zh-CN"/>
              </w:rPr>
              <w:t>增强</w:t>
            </w:r>
            <w:r>
              <w:rPr>
                <w:rFonts w:hint="default" w:ascii="Times New Roman" w:hAnsi="Times New Roman" w:cs="Times New Roman"/>
                <w:color w:val="000000"/>
                <w:highlight w:val="none"/>
              </w:rPr>
              <w:t>广大渔民的消防安全意识，创建平安渔业。</w:t>
            </w:r>
          </w:p>
          <w:p w14:paraId="0C72E57A">
            <w:pPr>
              <w:pStyle w:val="5"/>
              <w:bidi w:val="0"/>
              <w:rPr>
                <w:rFonts w:hint="default"/>
              </w:rPr>
            </w:pPr>
            <w:bookmarkStart w:id="533" w:name="_Toc30276"/>
            <w:bookmarkStart w:id="534" w:name="_Toc14691"/>
            <w:r>
              <w:rPr>
                <w:rFonts w:hint="default"/>
              </w:rPr>
              <w:t>船舶通航安全风险分析</w:t>
            </w:r>
            <w:r>
              <w:rPr>
                <w:rFonts w:hint="default"/>
                <w:lang w:val="en-US" w:eastAsia="zh-CN"/>
              </w:rPr>
              <w:t>及防范措施</w:t>
            </w:r>
            <w:bookmarkEnd w:id="533"/>
            <w:bookmarkEnd w:id="534"/>
          </w:p>
          <w:p w14:paraId="3B98704B">
            <w:pPr>
              <w:bidi w:val="0"/>
              <w:ind w:firstLine="482" w:firstLineChars="200"/>
              <w:rPr>
                <w:rFonts w:hint="default"/>
                <w:b/>
                <w:bCs/>
              </w:rPr>
            </w:pPr>
            <w:r>
              <w:rPr>
                <w:rFonts w:hint="eastAsia"/>
                <w:b/>
                <w:bCs/>
                <w:lang w:val="en-US" w:eastAsia="zh-CN"/>
              </w:rPr>
              <w:t>1、</w:t>
            </w:r>
            <w:r>
              <w:rPr>
                <w:rFonts w:hint="default"/>
                <w:b/>
                <w:bCs/>
              </w:rPr>
              <w:t>船舶通航安全风险分析</w:t>
            </w:r>
          </w:p>
          <w:p w14:paraId="162E8426">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highlight w:val="none"/>
                <w:lang w:eastAsia="zh-CN"/>
              </w:rPr>
            </w:pPr>
            <w:r>
              <w:rPr>
                <w:rFonts w:hint="default" w:ascii="Times New Roman" w:hAnsi="Times New Roman" w:cs="Times New Roman"/>
                <w:color w:val="000000"/>
                <w:highlight w:val="none"/>
              </w:rPr>
              <w:t>本港区是海亮沃口村渔船靠泊装卸和渔品交易的传统区域，并兼陆岛交通渡口，该区停泊和往来的渔船和客运船舶较多。项目建成后，受东防波堤影响，涨潮时，潮流在流经渔港南侧口门处偏转为向西北方向流动；落潮时，潮流在流经渔港南侧口门处偏转为向南向流动，这与渔船进出渔港口门的行驶方向基本一致或相反，基本不会引起渔船碰撞概率的增加。</w:t>
            </w:r>
          </w:p>
          <w:p w14:paraId="435FCC2D">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项目海上施工期间将对渡口渔船停靠产生短期影响；港区水上施工期间占用一定范围水域，将改变航经该水域船舶的习惯航路，存在误入施工水域的安全隐患，对船只靠泊回旋及正常营运造成一定影响。进出和作业的施工船舶增加了该水域通航密度</w:t>
            </w:r>
            <w:r>
              <w:rPr>
                <w:rFonts w:hint="eastAsia" w:cs="Times New Roman"/>
                <w:color w:val="000000"/>
                <w:highlight w:val="none"/>
                <w:lang w:eastAsia="zh-CN"/>
              </w:rPr>
              <w:t>且</w:t>
            </w:r>
            <w:r>
              <w:rPr>
                <w:rFonts w:hint="default" w:ascii="Times New Roman" w:hAnsi="Times New Roman" w:cs="Times New Roman"/>
                <w:color w:val="000000"/>
                <w:highlight w:val="none"/>
              </w:rPr>
              <w:t>施工船舶操纵性能大都受到限制，与该区过往的渔船和中小型船舶会产生相互干扰，施工期间增加了港区周边海域船舶碰撞的风险。施工现场可能会出现噪声，对过往船舶的听觉</w:t>
            </w:r>
            <w:r>
              <w:rPr>
                <w:rFonts w:hint="default" w:ascii="Times New Roman" w:hAnsi="Times New Roman" w:cs="Times New Roman"/>
                <w:color w:val="000000"/>
                <w:highlight w:val="none"/>
                <w:lang w:eastAsia="zh-CN"/>
              </w:rPr>
              <w:t>瞭望</w:t>
            </w:r>
            <w:r>
              <w:rPr>
                <w:rFonts w:hint="default" w:ascii="Times New Roman" w:hAnsi="Times New Roman" w:cs="Times New Roman"/>
                <w:color w:val="000000"/>
                <w:highlight w:val="none"/>
              </w:rPr>
              <w:t>产生影响，尤其在能见度不良时，施工噪声与船舶的声号容易混淆。但施工期的影响是短暂的，将随工程海上施工的结束而消失。目前港区暂无3000吨冷藏船和10000吨散货船停靠，根据建设单位提供港区今后发展情况，本港建成后，3000吨冷藏船和10000吨散货船来港停靠的频率小、数量少。因此，运营期3000吨冷藏船和10000吨散货船对本港通航密度的影响较小。项目营运期间，来港装卸、补给、交易的渔船将大量增加，周边海域主航道通航密度将增加，相互之间产生一定的影响，船舶碰撞的概率也将随之提高。</w:t>
            </w:r>
          </w:p>
          <w:p w14:paraId="4825B1AA">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为保证海上交通的正常秩序，避免事故的发生，项目建设及营运期间，建设单位应合理安排调度，采取必要的安全保障措施。</w:t>
            </w:r>
          </w:p>
          <w:p w14:paraId="0A98CFC7">
            <w:pPr>
              <w:bidi w:val="0"/>
              <w:ind w:firstLine="482" w:firstLineChars="200"/>
              <w:rPr>
                <w:rFonts w:hint="default"/>
                <w:b/>
                <w:bCs/>
              </w:rPr>
            </w:pPr>
            <w:r>
              <w:rPr>
                <w:rFonts w:hint="eastAsia"/>
                <w:b/>
                <w:bCs/>
                <w:lang w:val="en-US" w:eastAsia="zh-CN"/>
              </w:rPr>
              <w:t>2、</w:t>
            </w:r>
            <w:r>
              <w:rPr>
                <w:rFonts w:hint="default"/>
                <w:b/>
                <w:bCs/>
              </w:rPr>
              <w:t>船舶通航安全风险</w:t>
            </w:r>
            <w:r>
              <w:rPr>
                <w:rFonts w:hint="default"/>
                <w:b/>
                <w:bCs/>
                <w:lang w:val="en-US" w:eastAsia="zh-CN"/>
              </w:rPr>
              <w:t>防范措施</w:t>
            </w:r>
          </w:p>
          <w:p w14:paraId="07694401">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针对项目施工期和运营期对通航环境的影响，施工单位和</w:t>
            </w:r>
            <w:r>
              <w:rPr>
                <w:rFonts w:hint="default" w:ascii="Times New Roman" w:hAnsi="Times New Roman" w:cs="Times New Roman"/>
                <w:color w:val="000000"/>
                <w:highlight w:val="none"/>
                <w:lang w:val="en-US" w:eastAsia="zh-CN"/>
              </w:rPr>
              <w:t>建设单位</w:t>
            </w:r>
            <w:r>
              <w:rPr>
                <w:rFonts w:hint="default" w:ascii="Times New Roman" w:hAnsi="Times New Roman" w:cs="Times New Roman"/>
                <w:color w:val="000000"/>
                <w:highlight w:val="none"/>
              </w:rPr>
              <w:t>应做到：</w:t>
            </w:r>
          </w:p>
          <w:p w14:paraId="0582315B">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（1）施工期</w:t>
            </w:r>
          </w:p>
          <w:p w14:paraId="6658EAF4">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①</w:t>
            </w:r>
            <w:r>
              <w:rPr>
                <w:rFonts w:hint="default" w:ascii="Times New Roman" w:hAnsi="Times New Roman" w:cs="Times New Roman"/>
                <w:color w:val="000000"/>
                <w:highlight w:val="none"/>
              </w:rPr>
              <w:t>项目</w:t>
            </w:r>
            <w:r>
              <w:rPr>
                <w:rFonts w:hint="default" w:ascii="Times New Roman" w:hAnsi="Times New Roman" w:cs="Times New Roman"/>
                <w:color w:val="000000"/>
                <w:highlight w:val="none"/>
                <w:lang w:val="en-US" w:eastAsia="zh-CN"/>
              </w:rPr>
              <w:t>建设单位</w:t>
            </w:r>
            <w:r>
              <w:rPr>
                <w:rFonts w:hint="default" w:ascii="Times New Roman" w:hAnsi="Times New Roman" w:cs="Times New Roman"/>
                <w:color w:val="000000"/>
                <w:highlight w:val="none"/>
              </w:rPr>
              <w:t>和施工方应按规定办理水上水下施工作业手续，施工单位应配合相关部门对施工水域的通航情况进行分析，合理划定安全作业区域，设置安全警示标志，并对外进行公布。</w:t>
            </w:r>
          </w:p>
          <w:p w14:paraId="479F18E3">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②</w:t>
            </w:r>
            <w:r>
              <w:rPr>
                <w:rFonts w:hint="default" w:ascii="Times New Roman" w:hAnsi="Times New Roman" w:cs="Times New Roman"/>
                <w:color w:val="000000"/>
                <w:highlight w:val="none"/>
              </w:rPr>
              <w:t>在施工前发布公告，严禁无关船舶进入施工作业水域。在安全作业区界限上设置明显的警示标志，当发现附近船舶接近警示标志或有可能进入施工区域，施工船舶应用有效的方法及时发出警告，并注意双方的避让；施工作业船舶不得擅自在警示标志外侧水域逗留、漂航。</w:t>
            </w:r>
          </w:p>
          <w:p w14:paraId="6CEAA473">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③</w:t>
            </w:r>
            <w:r>
              <w:rPr>
                <w:rFonts w:hint="default" w:ascii="Times New Roman" w:hAnsi="Times New Roman" w:cs="Times New Roman"/>
                <w:color w:val="000000"/>
                <w:highlight w:val="none"/>
              </w:rPr>
              <w:t>施工作业船舶不得占据规定施工范围以外的水域，以免影响其他过往船舶的航行；船舶作业时应特别注意附近过往船舶的动态以及施工船舶之间可能产生相互影响。</w:t>
            </w:r>
          </w:p>
          <w:p w14:paraId="2E25680D">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④</w:t>
            </w:r>
            <w:r>
              <w:rPr>
                <w:rFonts w:hint="default" w:ascii="Times New Roman" w:hAnsi="Times New Roman" w:cs="Times New Roman"/>
                <w:color w:val="000000"/>
                <w:highlight w:val="none"/>
              </w:rPr>
              <w:t>合理安排施工工序，制定合理的施工方案，配合当地政府和农业部门协调好工程施工与渔民生产作业，</w:t>
            </w:r>
            <w:r>
              <w:rPr>
                <w:rFonts w:hint="default" w:ascii="Times New Roman" w:hAnsi="Times New Roman" w:cs="Times New Roman"/>
                <w:color w:val="000000"/>
                <w:highlight w:val="none"/>
                <w:lang w:eastAsia="zh-CN"/>
              </w:rPr>
              <w:t>尽量减少</w:t>
            </w:r>
            <w:r>
              <w:rPr>
                <w:rFonts w:hint="default" w:ascii="Times New Roman" w:hAnsi="Times New Roman" w:cs="Times New Roman"/>
                <w:color w:val="000000"/>
                <w:highlight w:val="none"/>
              </w:rPr>
              <w:t>工程施工对渔民渔业生产活动的影响。</w:t>
            </w:r>
          </w:p>
          <w:p w14:paraId="06A32788">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⑤</w:t>
            </w:r>
            <w:r>
              <w:rPr>
                <w:rFonts w:hint="default" w:ascii="Times New Roman" w:hAnsi="Times New Roman" w:cs="Times New Roman"/>
                <w:color w:val="000000"/>
                <w:highlight w:val="none"/>
              </w:rPr>
              <w:t>施工</w:t>
            </w:r>
            <w:r>
              <w:rPr>
                <w:rFonts w:hint="default" w:ascii="Times New Roman" w:hAnsi="Times New Roman" w:cs="Times New Roman"/>
                <w:color w:val="000000"/>
                <w:highlight w:val="none"/>
                <w:lang w:eastAsia="zh-CN"/>
              </w:rPr>
              <w:t>船舶</w:t>
            </w:r>
            <w:r>
              <w:rPr>
                <w:rFonts w:hint="default" w:ascii="Times New Roman" w:hAnsi="Times New Roman" w:cs="Times New Roman"/>
                <w:color w:val="000000"/>
                <w:highlight w:val="none"/>
              </w:rPr>
              <w:t>必须配备和使用救生设备和消防设备，做好船舶维护和管理工作，配备足量的溢油应急设备和消防器材。</w:t>
            </w:r>
          </w:p>
          <w:p w14:paraId="48CE7E63">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（2）运营期</w:t>
            </w:r>
          </w:p>
          <w:p w14:paraId="205CD0ED">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①</w:t>
            </w:r>
            <w:r>
              <w:rPr>
                <w:rFonts w:hint="default" w:ascii="Times New Roman" w:hAnsi="Times New Roman" w:cs="Times New Roman"/>
                <w:color w:val="000000"/>
                <w:highlight w:val="none"/>
              </w:rPr>
              <w:t>工程竣工后，施工方应及时清除遗留在施工作业水域的障碍物，认真检查水工建筑及其附属设施是否</w:t>
            </w:r>
            <w:r>
              <w:rPr>
                <w:rFonts w:hint="default" w:ascii="Times New Roman" w:hAnsi="Times New Roman" w:cs="Times New Roman"/>
                <w:color w:val="000000"/>
                <w:highlight w:val="none"/>
                <w:lang w:eastAsia="zh-CN"/>
              </w:rPr>
              <w:t>达到</w:t>
            </w:r>
            <w:r>
              <w:rPr>
                <w:rFonts w:hint="default" w:ascii="Times New Roman" w:hAnsi="Times New Roman" w:cs="Times New Roman"/>
                <w:color w:val="000000"/>
                <w:highlight w:val="none"/>
              </w:rPr>
              <w:t>设计要求，检查施工水域遗留的碍航物是否已清除干净，发现问题及时解决。</w:t>
            </w:r>
          </w:p>
          <w:p w14:paraId="719324D9">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②</w:t>
            </w:r>
            <w:r>
              <w:rPr>
                <w:rFonts w:hint="default" w:ascii="Times New Roman" w:hAnsi="Times New Roman" w:cs="Times New Roman"/>
                <w:color w:val="000000"/>
                <w:highlight w:val="none"/>
              </w:rPr>
              <w:t>运营期间，项目</w:t>
            </w:r>
            <w:r>
              <w:rPr>
                <w:rFonts w:hint="default" w:ascii="Times New Roman" w:hAnsi="Times New Roman" w:cs="Times New Roman"/>
                <w:color w:val="000000"/>
                <w:highlight w:val="none"/>
                <w:lang w:val="en-US" w:eastAsia="zh-CN"/>
              </w:rPr>
              <w:t>建设单位</w:t>
            </w:r>
            <w:r>
              <w:rPr>
                <w:rFonts w:hint="default" w:ascii="Times New Roman" w:hAnsi="Times New Roman" w:cs="Times New Roman"/>
                <w:color w:val="000000"/>
                <w:highlight w:val="none"/>
              </w:rPr>
              <w:t>应制定相应的规章制度，避免渔船集中停靠平台而引发船舶事故发生；业主应按照规定设立相关的安全生产管理部门，制定相关的应急预案，落实各项安全管理措施。台风</w:t>
            </w:r>
            <w:r>
              <w:rPr>
                <w:rFonts w:hint="default" w:ascii="Times New Roman" w:hAnsi="Times New Roman" w:cs="Times New Roman"/>
                <w:color w:val="000000"/>
                <w:highlight w:val="none"/>
                <w:lang w:eastAsia="zh-CN"/>
              </w:rPr>
              <w:t>期间</w:t>
            </w:r>
            <w:r>
              <w:rPr>
                <w:rFonts w:hint="default" w:ascii="Times New Roman" w:hAnsi="Times New Roman" w:cs="Times New Roman"/>
                <w:color w:val="000000"/>
                <w:highlight w:val="none"/>
              </w:rPr>
              <w:t>，合理指导船舶做好避风工作，以避免船舶事故的发生。</w:t>
            </w:r>
          </w:p>
          <w:p w14:paraId="168E21F6">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③</w:t>
            </w:r>
            <w:r>
              <w:rPr>
                <w:rFonts w:hint="default" w:ascii="Times New Roman" w:hAnsi="Times New Roman" w:cs="Times New Roman"/>
                <w:color w:val="000000"/>
                <w:highlight w:val="none"/>
              </w:rPr>
              <w:t>工程投产后，应按要求定期测量防波堤码头附近及航道水深，了解工程水域的冲淤变化，及时采取相应措施，保障船舶安全。</w:t>
            </w:r>
          </w:p>
          <w:p w14:paraId="7E7CDC7C">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④</w:t>
            </w:r>
            <w:r>
              <w:rPr>
                <w:rFonts w:hint="default" w:ascii="Times New Roman" w:hAnsi="Times New Roman" w:cs="Times New Roman"/>
                <w:color w:val="000000"/>
                <w:highlight w:val="none"/>
              </w:rPr>
              <w:t>船舶在航经防波堤水域时，应加强瞭望，特别在能见度不良以及天气和海况比较差的条件下，避免与防波堤发生碰撞。在风力大于8级以及能见度不良等恶劣天气条件下禁止通航。</w:t>
            </w:r>
          </w:p>
          <w:p w14:paraId="3C8A65E0">
            <w:pPr>
              <w:bidi w:val="0"/>
              <w:rPr>
                <w:rFonts w:hint="default"/>
              </w:rPr>
            </w:pPr>
            <w:r>
              <w:rPr>
                <w:rFonts w:hint="default" w:ascii="Times New Roman" w:hAnsi="Times New Roman" w:cs="Times New Roman"/>
                <w:color w:val="000000"/>
                <w:highlight w:val="none"/>
                <w:lang w:val="en-US" w:eastAsia="zh-CN"/>
              </w:rPr>
              <w:t>⑤</w:t>
            </w:r>
            <w:r>
              <w:rPr>
                <w:rFonts w:hint="default" w:ascii="Times New Roman" w:hAnsi="Times New Roman" w:cs="Times New Roman"/>
                <w:color w:val="000000"/>
                <w:highlight w:val="none"/>
              </w:rPr>
              <w:t>运营</w:t>
            </w:r>
            <w:r>
              <w:rPr>
                <w:rFonts w:hint="default" w:ascii="Times New Roman" w:hAnsi="Times New Roman" w:cs="Times New Roman"/>
                <w:color w:val="000000"/>
                <w:highlight w:val="none"/>
                <w:lang w:eastAsia="zh-CN"/>
              </w:rPr>
              <w:t>期间</w:t>
            </w:r>
            <w:r>
              <w:rPr>
                <w:rFonts w:hint="default" w:ascii="Times New Roman" w:hAnsi="Times New Roman" w:cs="Times New Roman"/>
                <w:color w:val="000000"/>
                <w:highlight w:val="none"/>
              </w:rPr>
              <w:t>加强渔船、工作船的安全管理，</w:t>
            </w:r>
            <w:r>
              <w:rPr>
                <w:rFonts w:hint="default" w:ascii="Times New Roman" w:hAnsi="Times New Roman" w:cs="Times New Roman"/>
                <w:color w:val="000000"/>
                <w:highlight w:val="none"/>
                <w:lang w:eastAsia="zh-CN"/>
              </w:rPr>
              <w:t>增强</w:t>
            </w:r>
            <w:r>
              <w:rPr>
                <w:rFonts w:hint="default" w:ascii="Times New Roman" w:hAnsi="Times New Roman" w:cs="Times New Roman"/>
                <w:color w:val="000000"/>
                <w:highlight w:val="none"/>
              </w:rPr>
              <w:t>驾驶员安全意识和操作水平，在风浪较大或预计海况突变时及时采取安全措施，必要时停航。</w:t>
            </w:r>
          </w:p>
          <w:p w14:paraId="47C01EB4">
            <w:pPr>
              <w:pStyle w:val="3"/>
              <w:bidi w:val="0"/>
              <w:rPr>
                <w:rFonts w:hint="default" w:ascii="Times New Roman" w:hAnsi="Times New Roman" w:cs="Times New Roman"/>
                <w:color w:val="000000"/>
                <w:highlight w:val="none"/>
              </w:rPr>
            </w:pPr>
            <w:bookmarkStart w:id="535" w:name="_Toc10310"/>
            <w:r>
              <w:rPr>
                <w:rFonts w:hint="default" w:ascii="Times New Roman" w:hAnsi="Times New Roman" w:cs="Times New Roman"/>
                <w:color w:val="000000"/>
                <w:highlight w:val="none"/>
                <w:lang w:val="en-US" w:eastAsia="zh-CN"/>
              </w:rPr>
              <w:t>环境监测计划</w:t>
            </w:r>
            <w:bookmarkEnd w:id="515"/>
            <w:bookmarkEnd w:id="516"/>
            <w:bookmarkEnd w:id="517"/>
            <w:bookmarkEnd w:id="535"/>
          </w:p>
          <w:p w14:paraId="7C2A0307">
            <w:pPr>
              <w:pStyle w:val="4"/>
              <w:bidi w:val="0"/>
              <w:rPr>
                <w:rFonts w:hint="default" w:ascii="Times New Roman" w:hAnsi="Times New Roman" w:cs="Times New Roman"/>
                <w:color w:val="000000"/>
                <w:highlight w:val="none"/>
              </w:rPr>
            </w:pPr>
            <w:bookmarkStart w:id="536" w:name="_Toc26161"/>
            <w:bookmarkStart w:id="537" w:name="_Toc9871"/>
            <w:r>
              <w:rPr>
                <w:rFonts w:hint="default" w:ascii="Times New Roman" w:hAnsi="Times New Roman" w:cs="Times New Roman"/>
                <w:color w:val="000000"/>
                <w:highlight w:val="none"/>
              </w:rPr>
              <w:t>监测机构</w:t>
            </w:r>
            <w:bookmarkEnd w:id="536"/>
            <w:bookmarkEnd w:id="537"/>
          </w:p>
          <w:p w14:paraId="1CFABEB0">
            <w:pPr>
              <w:ind w:firstLine="480" w:firstLineChars="200"/>
              <w:rPr>
                <w:rFonts w:hint="default" w:ascii="Times New Roman" w:hAnsi="Times New Roman" w:cs="Times New Roman"/>
                <w:color w:val="000000"/>
                <w:highlight w:val="none"/>
              </w:rPr>
            </w:pPr>
            <w:r>
              <w:rPr>
                <w:rFonts w:hint="default" w:ascii="Times New Roman" w:hAnsi="Times New Roman" w:cs="Times New Roman"/>
                <w:color w:val="000000"/>
                <w:highlight w:val="none"/>
              </w:rPr>
              <w:t>本工程施工期和运营期的环境监测可以委托有资质的监测单位承担，应定期定点监测，编制监测报告，提供给建设单位，以备省市县生态环境局监督。若在监测中发现问题应及时报告，以便及时有效的采取措施。</w:t>
            </w:r>
          </w:p>
          <w:p w14:paraId="6D8D2F1B">
            <w:pPr>
              <w:pStyle w:val="4"/>
              <w:bidi w:val="0"/>
              <w:rPr>
                <w:rFonts w:hint="default" w:ascii="Times New Roman" w:hAnsi="Times New Roman" w:cs="Times New Roman"/>
                <w:color w:val="000000"/>
                <w:highlight w:val="none"/>
              </w:rPr>
            </w:pPr>
            <w:bookmarkStart w:id="538" w:name="_Toc29901"/>
            <w:bookmarkStart w:id="539" w:name="_Toc17903"/>
            <w:r>
              <w:rPr>
                <w:rFonts w:hint="default" w:ascii="Times New Roman" w:hAnsi="Times New Roman" w:cs="Times New Roman"/>
                <w:color w:val="000000"/>
                <w:highlight w:val="none"/>
              </w:rPr>
              <w:t>施工期环境监测计划</w:t>
            </w:r>
            <w:bookmarkEnd w:id="538"/>
            <w:bookmarkEnd w:id="539"/>
          </w:p>
          <w:p w14:paraId="14FECB59">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rPr>
            </w:pPr>
            <w:r>
              <w:rPr>
                <w:rFonts w:hint="default"/>
              </w:rPr>
              <w:t>根据工程特征和主要环境影响，结合区域环境现状、敏感目标的具体情况，制定本工程的施工期环境监测计划，包括环境监测的内容、站位、频次等具体内容。施工期的环境监测报告应作为竣工环保验收的依据之一。施工期环境监测计划见</w:t>
            </w:r>
            <w:r>
              <w:rPr>
                <w:rFonts w:hint="default"/>
                <w:lang w:val="en-US"/>
              </w:rPr>
              <w:fldChar w:fldCharType="begin"/>
            </w:r>
            <w:r>
              <w:rPr>
                <w:rFonts w:hint="default"/>
                <w:lang w:val="en-US"/>
              </w:rPr>
              <w:instrText xml:space="preserve"> REF _Ref25590 \h </w:instrText>
            </w:r>
            <w:r>
              <w:rPr>
                <w:rFonts w:hint="default"/>
                <w:lang w:val="en-US"/>
              </w:rPr>
              <w:fldChar w:fldCharType="separate"/>
            </w:r>
            <w:r>
              <w:rPr>
                <w:rFonts w:hint="default"/>
              </w:rPr>
              <w:t>表</w:t>
            </w:r>
            <w:r>
              <w:rPr>
                <w:rFonts w:hint="default"/>
              </w:rPr>
              <w:fldChar w:fldCharType="begin"/>
            </w:r>
            <w:r>
              <w:rPr>
                <w:rFonts w:hint="default"/>
              </w:rPr>
              <w:instrText xml:space="preserve"> STYLEREF 2 \s </w:instrText>
            </w:r>
            <w:r>
              <w:rPr>
                <w:rFonts w:hint="default"/>
              </w:rPr>
              <w:fldChar w:fldCharType="separate"/>
            </w:r>
            <w:r>
              <w:rPr>
                <w:rFonts w:hint="default"/>
              </w:rPr>
              <w:t>5.4</w:t>
            </w:r>
            <w:r>
              <w:rPr>
                <w:rFonts w:hint="default"/>
              </w:rPr>
              <w:fldChar w:fldCharType="end"/>
            </w:r>
            <w:r>
              <w:rPr>
                <w:rFonts w:hint="default"/>
                <w:lang w:eastAsia="zh-CN"/>
              </w:rPr>
              <w:t>-</w:t>
            </w:r>
            <w:r>
              <w:rPr>
                <w:rFonts w:hint="default"/>
              </w:rPr>
              <w:t>1</w:t>
            </w:r>
            <w:r>
              <w:rPr>
                <w:rFonts w:hint="default"/>
                <w:lang w:val="en-US"/>
              </w:rPr>
              <w:fldChar w:fldCharType="end"/>
            </w:r>
            <w:r>
              <w:rPr>
                <w:rFonts w:hint="default"/>
                <w:lang w:val="en-US" w:eastAsia="zh-CN"/>
              </w:rPr>
              <w:t>，监测点位坐标见</w:t>
            </w:r>
            <w:r>
              <w:rPr>
                <w:rFonts w:hint="default"/>
                <w:lang w:val="en-US" w:eastAsia="zh-CN"/>
              </w:rPr>
              <w:fldChar w:fldCharType="begin"/>
            </w:r>
            <w:r>
              <w:rPr>
                <w:rFonts w:hint="default"/>
                <w:lang w:val="en-US" w:eastAsia="zh-CN"/>
              </w:rPr>
              <w:instrText xml:space="preserve"> REF _Ref13435 \h </w:instrText>
            </w:r>
            <w:r>
              <w:rPr>
                <w:rFonts w:hint="default"/>
                <w:lang w:val="en-US" w:eastAsia="zh-CN"/>
              </w:rPr>
              <w:fldChar w:fldCharType="separate"/>
            </w:r>
            <w:r>
              <w:rPr>
                <w:rFonts w:hint="default"/>
              </w:rPr>
              <w:t>表</w:t>
            </w:r>
            <w:r>
              <w:rPr>
                <w:rFonts w:hint="default"/>
              </w:rPr>
              <w:fldChar w:fldCharType="begin"/>
            </w:r>
            <w:r>
              <w:rPr>
                <w:rFonts w:hint="default"/>
              </w:rPr>
              <w:instrText xml:space="preserve"> STYLEREF 2 \s </w:instrText>
            </w:r>
            <w:r>
              <w:rPr>
                <w:rFonts w:hint="default"/>
              </w:rPr>
              <w:fldChar w:fldCharType="separate"/>
            </w:r>
            <w:r>
              <w:rPr>
                <w:rFonts w:hint="default"/>
              </w:rPr>
              <w:t>5.4</w:t>
            </w:r>
            <w:r>
              <w:rPr>
                <w:rFonts w:hint="default"/>
              </w:rPr>
              <w:fldChar w:fldCharType="end"/>
            </w:r>
            <w:r>
              <w:rPr>
                <w:rFonts w:hint="default"/>
                <w:lang w:eastAsia="zh-CN"/>
              </w:rPr>
              <w:t>-</w:t>
            </w:r>
            <w:r>
              <w:rPr>
                <w:rFonts w:hint="default"/>
              </w:rPr>
              <w:t>2</w:t>
            </w:r>
            <w:r>
              <w:rPr>
                <w:rFonts w:hint="default"/>
                <w:lang w:val="en-US" w:eastAsia="zh-CN"/>
              </w:rPr>
              <w:fldChar w:fldCharType="end"/>
            </w:r>
            <w:r>
              <w:rPr>
                <w:rFonts w:hint="default"/>
                <w:lang w:val="en-US" w:eastAsia="zh-CN"/>
              </w:rPr>
              <w:t>、</w:t>
            </w:r>
            <w:r>
              <w:rPr>
                <w:rFonts w:hint="default"/>
                <w:lang w:val="en-US" w:eastAsia="zh-CN"/>
              </w:rPr>
              <w:fldChar w:fldCharType="begin"/>
            </w:r>
            <w:r>
              <w:rPr>
                <w:rFonts w:hint="default"/>
                <w:lang w:val="en-US" w:eastAsia="zh-CN"/>
              </w:rPr>
              <w:instrText xml:space="preserve"> REF _Ref12321 \h </w:instrText>
            </w:r>
            <w:r>
              <w:rPr>
                <w:rFonts w:hint="default"/>
                <w:lang w:val="en-US" w:eastAsia="zh-CN"/>
              </w:rPr>
              <w:fldChar w:fldCharType="separate"/>
            </w:r>
            <w:r>
              <w:rPr>
                <w:rFonts w:hint="default"/>
              </w:rPr>
              <w:t>图</w:t>
            </w:r>
            <w:r>
              <w:rPr>
                <w:rFonts w:hint="default"/>
              </w:rPr>
              <w:fldChar w:fldCharType="begin"/>
            </w:r>
            <w:r>
              <w:rPr>
                <w:rFonts w:hint="default"/>
              </w:rPr>
              <w:instrText xml:space="preserve"> STYLEREF 2 \s </w:instrText>
            </w:r>
            <w:r>
              <w:rPr>
                <w:rFonts w:hint="default"/>
              </w:rPr>
              <w:fldChar w:fldCharType="separate"/>
            </w:r>
            <w:r>
              <w:rPr>
                <w:rFonts w:hint="default"/>
              </w:rPr>
              <w:t>5.4</w:t>
            </w:r>
            <w:r>
              <w:rPr>
                <w:rFonts w:hint="default"/>
              </w:rPr>
              <w:fldChar w:fldCharType="end"/>
            </w:r>
            <w:r>
              <w:rPr>
                <w:rFonts w:hint="default"/>
                <w:lang w:eastAsia="zh-CN"/>
              </w:rPr>
              <w:t>-</w:t>
            </w:r>
            <w:r>
              <w:rPr>
                <w:rFonts w:hint="default"/>
              </w:rPr>
              <w:t>1</w:t>
            </w:r>
            <w:r>
              <w:rPr>
                <w:rFonts w:hint="default"/>
                <w:lang w:val="en-US" w:eastAsia="zh-CN"/>
              </w:rPr>
              <w:fldChar w:fldCharType="end"/>
            </w:r>
            <w:r>
              <w:rPr>
                <w:rFonts w:hint="default"/>
              </w:rPr>
              <w:t>。</w:t>
            </w:r>
          </w:p>
          <w:p w14:paraId="1F86B02C">
            <w:pPr>
              <w:pStyle w:val="11"/>
              <w:rPr>
                <w:rFonts w:hint="default" w:ascii="Times New Roman" w:hAnsi="Times New Roman" w:cs="Times New Roman"/>
                <w:color w:val="000000"/>
                <w:highlight w:val="none"/>
                <w:lang w:val="en-US" w:eastAsia="zh-CN"/>
              </w:rPr>
            </w:pPr>
            <w:bookmarkStart w:id="540" w:name="_Ref25590"/>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5.4</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表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1</w:t>
            </w:r>
            <w:r>
              <w:rPr>
                <w:rFonts w:hint="default" w:ascii="Times New Roman" w:hAnsi="Times New Roman" w:cs="Times New Roman"/>
                <w:color w:val="000000"/>
                <w:highlight w:val="none"/>
              </w:rPr>
              <w:fldChar w:fldCharType="end"/>
            </w:r>
            <w:bookmarkEnd w:id="540"/>
            <w:r>
              <w:rPr>
                <w:rFonts w:hint="default" w:ascii="Times New Roman" w:hAnsi="Times New Roman" w:cs="Times New Roman"/>
                <w:color w:val="000000"/>
                <w:highlight w:val="none"/>
                <w:lang w:val="en-US" w:eastAsia="zh-CN"/>
              </w:rPr>
              <w:t xml:space="preserve"> 施工期环境监测计划一览表</w:t>
            </w:r>
          </w:p>
          <w:p w14:paraId="5F0C3399">
            <w:pPr>
              <w:pStyle w:val="31"/>
              <w:bidi w:val="0"/>
              <w:rPr>
                <w:rFonts w:hint="default"/>
                <w:lang w:val="en-US"/>
              </w:rPr>
            </w:pPr>
            <w:r>
              <w:rPr>
                <w:rFonts w:hint="eastAsia"/>
                <w:lang w:val="en-US" w:eastAsia="zh-CN"/>
              </w:rPr>
              <w:t>（涉密删除）</w:t>
            </w:r>
          </w:p>
          <w:p w14:paraId="06B82068">
            <w:pPr>
              <w:pStyle w:val="11"/>
              <w:rPr>
                <w:rFonts w:hint="default" w:ascii="Times New Roman" w:hAnsi="Times New Roman" w:cs="Times New Roman"/>
                <w:color w:val="000000"/>
                <w:highlight w:val="none"/>
                <w:lang w:val="en-US"/>
              </w:rPr>
            </w:pPr>
            <w:bookmarkStart w:id="541" w:name="_Ref13435"/>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5.4</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表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2</w:t>
            </w:r>
            <w:r>
              <w:rPr>
                <w:rFonts w:hint="default" w:ascii="Times New Roman" w:hAnsi="Times New Roman" w:cs="Times New Roman"/>
                <w:color w:val="000000"/>
                <w:highlight w:val="none"/>
              </w:rPr>
              <w:fldChar w:fldCharType="end"/>
            </w:r>
            <w:bookmarkEnd w:id="541"/>
            <w:r>
              <w:rPr>
                <w:rFonts w:hint="default" w:ascii="Times New Roman" w:hAnsi="Times New Roman" w:cs="Times New Roman"/>
                <w:color w:val="000000"/>
                <w:highlight w:val="none"/>
                <w:lang w:val="en-US" w:eastAsia="zh-CN"/>
              </w:rPr>
              <w:t xml:space="preserve"> 施工期环境监测计划点位坐标表</w:t>
            </w:r>
          </w:p>
          <w:p w14:paraId="6E9BCB04">
            <w:pPr>
              <w:pStyle w:val="31"/>
              <w:bidi w:val="0"/>
              <w:rPr>
                <w:rFonts w:hint="default" w:ascii="Times New Roman" w:hAnsi="Times New Roman" w:cs="Times New Roman"/>
                <w:color w:val="000000"/>
                <w:highlight w:val="none"/>
                <w:lang w:eastAsia="zh-CN"/>
              </w:rPr>
            </w:pPr>
            <w:r>
              <w:rPr>
                <w:rFonts w:hint="eastAsia"/>
                <w:lang w:val="en-US" w:eastAsia="zh-CN"/>
              </w:rPr>
              <w:t>（涉密删除）</w:t>
            </w:r>
          </w:p>
          <w:p w14:paraId="27A59528">
            <w:pPr>
              <w:pStyle w:val="31"/>
              <w:bidi w:val="0"/>
              <w:rPr>
                <w:rFonts w:hint="default" w:ascii="Times New Roman" w:hAnsi="Times New Roman" w:cs="Times New Roman"/>
                <w:color w:val="000000"/>
                <w:highlight w:val="none"/>
                <w:lang w:eastAsia="zh-CN"/>
              </w:rPr>
            </w:pPr>
            <w:r>
              <w:rPr>
                <w:rFonts w:hint="eastAsia"/>
                <w:lang w:val="en-US" w:eastAsia="zh-CN"/>
              </w:rPr>
              <w:t>（涉密删除）</w:t>
            </w:r>
          </w:p>
          <w:p w14:paraId="2CA940C2">
            <w:pPr>
              <w:pStyle w:val="30"/>
              <w:bidi w:val="0"/>
              <w:rPr>
                <w:rFonts w:hint="default" w:ascii="Times New Roman" w:hAnsi="Times New Roman" w:cs="Times New Roman"/>
                <w:color w:val="000000"/>
                <w:highlight w:val="none"/>
                <w:lang w:val="en-US" w:eastAsia="zh-CN"/>
              </w:rPr>
            </w:pPr>
            <w:bookmarkStart w:id="542" w:name="_Ref12321"/>
            <w:r>
              <w:rPr>
                <w:rFonts w:hint="default" w:ascii="Times New Roman" w:hAnsi="Times New Roman" w:cs="Times New Roman"/>
                <w:color w:val="000000"/>
                <w:highlight w:val="none"/>
              </w:rPr>
              <w:t>图</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5.4</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图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1</w:t>
            </w:r>
            <w:r>
              <w:rPr>
                <w:rFonts w:hint="default" w:ascii="Times New Roman" w:hAnsi="Times New Roman" w:cs="Times New Roman"/>
                <w:color w:val="000000"/>
                <w:highlight w:val="none"/>
              </w:rPr>
              <w:fldChar w:fldCharType="end"/>
            </w:r>
            <w:bookmarkEnd w:id="542"/>
            <w:r>
              <w:rPr>
                <w:rFonts w:hint="default" w:ascii="Times New Roman" w:hAnsi="Times New Roman" w:cs="Times New Roman"/>
                <w:color w:val="000000"/>
                <w:highlight w:val="none"/>
                <w:lang w:val="en-US" w:eastAsia="zh-CN"/>
              </w:rPr>
              <w:t xml:space="preserve"> 施工期监测计划点位图</w:t>
            </w:r>
          </w:p>
          <w:p w14:paraId="64EE4AB1">
            <w:pPr>
              <w:pStyle w:val="4"/>
              <w:bidi w:val="0"/>
              <w:rPr>
                <w:rFonts w:hint="default" w:ascii="Times New Roman" w:hAnsi="Times New Roman" w:cs="Times New Roman"/>
                <w:color w:val="000000"/>
                <w:highlight w:val="none"/>
              </w:rPr>
            </w:pPr>
            <w:bookmarkStart w:id="543" w:name="_Toc16960"/>
            <w:bookmarkStart w:id="544" w:name="_Toc22849"/>
            <w:r>
              <w:rPr>
                <w:rFonts w:hint="default" w:ascii="Times New Roman" w:hAnsi="Times New Roman" w:cs="Times New Roman"/>
                <w:color w:val="000000"/>
                <w:highlight w:val="none"/>
                <w:lang w:val="en-US" w:eastAsia="zh-CN"/>
              </w:rPr>
              <w:t>运营期</w:t>
            </w:r>
            <w:r>
              <w:rPr>
                <w:rFonts w:hint="default" w:ascii="Times New Roman" w:hAnsi="Times New Roman" w:cs="Times New Roman"/>
                <w:color w:val="000000"/>
                <w:highlight w:val="none"/>
              </w:rPr>
              <w:t>环境监测计划</w:t>
            </w:r>
            <w:bookmarkEnd w:id="543"/>
            <w:bookmarkEnd w:id="544"/>
          </w:p>
          <w:p w14:paraId="5BC41E8D">
            <w:pPr>
              <w:ind w:firstLine="480" w:firstLineChars="200"/>
              <w:rPr>
                <w:rFonts w:hint="default" w:ascii="Times New Roman" w:hAnsi="Times New Roman" w:cs="Times New Roman"/>
                <w:color w:val="000000"/>
                <w:highlight w:val="none"/>
              </w:rPr>
            </w:pPr>
            <w:r>
              <w:rPr>
                <w:rFonts w:hint="default" w:ascii="Times New Roman" w:hAnsi="Times New Roman" w:cs="Times New Roman"/>
                <w:color w:val="000000"/>
                <w:highlight w:val="none"/>
              </w:rPr>
              <w:t>为及时了解和掌握工程</w:t>
            </w:r>
            <w:r>
              <w:rPr>
                <w:rFonts w:hint="default" w:ascii="Times New Roman" w:hAnsi="Times New Roman" w:cs="Times New Roman"/>
                <w:color w:val="000000"/>
                <w:highlight w:val="none"/>
                <w:lang w:val="en-US" w:eastAsia="zh-CN"/>
              </w:rPr>
              <w:t>运营期</w:t>
            </w:r>
            <w:r>
              <w:rPr>
                <w:rFonts w:hint="default" w:ascii="Times New Roman" w:hAnsi="Times New Roman" w:cs="Times New Roman"/>
                <w:color w:val="000000"/>
                <w:highlight w:val="none"/>
              </w:rPr>
              <w:t>间所在区域的环境质量变化情况，建设单位</w:t>
            </w:r>
            <w:r>
              <w:rPr>
                <w:rFonts w:hint="default" w:ascii="Times New Roman" w:hAnsi="Times New Roman" w:cs="Times New Roman"/>
                <w:color w:val="000000"/>
                <w:highlight w:val="none"/>
                <w:lang w:val="en-US" w:eastAsia="zh-CN"/>
              </w:rPr>
              <w:t>应</w:t>
            </w:r>
            <w:r>
              <w:rPr>
                <w:rFonts w:hint="default" w:ascii="Times New Roman" w:hAnsi="Times New Roman" w:cs="Times New Roman"/>
                <w:color w:val="000000"/>
                <w:highlight w:val="none"/>
              </w:rPr>
              <w:t>委托有资质的环境监测单位对本工程周围的环境质量进行监测。</w:t>
            </w:r>
            <w:r>
              <w:rPr>
                <w:rFonts w:hint="default" w:ascii="Times New Roman" w:hAnsi="Times New Roman" w:cs="Times New Roman"/>
                <w:color w:val="000000"/>
                <w:highlight w:val="none"/>
                <w:lang w:val="en-US" w:eastAsia="zh-CN"/>
              </w:rPr>
              <w:t>运营期</w:t>
            </w:r>
            <w:r>
              <w:rPr>
                <w:rFonts w:hint="default" w:ascii="Times New Roman" w:hAnsi="Times New Roman" w:cs="Times New Roman"/>
                <w:color w:val="000000"/>
                <w:highlight w:val="none"/>
              </w:rPr>
              <w:t>环境监测计划见</w:t>
            </w:r>
            <w:r>
              <w:rPr>
                <w:rFonts w:hint="default" w:ascii="Times New Roman" w:hAnsi="Times New Roman" w:cs="Times New Roman"/>
                <w:color w:val="000000"/>
                <w:highlight w:val="none"/>
                <w:lang w:val="en-US"/>
              </w:rPr>
              <w:fldChar w:fldCharType="begin"/>
            </w:r>
            <w:r>
              <w:rPr>
                <w:rFonts w:hint="default" w:ascii="Times New Roman" w:hAnsi="Times New Roman" w:cs="Times New Roman"/>
                <w:color w:val="000000"/>
                <w:highlight w:val="none"/>
                <w:lang w:val="en-US"/>
              </w:rPr>
              <w:instrText xml:space="preserve"> REF _Ref13334 \h </w:instrText>
            </w:r>
            <w:r>
              <w:rPr>
                <w:rFonts w:hint="default" w:ascii="Times New Roman" w:hAnsi="Times New Roman" w:cs="Times New Roman"/>
                <w:color w:val="000000"/>
                <w:highlight w:val="none"/>
                <w:lang w:val="en-US"/>
              </w:rPr>
              <w:fldChar w:fldCharType="separate"/>
            </w:r>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5.4</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3</w:t>
            </w:r>
            <w:r>
              <w:rPr>
                <w:rFonts w:hint="default" w:ascii="Times New Roman" w:hAnsi="Times New Roman" w:cs="Times New Roman"/>
                <w:color w:val="000000"/>
                <w:highlight w:val="none"/>
                <w:lang w:val="en-US"/>
              </w:rPr>
              <w:fldChar w:fldCharType="end"/>
            </w:r>
            <w:r>
              <w:rPr>
                <w:rFonts w:hint="default" w:ascii="Times New Roman" w:hAnsi="Times New Roman" w:cs="Times New Roman"/>
                <w:color w:val="000000"/>
                <w:highlight w:val="none"/>
              </w:rPr>
              <w:t>。</w:t>
            </w:r>
          </w:p>
          <w:p w14:paraId="28AAF600">
            <w:pPr>
              <w:pStyle w:val="11"/>
              <w:rPr>
                <w:rFonts w:hint="default" w:ascii="Times New Roman" w:hAnsi="Times New Roman" w:cs="Times New Roman"/>
                <w:color w:val="000000"/>
                <w:highlight w:val="none"/>
                <w:lang w:val="en-US" w:eastAsia="zh-CN"/>
              </w:rPr>
            </w:pPr>
            <w:bookmarkStart w:id="545" w:name="_Ref13334"/>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5.4</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表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3</w:t>
            </w:r>
            <w:r>
              <w:rPr>
                <w:rFonts w:hint="default" w:ascii="Times New Roman" w:hAnsi="Times New Roman" w:cs="Times New Roman"/>
                <w:color w:val="000000"/>
                <w:highlight w:val="none"/>
              </w:rPr>
              <w:fldChar w:fldCharType="end"/>
            </w:r>
            <w:bookmarkEnd w:id="545"/>
            <w:r>
              <w:rPr>
                <w:rFonts w:hint="default" w:ascii="Times New Roman" w:hAnsi="Times New Roman" w:cs="Times New Roman"/>
                <w:color w:val="000000"/>
                <w:highlight w:val="none"/>
                <w:lang w:val="en-US" w:eastAsia="zh-CN"/>
              </w:rPr>
              <w:t xml:space="preserve"> 运营期环境监测计划一览表</w:t>
            </w:r>
          </w:p>
          <w:p w14:paraId="66124ECB">
            <w:pPr>
              <w:pStyle w:val="31"/>
              <w:bidi w:val="0"/>
              <w:rPr>
                <w:rFonts w:hint="default"/>
                <w:lang w:val="en-US"/>
              </w:rPr>
            </w:pPr>
            <w:r>
              <w:rPr>
                <w:rFonts w:hint="eastAsia"/>
                <w:lang w:val="en-US" w:eastAsia="zh-CN"/>
              </w:rPr>
              <w:t>（涉密删除）</w:t>
            </w:r>
          </w:p>
          <w:p w14:paraId="3773BF83">
            <w:pPr>
              <w:pStyle w:val="4"/>
              <w:bidi w:val="0"/>
              <w:rPr>
                <w:rFonts w:hint="default" w:ascii="Times New Roman" w:hAnsi="Times New Roman" w:cs="Times New Roman"/>
                <w:color w:val="000000"/>
                <w:highlight w:val="none"/>
              </w:rPr>
            </w:pPr>
            <w:bookmarkStart w:id="546" w:name="_Toc31037"/>
            <w:bookmarkStart w:id="547" w:name="_Toc20902"/>
            <w:r>
              <w:rPr>
                <w:rFonts w:hint="default" w:ascii="Times New Roman" w:hAnsi="Times New Roman" w:cs="Times New Roman"/>
                <w:color w:val="000000"/>
                <w:highlight w:val="none"/>
                <w:lang w:val="en-US" w:eastAsia="zh-CN"/>
              </w:rPr>
              <w:t>事故应急监测计划</w:t>
            </w:r>
            <w:bookmarkEnd w:id="546"/>
            <w:bookmarkEnd w:id="547"/>
          </w:p>
          <w:p w14:paraId="4E3B7B0F">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highlight w:val="none"/>
                <w:lang w:val="en-US" w:eastAsia="zh-CN"/>
              </w:rPr>
            </w:pPr>
            <w:r>
              <w:rPr>
                <w:rFonts w:hint="default" w:ascii="Times New Roman" w:hAnsi="Times New Roman" w:eastAsia="宋体" w:cs="Times New Roman"/>
                <w:color w:val="000000"/>
                <w:highlight w:val="none"/>
                <w:lang w:val="en-US" w:eastAsia="zh-CN"/>
              </w:rPr>
              <w:t>本工程的施工及运营致使工程海域船舶数量的增加，进而使发生碰撞事故的概率有所增加，一旦发生溢油事故，将会对周围的环境保护目标构成威胁，应进行事故状态下的环境跟踪监测。</w:t>
            </w:r>
            <w:r>
              <w:rPr>
                <w:rFonts w:hint="default" w:ascii="Times New Roman" w:hAnsi="Times New Roman" w:cs="Times New Roman"/>
                <w:color w:val="000000"/>
                <w:highlight w:val="none"/>
                <w:lang w:val="en-US" w:eastAsia="zh-CN"/>
              </w:rPr>
              <w:t>事故应急监测</w:t>
            </w:r>
            <w:r>
              <w:rPr>
                <w:rFonts w:hint="default" w:ascii="Times New Roman" w:hAnsi="Times New Roman" w:eastAsia="宋体" w:cs="Times New Roman"/>
                <w:color w:val="000000"/>
                <w:highlight w:val="none"/>
                <w:lang w:val="en-US" w:eastAsia="zh-CN"/>
              </w:rPr>
              <w:t>目的是掌握溢油事故可能威胁到的环境敏感点、油膜影响范围外附近海域等海水中石油类污染物的浓度等。</w:t>
            </w:r>
            <w:r>
              <w:rPr>
                <w:rFonts w:hint="default" w:ascii="Times New Roman" w:hAnsi="Times New Roman" w:cs="Times New Roman"/>
                <w:color w:val="000000"/>
                <w:highlight w:val="none"/>
                <w:lang w:val="en-US" w:eastAsia="zh-CN"/>
              </w:rPr>
              <w:t>其</w:t>
            </w:r>
            <w:r>
              <w:rPr>
                <w:rFonts w:hint="default" w:ascii="Times New Roman" w:hAnsi="Times New Roman" w:eastAsia="宋体" w:cs="Times New Roman"/>
                <w:color w:val="000000"/>
                <w:highlight w:val="none"/>
                <w:lang w:val="en-US" w:eastAsia="zh-CN"/>
              </w:rPr>
              <w:t>监测站位、监测频率等应根据溢油事故情况与监测部门协商确定。本评价建议的应急监测工作内容如下：</w:t>
            </w:r>
          </w:p>
          <w:p w14:paraId="02D4FB00">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highlight w:val="none"/>
                <w:lang w:val="en-US" w:eastAsia="zh-CN"/>
              </w:rPr>
            </w:pPr>
            <w:r>
              <w:rPr>
                <w:rFonts w:hint="default" w:ascii="Times New Roman" w:hAnsi="Times New Roman" w:eastAsia="宋体" w:cs="Times New Roman"/>
                <w:color w:val="000000"/>
                <w:highlight w:val="none"/>
                <w:lang w:val="en-US" w:eastAsia="zh-CN"/>
              </w:rPr>
              <w:t>（1）监测布点</w:t>
            </w:r>
          </w:p>
          <w:p w14:paraId="11E2D679">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highlight w:val="none"/>
                <w:lang w:val="en-US" w:eastAsia="zh-CN"/>
              </w:rPr>
            </w:pPr>
            <w:r>
              <w:rPr>
                <w:rFonts w:hint="default" w:ascii="Times New Roman" w:hAnsi="Times New Roman" w:eastAsia="宋体" w:cs="Times New Roman"/>
                <w:color w:val="000000"/>
                <w:highlight w:val="none"/>
                <w:lang w:val="en-US" w:eastAsia="zh-CN"/>
              </w:rPr>
              <w:t>渔港发生油品事故泄漏后，应在事故泄漏点周边及海洋敏感目标设置事故应急监测点，严格掌握污染带的运移规律以及时空变化。</w:t>
            </w:r>
          </w:p>
          <w:p w14:paraId="7BC470B7">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highlight w:val="none"/>
                <w:lang w:val="en-US" w:eastAsia="zh-CN"/>
              </w:rPr>
            </w:pPr>
            <w:r>
              <w:rPr>
                <w:rFonts w:hint="default" w:ascii="Times New Roman" w:hAnsi="Times New Roman" w:eastAsia="宋体" w:cs="Times New Roman"/>
                <w:color w:val="000000"/>
                <w:highlight w:val="none"/>
                <w:lang w:val="en-US" w:eastAsia="zh-CN"/>
              </w:rPr>
              <w:t>（2）监测项目</w:t>
            </w:r>
          </w:p>
          <w:p w14:paraId="60BEFBE8">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highlight w:val="none"/>
                <w:lang w:val="en-US" w:eastAsia="zh-CN"/>
              </w:rPr>
            </w:pPr>
            <w:r>
              <w:rPr>
                <w:rFonts w:hint="default" w:ascii="Times New Roman" w:hAnsi="Times New Roman" w:eastAsia="宋体" w:cs="Times New Roman"/>
                <w:color w:val="000000"/>
                <w:highlight w:val="none"/>
                <w:lang w:val="en-US" w:eastAsia="zh-CN"/>
              </w:rPr>
              <w:t>海水水质：pH值、COD、溶解氧、石油类。</w:t>
            </w:r>
          </w:p>
          <w:p w14:paraId="187692D1">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highlight w:val="none"/>
                <w:lang w:val="en-US" w:eastAsia="zh-CN"/>
              </w:rPr>
            </w:pPr>
            <w:r>
              <w:rPr>
                <w:rFonts w:hint="default" w:ascii="Times New Roman" w:hAnsi="Times New Roman" w:eastAsia="宋体" w:cs="Times New Roman"/>
                <w:color w:val="000000"/>
                <w:highlight w:val="none"/>
                <w:lang w:val="en-US" w:eastAsia="zh-CN"/>
              </w:rPr>
              <w:t>（3）监测频次</w:t>
            </w:r>
          </w:p>
          <w:p w14:paraId="285B6788">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u w:val="none"/>
              </w:rPr>
            </w:pPr>
            <w:r>
              <w:rPr>
                <w:rFonts w:hint="default" w:ascii="Times New Roman" w:hAnsi="Times New Roman" w:eastAsia="宋体" w:cs="Times New Roman"/>
                <w:color w:val="000000"/>
                <w:highlight w:val="none"/>
                <w:lang w:val="en-US" w:eastAsia="zh-CN"/>
              </w:rPr>
              <w:t>每个监测断面应每隔半小时或者一小时取样分析，在重要的</w:t>
            </w:r>
            <w:r>
              <w:rPr>
                <w:rFonts w:hint="default" w:ascii="Times New Roman" w:hAnsi="Times New Roman" w:cs="Times New Roman"/>
                <w:color w:val="000000"/>
                <w:highlight w:val="none"/>
                <w:lang w:val="en-US" w:eastAsia="zh-CN"/>
              </w:rPr>
              <w:t>水质</w:t>
            </w:r>
            <w:r>
              <w:rPr>
                <w:rFonts w:hint="default" w:ascii="Times New Roman" w:hAnsi="Times New Roman" w:eastAsia="宋体" w:cs="Times New Roman"/>
                <w:color w:val="000000"/>
                <w:highlight w:val="none"/>
                <w:lang w:val="en-US" w:eastAsia="zh-CN"/>
              </w:rPr>
              <w:t>监测点应根据事故事态的严重程度适当加密监测频次，控制污染物，从而绘制污染带浓度分布等值线图，掌握污染带扩散范围和扩散方向。</w:t>
            </w:r>
            <w:bookmarkEnd w:id="502"/>
            <w:bookmarkEnd w:id="503"/>
          </w:p>
        </w:tc>
      </w:tr>
      <w:tr w14:paraId="3832AE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8" w:type="dxa"/>
            <w:left w:w="108" w:type="dxa"/>
            <w:bottom w:w="108" w:type="dxa"/>
            <w:right w:w="108" w:type="dxa"/>
          </w:tblCellMar>
        </w:tblPrEx>
        <w:trPr>
          <w:trHeight w:val="658" w:hRule="atLeast"/>
          <w:jc w:val="center"/>
        </w:trPr>
        <w:tc>
          <w:tcPr>
            <w:tcW w:w="753" w:type="dxa"/>
            <w:noWrap w:val="0"/>
            <w:vAlign w:val="center"/>
          </w:tcPr>
          <w:p w14:paraId="0731802B">
            <w:pPr>
              <w:adjustRightInd w:val="0"/>
              <w:snapToGrid w:val="0"/>
              <w:spacing w:line="240" w:lineRule="auto"/>
              <w:jc w:val="center"/>
              <w:rPr>
                <w:rFonts w:hint="default" w:ascii="Times New Roman" w:hAnsi="Times New Roman" w:cs="Times New Roman"/>
                <w:bCs/>
                <w:color w:val="000000"/>
                <w:spacing w:val="10"/>
                <w:szCs w:val="21"/>
                <w:u w:val="none"/>
              </w:rPr>
            </w:pPr>
            <w:r>
              <w:rPr>
                <w:rFonts w:hint="default" w:ascii="Times New Roman" w:hAnsi="Times New Roman" w:cs="Times New Roman"/>
                <w:bCs/>
                <w:color w:val="000000"/>
                <w:szCs w:val="21"/>
                <w:u w:val="none"/>
              </w:rPr>
              <w:t>其他</w:t>
            </w:r>
          </w:p>
        </w:tc>
        <w:tc>
          <w:tcPr>
            <w:tcW w:w="8457" w:type="dxa"/>
            <w:noWrap w:val="0"/>
            <w:vAlign w:val="center"/>
          </w:tcPr>
          <w:p w14:paraId="009107AF">
            <w:pPr>
              <w:pStyle w:val="3"/>
              <w:bidi w:val="0"/>
              <w:rPr>
                <w:rFonts w:hint="default" w:ascii="Times New Roman" w:hAnsi="Times New Roman" w:cs="Times New Roman"/>
                <w:color w:val="000000"/>
                <w:highlight w:val="none"/>
              </w:rPr>
            </w:pPr>
            <w:bookmarkStart w:id="548" w:name="_Toc7655"/>
            <w:r>
              <w:rPr>
                <w:rFonts w:hint="eastAsia" w:cs="Times New Roman"/>
                <w:color w:val="000000"/>
                <w:highlight w:val="none"/>
                <w:lang w:val="en-US" w:eastAsia="zh-CN"/>
              </w:rPr>
              <w:t>公众参与调查</w:t>
            </w:r>
            <w:bookmarkEnd w:id="548"/>
          </w:p>
          <w:p w14:paraId="11DEA95B">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eastAsia="宋体"/>
                <w:lang w:val="en-US" w:eastAsia="zh-CN"/>
              </w:rPr>
            </w:pPr>
            <w:r>
              <w:rPr>
                <w:rFonts w:hint="default"/>
              </w:rPr>
              <w:t>建设单位按照《环境影响评价公众参与办法》（生态环境部令第4号）等法律法规要求，以网络平台、报纸刊登、现场张贴公告等方式为主，共进行了两个阶段公众参与调查</w:t>
            </w:r>
            <w:r>
              <w:rPr>
                <w:rFonts w:hint="eastAsia"/>
                <w:lang w:eastAsia="zh-CN"/>
              </w:rPr>
              <w:t>，</w:t>
            </w:r>
            <w:r>
              <w:rPr>
                <w:rFonts w:hint="eastAsia"/>
                <w:lang w:val="en-US" w:eastAsia="zh-CN"/>
              </w:rPr>
              <w:t>详见附件。</w:t>
            </w:r>
          </w:p>
          <w:p w14:paraId="21A64FF3">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rPr>
            </w:pPr>
            <w:r>
              <w:rPr>
                <w:rFonts w:hint="default"/>
              </w:rPr>
              <w:t>建设单位于2024年11月20日在看福清网（https://www.fqlook.cn/）进行首次环评信息公示，首次环评信息公示期为10个工作日。在评价单位完成报告征求意见稿后，建设单位于2025年1月2日进行项目环境影响报告征求意见稿公示，并同期采用现场公示（公示地点：海亮村村委公开栏）、网络公示（看福清网https://www.fqlook.cn/）、报纸公示（海峡都市报：2025年1月10日、2025年1月13日）三种公示方式，征求意见稿公示期为10个工作日。</w:t>
            </w:r>
          </w:p>
          <w:p w14:paraId="2893879D">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rPr>
            </w:pPr>
            <w:r>
              <w:rPr>
                <w:rFonts w:hint="default"/>
              </w:rPr>
              <w:t>在两次公示期间，建设单位未收到公众查阅报告书纸质版本的需求，也未收到公众对本工程的意见或建议。</w:t>
            </w:r>
          </w:p>
          <w:p w14:paraId="0D8DDF97">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rPr>
            </w:pPr>
            <w:r>
              <w:rPr>
                <w:rFonts w:hint="default"/>
              </w:rPr>
              <w:t>为了更好的了解公众对本项目的意见，本项目调查公众意见采取了发放征询意见表的方式，于2024年12月~2025年1月走访项目所在地附近居民、村委、企业等，收集调查周边单位团体和个人对本项目的建设的意见和建议。</w:t>
            </w:r>
          </w:p>
          <w:p w14:paraId="7F2EBAAB">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rPr>
              <w:t>本次共收回18份公众意见表，被调查的公众主要为项目区域较近的居民。</w:t>
            </w:r>
            <w:r>
              <w:rPr>
                <w:rFonts w:hint="default" w:ascii="Times New Roman" w:hAnsi="Times New Roman" w:cs="Times New Roman"/>
                <w:color w:val="000000"/>
                <w:highlight w:val="none"/>
              </w:rPr>
              <w:t>通过对公众参与调查表的调查结果进行统计分析，得出如下结论：</w:t>
            </w:r>
          </w:p>
          <w:p w14:paraId="1C23F08C">
            <w:pPr>
              <w:ind w:firstLine="480" w:firstLineChars="200"/>
              <w:rPr>
                <w:rFonts w:hint="default" w:ascii="Times New Roman" w:hAnsi="Times New Roman" w:cs="Times New Roman"/>
                <w:color w:val="000000"/>
                <w:highlight w:val="none"/>
              </w:rPr>
            </w:pPr>
            <w:r>
              <w:rPr>
                <w:rFonts w:hint="default" w:ascii="Times New Roman" w:hAnsi="Times New Roman" w:cs="Times New Roman"/>
                <w:color w:val="000000"/>
                <w:highlight w:val="none"/>
              </w:rPr>
              <w:t>（1）开山影响</w:t>
            </w:r>
          </w:p>
          <w:p w14:paraId="650CD5E6">
            <w:pPr>
              <w:ind w:firstLine="480" w:firstLineChars="200"/>
              <w:rPr>
                <w:rFonts w:hint="default" w:ascii="Times New Roman" w:hAnsi="Times New Roman" w:cs="Times New Roman"/>
                <w:color w:val="000000"/>
                <w:highlight w:val="none"/>
              </w:rPr>
            </w:pPr>
            <w:r>
              <w:rPr>
                <w:rFonts w:hint="default" w:ascii="Times New Roman" w:hAnsi="Times New Roman" w:cs="Times New Roman"/>
                <w:color w:val="000000"/>
                <w:highlight w:val="none"/>
              </w:rPr>
              <w:t>根据公众意见调查可知，公众主要关注项目陆域开山过程，对山体、周边房屋的结构等产生影响。本次项目不包含陆域开山</w:t>
            </w:r>
            <w:r>
              <w:rPr>
                <w:rFonts w:hint="eastAsia" w:cs="Times New Roman"/>
                <w:color w:val="000000"/>
                <w:highlight w:val="none"/>
                <w:lang w:eastAsia="zh-CN"/>
              </w:rPr>
              <w:t>且</w:t>
            </w:r>
            <w:r>
              <w:rPr>
                <w:rFonts w:hint="default" w:ascii="Times New Roman" w:hAnsi="Times New Roman" w:cs="Times New Roman"/>
                <w:color w:val="000000"/>
                <w:highlight w:val="none"/>
              </w:rPr>
              <w:t>该意见不是与环境保护相关的意见。因此不予采纳。</w:t>
            </w:r>
          </w:p>
          <w:p w14:paraId="0F8D1071">
            <w:pPr>
              <w:ind w:firstLine="480" w:firstLineChars="200"/>
              <w:rPr>
                <w:rFonts w:hint="default" w:ascii="Times New Roman" w:hAnsi="Times New Roman" w:cs="Times New Roman"/>
                <w:color w:val="000000"/>
                <w:highlight w:val="none"/>
              </w:rPr>
            </w:pPr>
            <w:r>
              <w:rPr>
                <w:rFonts w:hint="default" w:ascii="Times New Roman" w:hAnsi="Times New Roman" w:cs="Times New Roman"/>
                <w:color w:val="000000"/>
                <w:highlight w:val="none"/>
              </w:rPr>
              <w:t>（2）施工期环境影响</w:t>
            </w:r>
          </w:p>
          <w:p w14:paraId="090067AF">
            <w:pPr>
              <w:ind w:firstLine="480" w:firstLineChars="200"/>
              <w:rPr>
                <w:rFonts w:hint="default" w:ascii="Times New Roman" w:hAnsi="Times New Roman" w:cs="Times New Roman"/>
                <w:color w:val="000000"/>
                <w:highlight w:val="none"/>
              </w:rPr>
            </w:pPr>
            <w:r>
              <w:rPr>
                <w:rFonts w:hint="default" w:ascii="Times New Roman" w:hAnsi="Times New Roman" w:cs="Times New Roman"/>
                <w:color w:val="000000"/>
                <w:highlight w:val="none"/>
              </w:rPr>
              <w:t>根据工作意见调查可知，公众主要关注施工期产生的噪声和粉尘影响。本项目施工期将加强相应的环保措施，减少项目施工期噪声、粉尘对周边的环境影响。</w:t>
            </w:r>
          </w:p>
          <w:p w14:paraId="1BDA149A">
            <w:pPr>
              <w:ind w:firstLine="480" w:firstLineChars="200"/>
              <w:rPr>
                <w:rFonts w:hint="default" w:ascii="Times New Roman" w:hAnsi="Times New Roman" w:cs="Times New Roman"/>
                <w:color w:val="000000"/>
                <w:highlight w:val="none"/>
              </w:rPr>
            </w:pPr>
            <w:r>
              <w:rPr>
                <w:rFonts w:hint="default" w:ascii="Times New Roman" w:hAnsi="Times New Roman" w:cs="Times New Roman"/>
                <w:color w:val="000000"/>
                <w:highlight w:val="none"/>
              </w:rPr>
              <w:t>本次征求了项目所在地东瀚镇海亮村民委员会的意见，根据公众意见表可知，海亮村民委员会主要关注项目开工建设后，施工过程产生的粉尘影响。</w:t>
            </w:r>
          </w:p>
          <w:p w14:paraId="4BB0DA1B">
            <w:pPr>
              <w:ind w:firstLine="480" w:firstLineChars="200"/>
              <w:rPr>
                <w:rFonts w:hint="default" w:ascii="Times New Roman" w:hAnsi="Times New Roman" w:cs="Times New Roman"/>
                <w:color w:val="000000"/>
                <w:highlight w:val="none"/>
              </w:rPr>
            </w:pPr>
            <w:r>
              <w:rPr>
                <w:rFonts w:hint="default" w:ascii="Times New Roman" w:hAnsi="Times New Roman" w:cs="Times New Roman"/>
                <w:color w:val="000000"/>
                <w:highlight w:val="none"/>
              </w:rPr>
              <w:t>公示期间建设单位及环评单位未收到公众电话、电子邮件方式的反馈意见。本项目建设单位及时对现场调查的公众和单位的意见和要求进行了分类汇总；对反映比较强烈的问题进行了深入分析，提出了环境保护的原则和初步方案。同时还和环境工程设计方及时沟通，汇报本工程项目在环保方面存在的问题，请设计单位增加措施、优化工艺、尽量减少、减轻对周边居民和单位的影响。</w:t>
            </w:r>
          </w:p>
          <w:p w14:paraId="66D874F6">
            <w:pPr>
              <w:ind w:firstLine="480" w:firstLineChars="200"/>
              <w:rPr>
                <w:rFonts w:hint="default" w:ascii="Times New Roman" w:hAnsi="Times New Roman" w:cs="Times New Roman"/>
                <w:color w:val="000000"/>
                <w:highlight w:val="none"/>
              </w:rPr>
            </w:pPr>
            <w:r>
              <w:rPr>
                <w:rFonts w:hint="default" w:ascii="Times New Roman" w:hAnsi="Times New Roman" w:cs="Times New Roman"/>
                <w:color w:val="000000"/>
                <w:highlight w:val="none"/>
              </w:rPr>
              <w:t>本项目于2026年3月31日完成福清市海亮沃口一级渔港环境影响报告报批版，并于2026年4月1日通过看福清网站(https://www.fqlook.cn/)进行网络公示公开拟报批的环境影响报告全文，其中公开的环境影响报告全文不包含国家秘密、商业秘密、个人隐私等。</w:t>
            </w:r>
          </w:p>
          <w:p w14:paraId="72FCA16F">
            <w:pPr>
              <w:pStyle w:val="3"/>
              <w:bidi w:val="0"/>
              <w:rPr>
                <w:rFonts w:hint="default" w:ascii="Times New Roman" w:hAnsi="Times New Roman" w:cs="Times New Roman"/>
                <w:color w:val="000000"/>
                <w:highlight w:val="none"/>
                <w:lang w:val="en-US" w:eastAsia="zh-CN"/>
              </w:rPr>
            </w:pPr>
            <w:bookmarkStart w:id="549" w:name="_Toc32090"/>
            <w:bookmarkStart w:id="550" w:name="_Toc5304"/>
            <w:bookmarkStart w:id="551" w:name="_Toc25307"/>
            <w:bookmarkStart w:id="552" w:name="_Toc28008"/>
            <w:bookmarkStart w:id="553" w:name="_Toc27268"/>
            <w:r>
              <w:rPr>
                <w:rFonts w:hint="eastAsia" w:cs="Times New Roman"/>
                <w:color w:val="000000"/>
                <w:highlight w:val="none"/>
                <w:lang w:val="en-US" w:eastAsia="zh-CN"/>
              </w:rPr>
              <w:t>环境管理与</w:t>
            </w:r>
            <w:r>
              <w:rPr>
                <w:rFonts w:hint="default" w:ascii="Times New Roman" w:hAnsi="Times New Roman" w:cs="Times New Roman"/>
                <w:color w:val="000000"/>
                <w:highlight w:val="none"/>
                <w:lang w:val="en-US" w:eastAsia="zh-CN"/>
              </w:rPr>
              <w:t>环境监理</w:t>
            </w:r>
            <w:bookmarkEnd w:id="549"/>
            <w:bookmarkEnd w:id="550"/>
            <w:bookmarkEnd w:id="551"/>
            <w:bookmarkEnd w:id="552"/>
            <w:bookmarkEnd w:id="553"/>
          </w:p>
          <w:p w14:paraId="2FA4612E">
            <w:pPr>
              <w:pStyle w:val="4"/>
              <w:bidi w:val="0"/>
              <w:rPr>
                <w:rFonts w:hint="default" w:ascii="Times New Roman" w:hAnsi="Times New Roman" w:cs="Times New Roman"/>
                <w:color w:val="000000"/>
                <w:highlight w:val="none"/>
              </w:rPr>
            </w:pPr>
            <w:bookmarkStart w:id="554" w:name="_Toc19727"/>
            <w:bookmarkStart w:id="555" w:name="_Toc27534"/>
            <w:bookmarkStart w:id="556" w:name="_Toc16623"/>
            <w:r>
              <w:rPr>
                <w:rFonts w:hint="eastAsia" w:cs="Times New Roman"/>
                <w:color w:val="000000"/>
                <w:highlight w:val="none"/>
                <w:lang w:val="en-US" w:eastAsia="zh-CN"/>
              </w:rPr>
              <w:t>环境管理</w:t>
            </w:r>
          </w:p>
          <w:bookmarkEnd w:id="554"/>
          <w:bookmarkEnd w:id="555"/>
          <w:p w14:paraId="295199F9">
            <w:pPr>
              <w:ind w:firstLine="480" w:firstLineChars="200"/>
              <w:rPr>
                <w:rFonts w:hint="default" w:ascii="Times New Roman" w:hAnsi="Times New Roman" w:cs="Times New Roman"/>
                <w:color w:val="000000"/>
                <w:highlight w:val="none"/>
              </w:rPr>
            </w:pPr>
            <w:r>
              <w:rPr>
                <w:rFonts w:hint="default" w:ascii="Times New Roman" w:hAnsi="Times New Roman" w:cs="Times New Roman"/>
                <w:color w:val="000000"/>
                <w:highlight w:val="none"/>
              </w:rPr>
              <w:t>1、环境保护管理机构</w:t>
            </w:r>
          </w:p>
          <w:p w14:paraId="6BC81099">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环境保护管理机构的基本任务是负责组织、落实、监督本企业的环境保护工作。工程建设单位以及各施工承包单位是本工程环境保护管理的具体执行机构，两者均应在管理层中设立环保管理机构和环保人员，负责工程建设的环保管理工作。因此，施工期建设单位应联合施工单位成立施工期环保管理机构，并在工程经理部设立环保主管，专人负责监督生产设施及基础设施建设。施工期环保机构应接受海事和地方生态环境主管部门的指导和监督。</w:t>
            </w:r>
          </w:p>
          <w:p w14:paraId="11C3C81F">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2、环境管理机构主要职责</w:t>
            </w:r>
          </w:p>
          <w:p w14:paraId="4E810F23">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根据工程环境管理的需要，建设单位应指定机构和专人具体负责本工程的日常的环境管理和监督工作。主要职责是：</w:t>
            </w:r>
          </w:p>
          <w:p w14:paraId="7E2ACAAB">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（1）宣传和贯彻执行国家、省、市的有关环保法律、法规、政策和要求；</w:t>
            </w:r>
          </w:p>
          <w:p w14:paraId="6EDC4A41">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（2）制定工程环境管理规章制度和各专项环境管理办法，并对其实施情况进行监督、检查；</w:t>
            </w:r>
          </w:p>
          <w:p w14:paraId="6825A473">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（3）负责本环评报告提出的各项环保措施在工程中的落实、实施；</w:t>
            </w:r>
          </w:p>
          <w:p w14:paraId="557F927A">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（4）在施工期对各施工单位和各重要施工场所的环境保护措施实施情况进行检查、指导、监督；</w:t>
            </w:r>
          </w:p>
          <w:p w14:paraId="0CF04BA8">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（5）在运营</w:t>
            </w:r>
            <w:r>
              <w:rPr>
                <w:rFonts w:hint="default" w:ascii="Times New Roman" w:hAnsi="Times New Roman" w:cs="Times New Roman"/>
                <w:color w:val="000000"/>
                <w:highlight w:val="none"/>
                <w:lang w:eastAsia="zh-CN"/>
              </w:rPr>
              <w:t>期间</w:t>
            </w:r>
            <w:r>
              <w:rPr>
                <w:rFonts w:hint="default" w:ascii="Times New Roman" w:hAnsi="Times New Roman" w:cs="Times New Roman"/>
                <w:color w:val="000000"/>
                <w:highlight w:val="none"/>
              </w:rPr>
              <w:t>负责本工程的环境保护、卫生、绿化的管理、维护和监督工作；</w:t>
            </w:r>
          </w:p>
          <w:p w14:paraId="61D42F57">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（6）负责对本工程各环保措施执行状况的例行监测和检查工作，并及时纠正违规行为；</w:t>
            </w:r>
          </w:p>
          <w:p w14:paraId="31488CDB">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（7）负责本工程的环保资料的收集、汇总、保管、归档工作。</w:t>
            </w:r>
          </w:p>
          <w:p w14:paraId="2AAD07EC">
            <w:pPr>
              <w:pStyle w:val="4"/>
              <w:bidi w:val="0"/>
              <w:rPr>
                <w:rFonts w:hint="default"/>
                <w:lang w:val="en-US" w:eastAsia="zh-CN"/>
              </w:rPr>
            </w:pPr>
            <w:r>
              <w:rPr>
                <w:rFonts w:hint="eastAsia"/>
                <w:lang w:val="en-US" w:eastAsia="zh-CN"/>
              </w:rPr>
              <w:t>环境监理</w:t>
            </w:r>
          </w:p>
          <w:p w14:paraId="1BD1E513">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（1）环境监理组织</w:t>
            </w:r>
            <w:bookmarkEnd w:id="556"/>
          </w:p>
          <w:p w14:paraId="3089C3B0">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工程建设的环境监理是工程监理的重要组成部分，环境监理工程师对本报告提出的工程施工期和运营期的环境保护措施的落实、实施进行环境监理，提出环境监理工作计划，并报送相应环境管理部门和建设单位；对所有实施环保工程的专业部分和工程承包商的环境保护工作进行监督、检查和管理，切实保护好工程影响区的环境。</w:t>
            </w:r>
          </w:p>
          <w:p w14:paraId="38405CB6">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bookmarkStart w:id="557" w:name="_Toc15662"/>
            <w:r>
              <w:rPr>
                <w:rFonts w:hint="default" w:ascii="Times New Roman" w:hAnsi="Times New Roman" w:cs="Times New Roman"/>
                <w:color w:val="000000"/>
                <w:highlight w:val="none"/>
                <w:lang w:val="en-US" w:eastAsia="zh-CN"/>
              </w:rPr>
              <w:t>（2）监理阶段</w:t>
            </w:r>
            <w:bookmarkEnd w:id="557"/>
          </w:p>
          <w:p w14:paraId="1C1261F2">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与主体工程监理阶段划分一致，本工程的工程环境监理阶段分为施工准备阶段、施工阶段以及交工验收与缺陷责任期三个阶段。</w:t>
            </w:r>
          </w:p>
          <w:p w14:paraId="3AD6BE6C">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bookmarkStart w:id="558" w:name="_Toc10912"/>
            <w:r>
              <w:rPr>
                <w:rFonts w:hint="default" w:ascii="Times New Roman" w:hAnsi="Times New Roman" w:cs="Times New Roman"/>
                <w:color w:val="000000"/>
                <w:highlight w:val="none"/>
                <w:lang w:val="en-US" w:eastAsia="zh-CN"/>
              </w:rPr>
              <w:t>（3）监理范围及方式</w:t>
            </w:r>
            <w:bookmarkEnd w:id="558"/>
          </w:p>
          <w:p w14:paraId="7A448CBD">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工程环境监理范围为工程建设区与工程直接影响区域，包括主体工程、临时工程以及上述范围内施工对周边造成环境污染和生态破坏的区域。工程环境监理工作作为工程监理的一个重要组成部分，纳入主体工程监理体系。</w:t>
            </w:r>
          </w:p>
          <w:p w14:paraId="3BCAC916">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bookmarkStart w:id="559" w:name="_Toc22957"/>
            <w:r>
              <w:rPr>
                <w:rFonts w:hint="default" w:ascii="Times New Roman" w:hAnsi="Times New Roman" w:cs="Times New Roman"/>
                <w:color w:val="000000"/>
                <w:highlight w:val="none"/>
                <w:lang w:val="en-US" w:eastAsia="zh-CN"/>
              </w:rPr>
              <w:t>（4）监理工作内容</w:t>
            </w:r>
            <w:bookmarkEnd w:id="559"/>
          </w:p>
          <w:p w14:paraId="7E2CCD44">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1）施工准备阶段的环境保护监理工作</w:t>
            </w:r>
          </w:p>
          <w:p w14:paraId="20879573">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①参加设计交底，熟悉环评报告和设计文件，掌握项目环境保护对象，了解建设过程的具体环保目标，对敏感的保护目标作出标识。</w:t>
            </w:r>
          </w:p>
          <w:p w14:paraId="2C5A587E">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②审查施工单位提交的施工组织设计和开工报告，对施工方案中环保目标和环保措施提出审查意见。</w:t>
            </w:r>
          </w:p>
          <w:p w14:paraId="246BDF8C">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③审查施工单位的临时用地方案是否符合环保要求。</w:t>
            </w:r>
          </w:p>
          <w:p w14:paraId="699A2B70">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④审查施工单位的环保管理体系是否责任明确，切实有效。</w:t>
            </w:r>
          </w:p>
          <w:p w14:paraId="63B1E501">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⑤参加第一次工地会议，提出环保监理目标和环保监理措施和要求。</w:t>
            </w:r>
          </w:p>
          <w:p w14:paraId="71F7FAC8">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2）施工阶段的环境保护监理工作</w:t>
            </w:r>
          </w:p>
          <w:p w14:paraId="1C5574B3">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①审查施工单位编制的分部（分项）工程施工方案中的环保措施是否可行。</w:t>
            </w:r>
          </w:p>
          <w:p w14:paraId="0CD90BB2">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②对施工现场、施工作业进行巡视或旁站监理，检查环境保护措施的落实情况。</w:t>
            </w:r>
          </w:p>
          <w:p w14:paraId="2C7DCEBF">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③监测各项环境指标，出具监测报告或成果。</w:t>
            </w:r>
          </w:p>
          <w:p w14:paraId="63A47E17">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④向施工单位发出环境保护工作指示，检查指令的执行情况。</w:t>
            </w:r>
          </w:p>
          <w:p w14:paraId="731EC595">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⑤编写环境监理月报。</w:t>
            </w:r>
          </w:p>
          <w:p w14:paraId="348E204D">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⑥参加工地例会。</w:t>
            </w:r>
          </w:p>
          <w:p w14:paraId="3FD70004">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⑦建立、保管环境保护监理资料档案。</w:t>
            </w:r>
          </w:p>
          <w:p w14:paraId="12E437A6">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⑧处理或协助主管部门和建设单位处理突发环保事件。</w:t>
            </w:r>
          </w:p>
          <w:p w14:paraId="695BE344">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3）交工及缺陷责任期的环境保护监理工作</w:t>
            </w:r>
          </w:p>
          <w:p w14:paraId="57A1754B">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①参加交工检查，确认现场清理工作的恢复等是否达到环保要求。</w:t>
            </w:r>
          </w:p>
          <w:p w14:paraId="4B940249">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②检查施工单位的环保资料是否达到要求。</w:t>
            </w:r>
          </w:p>
          <w:p w14:paraId="17436D60">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③评估环保任务或环保目标的完成情况，对尚存的主要环境问题提出继续监测或处理的方案和建议。</w:t>
            </w:r>
          </w:p>
          <w:p w14:paraId="44321F50">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④完成缺陷责任期环境保护监理工作。</w:t>
            </w:r>
          </w:p>
          <w:p w14:paraId="1BE1D5E1">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bookmarkStart w:id="560" w:name="_Toc19593"/>
            <w:r>
              <w:rPr>
                <w:rFonts w:hint="default" w:ascii="Times New Roman" w:hAnsi="Times New Roman" w:cs="Times New Roman"/>
                <w:color w:val="000000"/>
                <w:highlight w:val="none"/>
                <w:lang w:val="en-US" w:eastAsia="zh-CN"/>
              </w:rPr>
              <w:t>（5）环境监理具体工作方法</w:t>
            </w:r>
            <w:bookmarkEnd w:id="560"/>
          </w:p>
          <w:p w14:paraId="56DFF63F">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现场监理采取巡视、旁站的方式，提示施工单位定期对施工现场污水、废气、噪声进行现场监测。当环境监理人员检查发现环境污染问题时，应立即通知承包商现场负责人进行纠正，并将通知单同时抄送监理部和业主代表。承包商接到环境监理工程师的通知后，应对存在的问题进行整改。</w:t>
            </w:r>
          </w:p>
          <w:p w14:paraId="24FD302A">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bookmarkStart w:id="561" w:name="_Toc344"/>
            <w:r>
              <w:rPr>
                <w:rFonts w:hint="default" w:ascii="Times New Roman" w:hAnsi="Times New Roman" w:cs="Times New Roman"/>
                <w:color w:val="000000"/>
                <w:highlight w:val="none"/>
                <w:lang w:val="en-US" w:eastAsia="zh-CN"/>
              </w:rPr>
              <w:t>（6）工程环境监理重点</w:t>
            </w:r>
            <w:bookmarkEnd w:id="561"/>
          </w:p>
          <w:p w14:paraId="2A4FB3E3">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1）施工准备阶段环境保护监理要点</w:t>
            </w:r>
          </w:p>
          <w:p w14:paraId="18EF53EB">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①充分了解工程资料，对环评和水保等相关规定进行充分的掌握，并以此为基础，构建整体的环保概念；</w:t>
            </w:r>
          </w:p>
          <w:p w14:paraId="119CBD1B">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②对环境保护监理实施细则进行编制，对施工组织计划进行审查，并对不利于环境保护的内容进行修改；</w:t>
            </w:r>
          </w:p>
          <w:p w14:paraId="6C1C6F7B">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③对取土和弃土场进行审查，科学开展实地踏勘工作，并在施工准备阶段以及实际施工中加大巡视力度。</w:t>
            </w:r>
          </w:p>
          <w:p w14:paraId="08BF8DAD">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2）施工阶段环境保护监理要点</w:t>
            </w:r>
          </w:p>
          <w:p w14:paraId="70CCC1B9">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①对施工方案进行严格审批，有针对性地提出审查意见；</w:t>
            </w:r>
          </w:p>
          <w:p w14:paraId="58DA72F3">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②对该工程施工中的环境监理巡视要点进行明确；</w:t>
            </w:r>
          </w:p>
          <w:p w14:paraId="24A2B479">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③对土方开挖范围进行严格控制，加大边坡防护力度；</w:t>
            </w:r>
          </w:p>
          <w:p w14:paraId="0EA6A35F">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④有针对性地发送监理指令，为环保工作的顺利进行提供依据，在特殊的施工环境中，应设置现场监测，科学控制施工现场的废水、噪声以及扬尘等。</w:t>
            </w:r>
          </w:p>
          <w:p w14:paraId="504D480C">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3）交工验收与缺陷责任期阶段环境保护监理要点</w:t>
            </w:r>
          </w:p>
          <w:p w14:paraId="0405C57A">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①交工验收监理</w:t>
            </w:r>
          </w:p>
          <w:p w14:paraId="1C444FFB">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建设单位同监理工程师组织设计单位和施工单位相关人员共同参与检查环保资料以及施工现场环境现状，对环境保护合同落实情况进行综合评估，对施工单位遗留的环境保护问题进行审查，并提出整改意见和计划。</w:t>
            </w:r>
          </w:p>
          <w:p w14:paraId="015510B8">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②缺陷责任期监理</w:t>
            </w:r>
          </w:p>
          <w:p w14:paraId="19037ADA">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监理工程师对施工单位在施工中造成的环境保护遗留问题整改情况做定期检查，充分调查、记录工程竣工后发生的一系列环境保护问题，并在此基础上，监督施工单位及时开展工程修复和环境恢复施工，确保相关环境保护施工材料能够在监理工程师的监督下高效完成。</w:t>
            </w:r>
          </w:p>
          <w:p w14:paraId="6A9C2736">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bookmarkStart w:id="562" w:name="_Toc21109"/>
            <w:r>
              <w:rPr>
                <w:rFonts w:hint="default" w:ascii="Times New Roman" w:hAnsi="Times New Roman" w:cs="Times New Roman"/>
                <w:color w:val="000000"/>
                <w:highlight w:val="none"/>
                <w:lang w:val="en-US" w:eastAsia="zh-CN"/>
              </w:rPr>
              <w:t>（7）环境监理文件编制</w:t>
            </w:r>
            <w:bookmarkEnd w:id="562"/>
          </w:p>
          <w:p w14:paraId="6C48BE4D">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1）环境保护监理规划编制</w:t>
            </w:r>
          </w:p>
          <w:p w14:paraId="26196191">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环境保护监理规划是环境保护监理单位接受业务委托之后，监理单位应根据合同、环评要求、施工计划及工程的实际情况，制定本工程环境保护监理规划，明确环境保护监理工作范围、内容、方式和目标。</w:t>
            </w:r>
          </w:p>
          <w:p w14:paraId="4AFF28C5">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2）环境保护监理实施细则编制</w:t>
            </w:r>
          </w:p>
          <w:p w14:paraId="37AC3392">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环境保护监理实施细则是在环境保护监理规划的基础上，由工程环境保护监理机构的专业环境保护监理工程师针对建设工程单项工程编制的操作性文件。</w:t>
            </w:r>
          </w:p>
          <w:p w14:paraId="0D13EF3B">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本工程应根据工程实际情况及环评要求编制环境保护监理实施细则。</w:t>
            </w:r>
          </w:p>
          <w:p w14:paraId="6407FA7E">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3）环境保护监理总结报告编制</w:t>
            </w:r>
          </w:p>
          <w:p w14:paraId="28702DDA">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环境保护监理工作完成后，工程环境保护监理机构应及时进行监理工作总结，向建设单位提交监理工作总结，主要内容包括：委托监理合同履行情况概述，监理任务或监理目标完成情况评价。</w:t>
            </w:r>
          </w:p>
          <w:p w14:paraId="35573B21">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（8）环境监理档案管理</w:t>
            </w:r>
          </w:p>
          <w:p w14:paraId="56C63879">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环境监理档案应包括环境监理文件和监理资料等。</w:t>
            </w:r>
          </w:p>
          <w:p w14:paraId="5EB63F35">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1）环境监理文件主要包括：环境保护监理规划、环境保护监理实施细则、环境保护监理总结报告等。</w:t>
            </w:r>
          </w:p>
          <w:p w14:paraId="1CF65A9C">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2）环境监理资料主要包括：</w:t>
            </w:r>
          </w:p>
          <w:p w14:paraId="6408C980">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①日常工作记录：主要记录当天环境监理的工作内容、发生环境影响时采取的措施以及执行情况等；</w:t>
            </w:r>
          </w:p>
          <w:p w14:paraId="0ABD4C57">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②环境监理月报：主要对本月的监理工作进行汇总总结，记录本月环境监理工作内容，在施工中发生环境影响时采取的措施以及执行情况等；</w:t>
            </w:r>
          </w:p>
          <w:p w14:paraId="44998A6B">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lang w:val="en-US" w:eastAsia="zh-CN"/>
              </w:rPr>
            </w:pPr>
            <w:r>
              <w:rPr>
                <w:rFonts w:hint="default" w:ascii="Times New Roman" w:hAnsi="Times New Roman" w:cs="Times New Roman"/>
                <w:color w:val="000000"/>
                <w:highlight w:val="none"/>
                <w:lang w:val="en-US" w:eastAsia="zh-CN"/>
              </w:rPr>
              <w:t>③与建设单位、施工单位往来函件及与工程环境监理有关的其它资料。环境监理档案的管理应制定相应管理制度，专人负责本工程各类环境监理资料的收集、分类、整理与归档，作为工程环境保护验收的重要资料及环境管理的重要资料。</w:t>
            </w:r>
          </w:p>
          <w:p w14:paraId="125613EA">
            <w:pPr>
              <w:pStyle w:val="3"/>
              <w:bidi w:val="0"/>
              <w:rPr>
                <w:rFonts w:hint="default" w:ascii="Times New Roman" w:hAnsi="Times New Roman" w:cs="Times New Roman"/>
                <w:color w:val="000000"/>
                <w:highlight w:val="none"/>
                <w:lang w:val="en-US" w:eastAsia="zh-CN"/>
              </w:rPr>
            </w:pPr>
            <w:bookmarkStart w:id="563" w:name="_Toc7511"/>
            <w:bookmarkStart w:id="564" w:name="_Toc3445"/>
            <w:bookmarkStart w:id="565" w:name="_Toc5657"/>
            <w:r>
              <w:rPr>
                <w:rFonts w:hint="default" w:ascii="Times New Roman" w:hAnsi="Times New Roman" w:cs="Times New Roman"/>
                <w:color w:val="000000"/>
                <w:highlight w:val="none"/>
                <w:lang w:val="en-US" w:eastAsia="zh-CN"/>
              </w:rPr>
              <w:t>项目竣工环境保护验收</w:t>
            </w:r>
            <w:bookmarkEnd w:id="563"/>
            <w:bookmarkEnd w:id="564"/>
            <w:bookmarkEnd w:id="565"/>
          </w:p>
          <w:p w14:paraId="6342731B">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根据《建设项目竣工环境保护验收暂行办法》（国环规环评〔2017〕4号）文件要求，建设单位作为建设项目竣工环境保护验收的责任主体，应当按照本办法规定的程序和标准，组织对配套建设的环境保护设施进行验收，编制验收报告，公开相关信息，接受社会监督，确保建设项目需要配套建设的环境保护设施与主体工程同时设计、同时施工、同时投入生产和使用，落实建设项目环境保护“三同时”制度，并对验收内容、结论和所公开信息的真实性、准确性和完整性负责，不得在验收过程中弄虚作假。</w:t>
            </w:r>
          </w:p>
          <w:p w14:paraId="7E76EEAC">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（1）验收责任主体</w:t>
            </w:r>
          </w:p>
          <w:p w14:paraId="3176042C">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建设单位是建设项目竣工环境保护验收的责任主体。</w:t>
            </w:r>
          </w:p>
          <w:p w14:paraId="4E35F997">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（2）验收要求</w:t>
            </w:r>
          </w:p>
          <w:p w14:paraId="0FBEFD12">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①建设单位不具备编制验收监测（调查）报告能力的，可以委托有能力的技术机构编制。建设单位对受委托的技术机构编制的验收监测（调查）报告结论负责。建设单位与受委托的技术机构之间的权利义务关系，以及受委托的技术机构应当承担的责任，可以通过合同形式约定。</w:t>
            </w:r>
          </w:p>
          <w:p w14:paraId="03A2DA48">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②需要对建设项目配套建设的环境保护设施进行调试的，建设单位应确保调试期间污染物排放符合国家和地方有关污染物排放标准和排污许可等相关规定。</w:t>
            </w:r>
          </w:p>
          <w:p w14:paraId="77B3011A">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③验收监测（调查）报告编制完成后，建设单位应当根据验收监测（调查）报告结论，逐一检查是否存在《建设项目竣工环境保护验收暂行办法》第八条所列验收不合格的情形，提出验收意见。存在问题的，建设单位应当进行整改，整改完成后方可提出验收意见。</w:t>
            </w:r>
          </w:p>
          <w:p w14:paraId="24F88DCA">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④验收意见包括工程建设基本情况、工程变动情况、环境保护设施落实情况、环境保护设施调试效果、工程建设对环境的影响、验收结论和后续要求等内容，验收结论应当明确该建设项目环境保护设施是否验收合格。建设项目配套建设的环境保护设施经验收合格后，其主体工程方可投入生产或者使用；未经验收或者验收不合格的，不得投入生产或者使用。</w:t>
            </w:r>
          </w:p>
          <w:p w14:paraId="46E40452">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u w:val="none"/>
                <w:lang w:val="en-US" w:eastAsia="zh-CN"/>
              </w:rPr>
            </w:pPr>
            <w:r>
              <w:rPr>
                <w:rFonts w:hint="default" w:ascii="Times New Roman" w:hAnsi="Times New Roman" w:cs="Times New Roman"/>
                <w:color w:val="000000"/>
                <w:highlight w:val="none"/>
                <w:lang w:val="en-US" w:eastAsia="zh-CN"/>
              </w:rPr>
              <w:t>⑤为提高验收有效性，在提出验收意见的过程中，建设单位可组织成立验收工作组，采取现场检查、资料查阅、召开验收会议等方式，协助开展验收工作。验收工作组由设计单位、施工单位、环境影响报告编制机构、验收监测（调查）报告编制机构等单位代表及专业技术专家等组成，代表范围和人数自定。</w:t>
            </w:r>
          </w:p>
        </w:tc>
      </w:tr>
      <w:tr w14:paraId="4CF124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8" w:type="dxa"/>
            <w:left w:w="108" w:type="dxa"/>
            <w:bottom w:w="108" w:type="dxa"/>
            <w:right w:w="108" w:type="dxa"/>
          </w:tblCellMar>
        </w:tblPrEx>
        <w:trPr>
          <w:trHeight w:val="3121" w:hRule="atLeast"/>
          <w:jc w:val="center"/>
        </w:trPr>
        <w:tc>
          <w:tcPr>
            <w:tcW w:w="753" w:type="dxa"/>
            <w:noWrap w:val="0"/>
            <w:vAlign w:val="center"/>
          </w:tcPr>
          <w:p w14:paraId="7F6DE4C5">
            <w:pPr>
              <w:adjustRightInd w:val="0"/>
              <w:snapToGrid w:val="0"/>
              <w:spacing w:line="360" w:lineRule="auto"/>
              <w:jc w:val="center"/>
              <w:rPr>
                <w:rFonts w:hint="default" w:ascii="Times New Roman" w:hAnsi="Times New Roman" w:cs="Times New Roman"/>
                <w:bCs/>
                <w:color w:val="000000"/>
                <w:spacing w:val="10"/>
                <w:szCs w:val="21"/>
                <w:u w:val="none"/>
              </w:rPr>
            </w:pPr>
            <w:r>
              <w:rPr>
                <w:rFonts w:hint="default" w:ascii="Times New Roman" w:hAnsi="Times New Roman" w:cs="Times New Roman"/>
                <w:bCs/>
                <w:color w:val="000000"/>
                <w:szCs w:val="21"/>
                <w:u w:val="none"/>
              </w:rPr>
              <w:t>环保投资</w:t>
            </w:r>
          </w:p>
        </w:tc>
        <w:tc>
          <w:tcPr>
            <w:tcW w:w="8457" w:type="dxa"/>
            <w:noWrap w:val="0"/>
            <w:vAlign w:val="top"/>
          </w:tcPr>
          <w:p w14:paraId="1DDB4BFE">
            <w:pPr>
              <w:pStyle w:val="3"/>
              <w:bidi w:val="0"/>
              <w:ind w:left="567" w:leftChars="0" w:hanging="567" w:firstLineChars="0"/>
              <w:rPr>
                <w:rFonts w:hint="default"/>
              </w:rPr>
            </w:pPr>
            <w:bookmarkStart w:id="566" w:name="_Toc27800"/>
            <w:bookmarkStart w:id="567" w:name="_Toc16996"/>
            <w:bookmarkStart w:id="568" w:name="_Toc17783"/>
            <w:r>
              <w:rPr>
                <w:rFonts w:hint="default"/>
                <w:lang w:val="en-US" w:eastAsia="zh-CN"/>
              </w:rPr>
              <w:t>环保投资</w:t>
            </w:r>
            <w:bookmarkEnd w:id="566"/>
            <w:bookmarkEnd w:id="567"/>
            <w:bookmarkEnd w:id="568"/>
          </w:p>
          <w:p w14:paraId="76B2FB53">
            <w:pPr>
              <w:ind w:firstLine="480" w:firstLineChars="200"/>
              <w:rPr>
                <w:rFonts w:hint="default" w:ascii="Times New Roman" w:hAnsi="Times New Roman" w:cs="Times New Roman"/>
                <w:color w:val="000000"/>
                <w:highlight w:val="none"/>
              </w:rPr>
            </w:pPr>
            <w:r>
              <w:rPr>
                <w:rFonts w:hint="default" w:ascii="Times New Roman" w:hAnsi="Times New Roman" w:cs="Times New Roman"/>
                <w:color w:val="000000"/>
                <w:highlight w:val="none"/>
              </w:rPr>
              <w:t>本工程环保投资费用主要包括海洋生态损失补偿费、</w:t>
            </w:r>
            <w:r>
              <w:rPr>
                <w:rFonts w:hint="default" w:ascii="Times New Roman" w:hAnsi="Times New Roman" w:cs="Times New Roman"/>
                <w:color w:val="000000"/>
                <w:highlight w:val="none"/>
                <w:lang w:val="en-US" w:eastAsia="zh-CN"/>
              </w:rPr>
              <w:t>生态环境保护</w:t>
            </w:r>
            <w:r>
              <w:rPr>
                <w:rFonts w:hint="default" w:ascii="Times New Roman" w:hAnsi="Times New Roman" w:cs="Times New Roman"/>
                <w:color w:val="000000"/>
                <w:highlight w:val="none"/>
              </w:rPr>
              <w:t>措施、环境风险防范措施</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环境监测、环境监理等费用，环保总投资约为</w:t>
            </w:r>
            <w:r>
              <w:rPr>
                <w:rFonts w:hint="default" w:ascii="Times New Roman" w:hAnsi="Times New Roman" w:cs="Times New Roman"/>
                <w:color w:val="000000"/>
                <w:highlight w:val="none"/>
                <w:lang w:val="en-US" w:eastAsia="zh-CN"/>
              </w:rPr>
              <w:t>481</w:t>
            </w:r>
            <w:r>
              <w:rPr>
                <w:rFonts w:hint="default" w:ascii="Times New Roman" w:hAnsi="Times New Roman" w:cs="Times New Roman"/>
                <w:color w:val="000000"/>
                <w:highlight w:val="none"/>
              </w:rPr>
              <w:t>万元，各项费用估算见</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REF _Ref24079 \h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5.8</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1</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rPr>
              <w:t>。</w:t>
            </w:r>
          </w:p>
          <w:p w14:paraId="7E3842E8">
            <w:pPr>
              <w:pStyle w:val="11"/>
              <w:rPr>
                <w:rFonts w:hint="default" w:ascii="Times New Roman" w:hAnsi="Times New Roman" w:cs="Times New Roman"/>
                <w:color w:val="000000"/>
                <w:highlight w:val="none"/>
              </w:rPr>
            </w:pPr>
            <w:bookmarkStart w:id="569" w:name="_Ref24079"/>
            <w:r>
              <w:rPr>
                <w:rFonts w:hint="default" w:ascii="Times New Roman" w:hAnsi="Times New Roman" w:cs="Times New Roman"/>
                <w:color w:val="000000"/>
                <w:highlight w:val="none"/>
              </w:rPr>
              <w:t>表</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STYLEREF 2 \s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5.8</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SEQ 表 \* ARABIC \s 2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1</w:t>
            </w:r>
            <w:r>
              <w:rPr>
                <w:rFonts w:hint="default" w:ascii="Times New Roman" w:hAnsi="Times New Roman" w:cs="Times New Roman"/>
                <w:color w:val="000000"/>
                <w:highlight w:val="none"/>
              </w:rPr>
              <w:fldChar w:fldCharType="end"/>
            </w:r>
            <w:bookmarkEnd w:id="569"/>
            <w:r>
              <w:rPr>
                <w:rFonts w:hint="default" w:ascii="Times New Roman" w:hAnsi="Times New Roman" w:cs="Times New Roman"/>
                <w:color w:val="000000"/>
                <w:highlight w:val="none"/>
                <w:lang w:val="en-US" w:eastAsia="zh-CN"/>
              </w:rPr>
              <w:t xml:space="preserve"> </w:t>
            </w:r>
            <w:r>
              <w:rPr>
                <w:rFonts w:hint="default" w:ascii="Times New Roman" w:hAnsi="Times New Roman" w:cs="Times New Roman"/>
                <w:color w:val="000000"/>
                <w:highlight w:val="none"/>
              </w:rPr>
              <w:t>环保投资估算表</w:t>
            </w:r>
          </w:p>
          <w:tbl>
            <w:tblPr>
              <w:tblStyle w:val="32"/>
              <w:tblW w:w="504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885"/>
              <w:gridCol w:w="1448"/>
              <w:gridCol w:w="4469"/>
              <w:gridCol w:w="1500"/>
            </w:tblGrid>
            <w:tr w14:paraId="33D2E1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9" w:hRule="atLeast"/>
                <w:tblHeader/>
                <w:jc w:val="center"/>
              </w:trPr>
              <w:tc>
                <w:tcPr>
                  <w:tcW w:w="533" w:type="pct"/>
                  <w:noWrap w:val="0"/>
                  <w:vAlign w:val="center"/>
                </w:tcPr>
                <w:p w14:paraId="6189965E">
                  <w:pPr>
                    <w:pStyle w:val="31"/>
                    <w:bidi w:val="0"/>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rPr>
                    <w:t>阶段</w:t>
                  </w:r>
                </w:p>
              </w:tc>
              <w:tc>
                <w:tcPr>
                  <w:tcW w:w="872" w:type="pct"/>
                  <w:noWrap w:val="0"/>
                  <w:vAlign w:val="center"/>
                </w:tcPr>
                <w:p w14:paraId="42B581D5">
                  <w:pPr>
                    <w:pStyle w:val="31"/>
                    <w:bidi w:val="0"/>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rPr>
                    <w:t>要素</w:t>
                  </w:r>
                </w:p>
              </w:tc>
              <w:tc>
                <w:tcPr>
                  <w:tcW w:w="2691" w:type="pct"/>
                  <w:noWrap w:val="0"/>
                  <w:vAlign w:val="center"/>
                </w:tcPr>
                <w:p w14:paraId="12185847">
                  <w:pPr>
                    <w:pStyle w:val="31"/>
                    <w:bidi w:val="0"/>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rPr>
                    <w:t>项目</w:t>
                  </w:r>
                </w:p>
              </w:tc>
              <w:tc>
                <w:tcPr>
                  <w:tcW w:w="903" w:type="pct"/>
                  <w:noWrap w:val="0"/>
                  <w:vAlign w:val="center"/>
                </w:tcPr>
                <w:p w14:paraId="369D3EA5">
                  <w:pPr>
                    <w:pStyle w:val="31"/>
                    <w:bidi w:val="0"/>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rPr>
                    <w:t>金额（万元）</w:t>
                  </w:r>
                </w:p>
              </w:tc>
            </w:tr>
            <w:tr w14:paraId="0C4B41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533" w:type="pct"/>
                  <w:vMerge w:val="restart"/>
                  <w:noWrap w:val="0"/>
                  <w:vAlign w:val="center"/>
                </w:tcPr>
                <w:p w14:paraId="23A65577">
                  <w:pPr>
                    <w:pStyle w:val="31"/>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施工期</w:t>
                  </w:r>
                </w:p>
              </w:tc>
              <w:tc>
                <w:tcPr>
                  <w:tcW w:w="872" w:type="pct"/>
                  <w:noWrap w:val="0"/>
                  <w:vAlign w:val="center"/>
                </w:tcPr>
                <w:p w14:paraId="50A8D136">
                  <w:pPr>
                    <w:pStyle w:val="31"/>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废水</w:t>
                  </w:r>
                </w:p>
              </w:tc>
              <w:tc>
                <w:tcPr>
                  <w:tcW w:w="2691" w:type="pct"/>
                  <w:noWrap w:val="0"/>
                  <w:vAlign w:val="center"/>
                </w:tcPr>
                <w:p w14:paraId="28BDDE55">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排水沟渠、隔油沉淀池建设费用</w:t>
                  </w:r>
                </w:p>
              </w:tc>
              <w:tc>
                <w:tcPr>
                  <w:tcW w:w="903" w:type="pct"/>
                  <w:noWrap w:val="0"/>
                  <w:vAlign w:val="center"/>
                </w:tcPr>
                <w:p w14:paraId="2A994C98">
                  <w:pPr>
                    <w:pStyle w:val="31"/>
                    <w:bidi w:val="0"/>
                    <w:ind w:firstLine="0" w:firstLineChars="0"/>
                    <w:rPr>
                      <w:rFonts w:hint="default" w:ascii="Times New Roman" w:hAnsi="Times New Roman" w:eastAsia="宋体" w:cs="Times New Roman"/>
                      <w:color w:val="000000"/>
                      <w:highlight w:val="none"/>
                      <w:lang w:val="en-US" w:eastAsia="zh-CN"/>
                    </w:rPr>
                  </w:pPr>
                </w:p>
              </w:tc>
            </w:tr>
            <w:tr w14:paraId="5F2271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533" w:type="pct"/>
                  <w:vMerge w:val="continue"/>
                  <w:noWrap w:val="0"/>
                  <w:vAlign w:val="center"/>
                </w:tcPr>
                <w:p w14:paraId="01B25176">
                  <w:pPr>
                    <w:pStyle w:val="31"/>
                    <w:bidi w:val="0"/>
                    <w:rPr>
                      <w:rFonts w:hint="default" w:ascii="Times New Roman" w:hAnsi="Times New Roman" w:cs="Times New Roman"/>
                      <w:color w:val="000000"/>
                      <w:highlight w:val="none"/>
                    </w:rPr>
                  </w:pPr>
                </w:p>
              </w:tc>
              <w:tc>
                <w:tcPr>
                  <w:tcW w:w="872" w:type="pct"/>
                  <w:noWrap w:val="0"/>
                  <w:vAlign w:val="center"/>
                </w:tcPr>
                <w:p w14:paraId="7A8FBABD">
                  <w:pPr>
                    <w:pStyle w:val="31"/>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废气</w:t>
                  </w:r>
                </w:p>
              </w:tc>
              <w:tc>
                <w:tcPr>
                  <w:tcW w:w="2691" w:type="pct"/>
                  <w:noWrap w:val="0"/>
                  <w:vAlign w:val="center"/>
                </w:tcPr>
                <w:p w14:paraId="03CAAFAA">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施工期洒水、道路清扫等费用</w:t>
                  </w:r>
                </w:p>
              </w:tc>
              <w:tc>
                <w:tcPr>
                  <w:tcW w:w="903" w:type="pct"/>
                  <w:noWrap w:val="0"/>
                  <w:vAlign w:val="center"/>
                </w:tcPr>
                <w:p w14:paraId="497DD676">
                  <w:pPr>
                    <w:pStyle w:val="31"/>
                    <w:bidi w:val="0"/>
                    <w:ind w:firstLine="0" w:firstLineChars="0"/>
                    <w:rPr>
                      <w:rFonts w:hint="default" w:ascii="Times New Roman" w:hAnsi="Times New Roman" w:eastAsia="宋体" w:cs="Times New Roman"/>
                      <w:color w:val="000000"/>
                      <w:highlight w:val="none"/>
                      <w:lang w:val="en-US" w:eastAsia="zh-CN"/>
                    </w:rPr>
                  </w:pPr>
                </w:p>
              </w:tc>
            </w:tr>
            <w:tr w14:paraId="605DCF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533" w:type="pct"/>
                  <w:vMerge w:val="continue"/>
                  <w:noWrap w:val="0"/>
                  <w:vAlign w:val="center"/>
                </w:tcPr>
                <w:p w14:paraId="0D59BBD2">
                  <w:pPr>
                    <w:pStyle w:val="31"/>
                    <w:bidi w:val="0"/>
                    <w:rPr>
                      <w:rFonts w:hint="default" w:ascii="Times New Roman" w:hAnsi="Times New Roman" w:cs="Times New Roman"/>
                      <w:color w:val="000000"/>
                      <w:highlight w:val="none"/>
                    </w:rPr>
                  </w:pPr>
                </w:p>
              </w:tc>
              <w:tc>
                <w:tcPr>
                  <w:tcW w:w="872" w:type="pct"/>
                  <w:vMerge w:val="restart"/>
                  <w:noWrap w:val="0"/>
                  <w:vAlign w:val="center"/>
                </w:tcPr>
                <w:p w14:paraId="3B980346">
                  <w:pPr>
                    <w:pStyle w:val="31"/>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固体废物</w:t>
                  </w:r>
                </w:p>
              </w:tc>
              <w:tc>
                <w:tcPr>
                  <w:tcW w:w="2691" w:type="pct"/>
                  <w:noWrap w:val="0"/>
                  <w:vAlign w:val="center"/>
                </w:tcPr>
                <w:p w14:paraId="6BB06049">
                  <w:pPr>
                    <w:pStyle w:val="31"/>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施工船舶垃圾处置费用</w:t>
                  </w:r>
                </w:p>
              </w:tc>
              <w:tc>
                <w:tcPr>
                  <w:tcW w:w="1500" w:type="dxa"/>
                  <w:noWrap w:val="0"/>
                  <w:vAlign w:val="center"/>
                </w:tcPr>
                <w:p w14:paraId="42B2631C">
                  <w:pPr>
                    <w:pStyle w:val="31"/>
                    <w:bidi w:val="0"/>
                    <w:ind w:firstLine="0" w:firstLineChars="0"/>
                    <w:rPr>
                      <w:rFonts w:hint="default" w:ascii="Times New Roman" w:hAnsi="Times New Roman" w:eastAsia="宋体" w:cs="Times New Roman"/>
                      <w:color w:val="000000"/>
                      <w:highlight w:val="none"/>
                      <w:lang w:val="en-US" w:eastAsia="zh-CN"/>
                    </w:rPr>
                  </w:pPr>
                </w:p>
              </w:tc>
            </w:tr>
            <w:tr w14:paraId="4FE198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533" w:type="pct"/>
                  <w:vMerge w:val="continue"/>
                  <w:noWrap w:val="0"/>
                  <w:vAlign w:val="center"/>
                </w:tcPr>
                <w:p w14:paraId="4DFCCFF5">
                  <w:pPr>
                    <w:pStyle w:val="31"/>
                    <w:bidi w:val="0"/>
                    <w:rPr>
                      <w:rFonts w:hint="default" w:ascii="Times New Roman" w:hAnsi="Times New Roman" w:cs="Times New Roman"/>
                      <w:color w:val="000000"/>
                      <w:highlight w:val="none"/>
                    </w:rPr>
                  </w:pPr>
                </w:p>
              </w:tc>
              <w:tc>
                <w:tcPr>
                  <w:tcW w:w="872" w:type="pct"/>
                  <w:vMerge w:val="continue"/>
                  <w:noWrap w:val="0"/>
                  <w:vAlign w:val="center"/>
                </w:tcPr>
                <w:p w14:paraId="0213FD74">
                  <w:pPr>
                    <w:pStyle w:val="31"/>
                    <w:bidi w:val="0"/>
                    <w:rPr>
                      <w:rFonts w:hint="default" w:ascii="Times New Roman" w:hAnsi="Times New Roman" w:cs="Times New Roman"/>
                      <w:color w:val="000000"/>
                      <w:highlight w:val="none"/>
                    </w:rPr>
                  </w:pPr>
                </w:p>
              </w:tc>
              <w:tc>
                <w:tcPr>
                  <w:tcW w:w="2691" w:type="pct"/>
                  <w:noWrap w:val="0"/>
                  <w:vAlign w:val="center"/>
                </w:tcPr>
                <w:p w14:paraId="00AF0C69">
                  <w:pPr>
                    <w:pStyle w:val="31"/>
                    <w:bidi w:val="0"/>
                    <w:ind w:firstLine="0" w:firstLineChars="0"/>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生活垃圾桶</w:t>
                  </w:r>
                </w:p>
              </w:tc>
              <w:tc>
                <w:tcPr>
                  <w:tcW w:w="1500" w:type="dxa"/>
                  <w:noWrap w:val="0"/>
                  <w:vAlign w:val="center"/>
                </w:tcPr>
                <w:p w14:paraId="5C32B8AD">
                  <w:pPr>
                    <w:pStyle w:val="31"/>
                    <w:bidi w:val="0"/>
                    <w:ind w:firstLine="0" w:firstLineChars="0"/>
                    <w:rPr>
                      <w:rFonts w:hint="default" w:ascii="Times New Roman" w:hAnsi="Times New Roman" w:cs="Times New Roman"/>
                      <w:color w:val="000000"/>
                      <w:highlight w:val="none"/>
                      <w:lang w:val="en-US"/>
                    </w:rPr>
                  </w:pPr>
                </w:p>
              </w:tc>
            </w:tr>
            <w:tr w14:paraId="4EB340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533" w:type="pct"/>
                  <w:vMerge w:val="continue"/>
                  <w:noWrap w:val="0"/>
                  <w:vAlign w:val="center"/>
                </w:tcPr>
                <w:p w14:paraId="54C2A79A">
                  <w:pPr>
                    <w:pStyle w:val="31"/>
                    <w:bidi w:val="0"/>
                    <w:rPr>
                      <w:rFonts w:hint="default" w:ascii="Times New Roman" w:hAnsi="Times New Roman" w:cs="Times New Roman"/>
                      <w:color w:val="000000"/>
                      <w:highlight w:val="none"/>
                    </w:rPr>
                  </w:pPr>
                </w:p>
              </w:tc>
              <w:tc>
                <w:tcPr>
                  <w:tcW w:w="872" w:type="pct"/>
                  <w:vMerge w:val="continue"/>
                  <w:noWrap w:val="0"/>
                  <w:vAlign w:val="center"/>
                </w:tcPr>
                <w:p w14:paraId="469E26C8">
                  <w:pPr>
                    <w:pStyle w:val="31"/>
                    <w:bidi w:val="0"/>
                    <w:rPr>
                      <w:rFonts w:hint="default" w:ascii="Times New Roman" w:hAnsi="Times New Roman" w:cs="Times New Roman"/>
                      <w:color w:val="000000"/>
                      <w:highlight w:val="none"/>
                    </w:rPr>
                  </w:pPr>
                </w:p>
              </w:tc>
              <w:tc>
                <w:tcPr>
                  <w:tcW w:w="2691" w:type="pct"/>
                  <w:noWrap w:val="0"/>
                  <w:vAlign w:val="center"/>
                </w:tcPr>
                <w:p w14:paraId="25DC4224">
                  <w:pPr>
                    <w:pStyle w:val="31"/>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含油污泥处置费用</w:t>
                  </w:r>
                </w:p>
              </w:tc>
              <w:tc>
                <w:tcPr>
                  <w:tcW w:w="1500" w:type="dxa"/>
                  <w:noWrap w:val="0"/>
                  <w:vAlign w:val="center"/>
                </w:tcPr>
                <w:p w14:paraId="30AE9DF1">
                  <w:pPr>
                    <w:pStyle w:val="31"/>
                    <w:bidi w:val="0"/>
                    <w:ind w:firstLine="0" w:firstLineChars="0"/>
                    <w:rPr>
                      <w:rFonts w:hint="default" w:ascii="Times New Roman" w:hAnsi="Times New Roman" w:eastAsia="宋体" w:cs="Times New Roman"/>
                      <w:color w:val="000000"/>
                      <w:highlight w:val="none"/>
                      <w:lang w:val="en-US" w:eastAsia="zh-CN"/>
                    </w:rPr>
                  </w:pPr>
                </w:p>
              </w:tc>
            </w:tr>
            <w:tr w14:paraId="0BBC06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533" w:type="pct"/>
                  <w:vMerge w:val="continue"/>
                  <w:noWrap w:val="0"/>
                  <w:vAlign w:val="center"/>
                </w:tcPr>
                <w:p w14:paraId="0E5912A3">
                  <w:pPr>
                    <w:pStyle w:val="31"/>
                    <w:bidi w:val="0"/>
                    <w:rPr>
                      <w:rFonts w:hint="default" w:ascii="Times New Roman" w:hAnsi="Times New Roman" w:cs="Times New Roman"/>
                      <w:color w:val="000000"/>
                      <w:highlight w:val="none"/>
                    </w:rPr>
                  </w:pPr>
                </w:p>
              </w:tc>
              <w:tc>
                <w:tcPr>
                  <w:tcW w:w="872" w:type="pct"/>
                  <w:vMerge w:val="continue"/>
                  <w:noWrap w:val="0"/>
                  <w:vAlign w:val="center"/>
                </w:tcPr>
                <w:p w14:paraId="218DADD0">
                  <w:pPr>
                    <w:pStyle w:val="31"/>
                    <w:bidi w:val="0"/>
                    <w:rPr>
                      <w:rFonts w:hint="default" w:ascii="Times New Roman" w:hAnsi="Times New Roman" w:cs="Times New Roman"/>
                      <w:color w:val="000000"/>
                      <w:highlight w:val="none"/>
                    </w:rPr>
                  </w:pPr>
                </w:p>
              </w:tc>
              <w:tc>
                <w:tcPr>
                  <w:tcW w:w="2691" w:type="pct"/>
                  <w:noWrap w:val="0"/>
                  <w:vAlign w:val="center"/>
                </w:tcPr>
                <w:p w14:paraId="186D409F">
                  <w:pPr>
                    <w:pStyle w:val="31"/>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基槽开挖弃方、港池疏浚物运输费用</w:t>
                  </w:r>
                </w:p>
              </w:tc>
              <w:tc>
                <w:tcPr>
                  <w:tcW w:w="1500" w:type="dxa"/>
                  <w:noWrap w:val="0"/>
                  <w:vAlign w:val="center"/>
                </w:tcPr>
                <w:p w14:paraId="25066FBD">
                  <w:pPr>
                    <w:pStyle w:val="31"/>
                    <w:bidi w:val="0"/>
                    <w:ind w:firstLine="0" w:firstLineChars="0"/>
                    <w:rPr>
                      <w:rFonts w:hint="default" w:ascii="Times New Roman" w:hAnsi="Times New Roman" w:eastAsia="宋体" w:cs="Times New Roman"/>
                      <w:color w:val="000000"/>
                      <w:highlight w:val="none"/>
                      <w:lang w:val="en-US" w:eastAsia="zh-CN"/>
                    </w:rPr>
                  </w:pPr>
                </w:p>
              </w:tc>
            </w:tr>
            <w:tr w14:paraId="410C1F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533" w:type="pct"/>
                  <w:vMerge w:val="continue"/>
                  <w:noWrap w:val="0"/>
                  <w:vAlign w:val="center"/>
                </w:tcPr>
                <w:p w14:paraId="0ED3275B">
                  <w:pPr>
                    <w:pStyle w:val="31"/>
                    <w:bidi w:val="0"/>
                    <w:rPr>
                      <w:rFonts w:hint="default" w:ascii="Times New Roman" w:hAnsi="Times New Roman" w:cs="Times New Roman"/>
                      <w:color w:val="000000"/>
                      <w:highlight w:val="none"/>
                    </w:rPr>
                  </w:pPr>
                </w:p>
              </w:tc>
              <w:tc>
                <w:tcPr>
                  <w:tcW w:w="872" w:type="pct"/>
                  <w:noWrap w:val="0"/>
                  <w:vAlign w:val="center"/>
                </w:tcPr>
                <w:p w14:paraId="7737FB60">
                  <w:pPr>
                    <w:pStyle w:val="31"/>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生态</w:t>
                  </w:r>
                </w:p>
              </w:tc>
              <w:tc>
                <w:tcPr>
                  <w:tcW w:w="2691" w:type="pct"/>
                  <w:noWrap w:val="0"/>
                  <w:vAlign w:val="center"/>
                </w:tcPr>
                <w:p w14:paraId="1891012F">
                  <w:pPr>
                    <w:pStyle w:val="31"/>
                    <w:bidi w:val="0"/>
                    <w:ind w:firstLine="0" w:firstLineChars="0"/>
                    <w:rPr>
                      <w:rFonts w:hint="default" w:ascii="Times New Roman" w:hAnsi="Times New Roman" w:cs="Times New Roman"/>
                      <w:color w:val="000000"/>
                      <w:highlight w:val="none"/>
                    </w:rPr>
                  </w:pPr>
                  <w:r>
                    <w:rPr>
                      <w:rFonts w:hint="default" w:ascii="Times New Roman" w:hAnsi="Times New Roman" w:cs="Times New Roman"/>
                      <w:color w:val="000000"/>
                      <w:highlight w:val="none"/>
                    </w:rPr>
                    <w:t>海洋生态资源补偿</w:t>
                  </w:r>
                </w:p>
              </w:tc>
              <w:tc>
                <w:tcPr>
                  <w:tcW w:w="1500" w:type="dxa"/>
                  <w:noWrap w:val="0"/>
                  <w:vAlign w:val="center"/>
                </w:tcPr>
                <w:p w14:paraId="0C0B7702">
                  <w:pPr>
                    <w:pStyle w:val="31"/>
                    <w:bidi w:val="0"/>
                    <w:ind w:firstLine="0" w:firstLineChars="0"/>
                    <w:rPr>
                      <w:rFonts w:hint="default" w:ascii="Times New Roman" w:hAnsi="Times New Roman" w:cs="Times New Roman"/>
                      <w:color w:val="000000"/>
                      <w:highlight w:val="none"/>
                      <w:lang w:val="en-US"/>
                    </w:rPr>
                  </w:pPr>
                </w:p>
              </w:tc>
            </w:tr>
            <w:tr w14:paraId="47BEAC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533" w:type="pct"/>
                  <w:vMerge w:val="continue"/>
                  <w:noWrap w:val="0"/>
                  <w:vAlign w:val="center"/>
                </w:tcPr>
                <w:p w14:paraId="174CB57C">
                  <w:pPr>
                    <w:pStyle w:val="31"/>
                    <w:bidi w:val="0"/>
                    <w:rPr>
                      <w:rFonts w:hint="default" w:ascii="Times New Roman" w:hAnsi="Times New Roman" w:cs="Times New Roman"/>
                      <w:color w:val="000000"/>
                      <w:highlight w:val="none"/>
                    </w:rPr>
                  </w:pPr>
                </w:p>
              </w:tc>
              <w:tc>
                <w:tcPr>
                  <w:tcW w:w="872" w:type="pct"/>
                  <w:noWrap w:val="0"/>
                  <w:vAlign w:val="center"/>
                </w:tcPr>
                <w:p w14:paraId="042ECBDF">
                  <w:pPr>
                    <w:pStyle w:val="31"/>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施工期跟踪监测</w:t>
                  </w:r>
                </w:p>
              </w:tc>
              <w:tc>
                <w:tcPr>
                  <w:tcW w:w="2691" w:type="pct"/>
                  <w:noWrap w:val="0"/>
                  <w:vAlign w:val="center"/>
                </w:tcPr>
                <w:p w14:paraId="74D58554">
                  <w:pPr>
                    <w:pStyle w:val="31"/>
                    <w:bidi w:val="0"/>
                    <w:ind w:firstLine="0" w:firstLineChars="0"/>
                    <w:rPr>
                      <w:rFonts w:hint="default" w:ascii="Times New Roman" w:hAnsi="Times New Roman" w:cs="Times New Roman"/>
                      <w:color w:val="000000"/>
                      <w:highlight w:val="none"/>
                    </w:rPr>
                  </w:pPr>
                  <w:r>
                    <w:rPr>
                      <w:rFonts w:hint="default" w:ascii="Times New Roman" w:hAnsi="Times New Roman" w:cs="Times New Roman"/>
                      <w:color w:val="000000"/>
                      <w:highlight w:val="none"/>
                    </w:rPr>
                    <w:t>海水水质、沉积物、海洋生态、大气、噪声</w:t>
                  </w:r>
                </w:p>
              </w:tc>
              <w:tc>
                <w:tcPr>
                  <w:tcW w:w="1500" w:type="dxa"/>
                  <w:noWrap w:val="0"/>
                  <w:vAlign w:val="center"/>
                </w:tcPr>
                <w:p w14:paraId="170735A5">
                  <w:pPr>
                    <w:pStyle w:val="31"/>
                    <w:bidi w:val="0"/>
                    <w:ind w:firstLine="0" w:firstLineChars="0"/>
                    <w:rPr>
                      <w:rFonts w:hint="default" w:ascii="Times New Roman" w:hAnsi="Times New Roman" w:eastAsia="宋体" w:cs="Times New Roman"/>
                      <w:color w:val="000000"/>
                      <w:highlight w:val="none"/>
                      <w:lang w:val="en-US" w:eastAsia="zh-CN"/>
                    </w:rPr>
                  </w:pPr>
                </w:p>
              </w:tc>
            </w:tr>
            <w:tr w14:paraId="2FE3D3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533" w:type="pct"/>
                  <w:vMerge w:val="continue"/>
                  <w:noWrap w:val="0"/>
                  <w:vAlign w:val="center"/>
                </w:tcPr>
                <w:p w14:paraId="69132BD1">
                  <w:pPr>
                    <w:pStyle w:val="31"/>
                    <w:bidi w:val="0"/>
                    <w:rPr>
                      <w:rFonts w:hint="default" w:ascii="Times New Roman" w:hAnsi="Times New Roman" w:cs="Times New Roman"/>
                      <w:color w:val="000000"/>
                      <w:highlight w:val="none"/>
                    </w:rPr>
                  </w:pPr>
                </w:p>
              </w:tc>
              <w:tc>
                <w:tcPr>
                  <w:tcW w:w="872" w:type="pct"/>
                  <w:noWrap w:val="0"/>
                  <w:vAlign w:val="center"/>
                </w:tcPr>
                <w:p w14:paraId="2017C638">
                  <w:pPr>
                    <w:pStyle w:val="31"/>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环境监理</w:t>
                  </w:r>
                </w:p>
              </w:tc>
              <w:tc>
                <w:tcPr>
                  <w:tcW w:w="2691" w:type="pct"/>
                  <w:noWrap w:val="0"/>
                  <w:vAlign w:val="center"/>
                </w:tcPr>
                <w:p w14:paraId="23569A3D">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施工期环境监理</w:t>
                  </w:r>
                </w:p>
              </w:tc>
              <w:tc>
                <w:tcPr>
                  <w:tcW w:w="1500" w:type="dxa"/>
                  <w:noWrap w:val="0"/>
                  <w:vAlign w:val="center"/>
                </w:tcPr>
                <w:p w14:paraId="4C765E7C">
                  <w:pPr>
                    <w:pStyle w:val="31"/>
                    <w:bidi w:val="0"/>
                    <w:ind w:firstLine="0" w:firstLineChars="0"/>
                    <w:rPr>
                      <w:rFonts w:hint="default" w:ascii="Times New Roman" w:hAnsi="Times New Roman" w:eastAsia="宋体" w:cs="Times New Roman"/>
                      <w:color w:val="000000"/>
                      <w:highlight w:val="none"/>
                      <w:lang w:val="en-US" w:eastAsia="zh-CN"/>
                    </w:rPr>
                  </w:pPr>
                </w:p>
              </w:tc>
            </w:tr>
            <w:tr w14:paraId="0215AA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533" w:type="pct"/>
                  <w:vMerge w:val="restart"/>
                  <w:noWrap w:val="0"/>
                  <w:vAlign w:val="center"/>
                </w:tcPr>
                <w:p w14:paraId="0BF2233A">
                  <w:pPr>
                    <w:pStyle w:val="31"/>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运营期</w:t>
                  </w:r>
                </w:p>
              </w:tc>
              <w:tc>
                <w:tcPr>
                  <w:tcW w:w="872" w:type="pct"/>
                  <w:vMerge w:val="restart"/>
                  <w:noWrap w:val="0"/>
                  <w:vAlign w:val="center"/>
                </w:tcPr>
                <w:p w14:paraId="3D857DE2">
                  <w:pPr>
                    <w:pStyle w:val="31"/>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废水</w:t>
                  </w:r>
                </w:p>
              </w:tc>
              <w:tc>
                <w:tcPr>
                  <w:tcW w:w="2691" w:type="pct"/>
                  <w:noWrap w:val="0"/>
                  <w:vAlign w:val="center"/>
                </w:tcPr>
                <w:p w14:paraId="32811C61">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隔油池、化粪池、收集池、收集沟及污水收集管网</w:t>
                  </w:r>
                </w:p>
              </w:tc>
              <w:tc>
                <w:tcPr>
                  <w:tcW w:w="1500" w:type="dxa"/>
                  <w:noWrap w:val="0"/>
                  <w:vAlign w:val="center"/>
                </w:tcPr>
                <w:p w14:paraId="7339E855">
                  <w:pPr>
                    <w:pStyle w:val="31"/>
                    <w:bidi w:val="0"/>
                    <w:ind w:firstLine="0" w:firstLineChars="0"/>
                    <w:rPr>
                      <w:rFonts w:hint="default" w:ascii="Times New Roman" w:hAnsi="Times New Roman" w:eastAsia="宋体" w:cs="Times New Roman"/>
                      <w:color w:val="000000"/>
                      <w:highlight w:val="none"/>
                      <w:lang w:val="en-US" w:eastAsia="zh-CN"/>
                    </w:rPr>
                  </w:pPr>
                </w:p>
              </w:tc>
            </w:tr>
            <w:tr w14:paraId="5C2C66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533" w:type="pct"/>
                  <w:vMerge w:val="continue"/>
                  <w:noWrap w:val="0"/>
                  <w:vAlign w:val="center"/>
                </w:tcPr>
                <w:p w14:paraId="231A59B4">
                  <w:pPr>
                    <w:pStyle w:val="31"/>
                    <w:bidi w:val="0"/>
                    <w:rPr>
                      <w:rFonts w:hint="default" w:ascii="Times New Roman" w:hAnsi="Times New Roman" w:cs="Times New Roman"/>
                      <w:color w:val="000000"/>
                      <w:highlight w:val="none"/>
                      <w:lang w:val="en-US" w:eastAsia="zh-CN"/>
                    </w:rPr>
                  </w:pPr>
                </w:p>
              </w:tc>
              <w:tc>
                <w:tcPr>
                  <w:tcW w:w="872" w:type="pct"/>
                  <w:vMerge w:val="continue"/>
                  <w:noWrap w:val="0"/>
                  <w:vAlign w:val="center"/>
                </w:tcPr>
                <w:p w14:paraId="50AE9425">
                  <w:pPr>
                    <w:pStyle w:val="31"/>
                    <w:bidi w:val="0"/>
                    <w:rPr>
                      <w:rFonts w:hint="default" w:ascii="Times New Roman" w:hAnsi="Times New Roman" w:cs="Times New Roman"/>
                      <w:color w:val="000000"/>
                      <w:highlight w:val="none"/>
                    </w:rPr>
                  </w:pPr>
                </w:p>
              </w:tc>
              <w:tc>
                <w:tcPr>
                  <w:tcW w:w="2691" w:type="pct"/>
                  <w:noWrap w:val="0"/>
                  <w:vAlign w:val="center"/>
                </w:tcPr>
                <w:p w14:paraId="39910AD5">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港区自建污水处理站</w:t>
                  </w:r>
                </w:p>
              </w:tc>
              <w:tc>
                <w:tcPr>
                  <w:tcW w:w="1500" w:type="dxa"/>
                  <w:noWrap w:val="0"/>
                  <w:vAlign w:val="center"/>
                </w:tcPr>
                <w:p w14:paraId="7BFD8778">
                  <w:pPr>
                    <w:pStyle w:val="31"/>
                    <w:bidi w:val="0"/>
                    <w:ind w:firstLine="0" w:firstLineChars="0"/>
                    <w:rPr>
                      <w:rFonts w:hint="default" w:ascii="Times New Roman" w:hAnsi="Times New Roman" w:eastAsia="宋体" w:cs="Times New Roman"/>
                      <w:color w:val="000000"/>
                      <w:highlight w:val="none"/>
                      <w:lang w:val="en-US" w:eastAsia="zh-CN"/>
                    </w:rPr>
                  </w:pPr>
                </w:p>
              </w:tc>
            </w:tr>
            <w:tr w14:paraId="7D9E6D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533" w:type="pct"/>
                  <w:vMerge w:val="continue"/>
                  <w:noWrap w:val="0"/>
                  <w:vAlign w:val="center"/>
                </w:tcPr>
                <w:p w14:paraId="16DAC653">
                  <w:pPr>
                    <w:pStyle w:val="31"/>
                    <w:bidi w:val="0"/>
                    <w:rPr>
                      <w:rFonts w:hint="default" w:ascii="Times New Roman" w:hAnsi="Times New Roman" w:cs="Times New Roman"/>
                      <w:color w:val="000000"/>
                      <w:highlight w:val="none"/>
                      <w:lang w:val="en-US" w:eastAsia="zh-CN"/>
                    </w:rPr>
                  </w:pPr>
                </w:p>
              </w:tc>
              <w:tc>
                <w:tcPr>
                  <w:tcW w:w="872" w:type="pct"/>
                  <w:noWrap w:val="0"/>
                  <w:vAlign w:val="center"/>
                </w:tcPr>
                <w:p w14:paraId="5AF4F3EB">
                  <w:pPr>
                    <w:pStyle w:val="31"/>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废气</w:t>
                  </w:r>
                </w:p>
              </w:tc>
              <w:tc>
                <w:tcPr>
                  <w:tcW w:w="2691" w:type="pct"/>
                  <w:noWrap w:val="0"/>
                  <w:vAlign w:val="center"/>
                </w:tcPr>
                <w:p w14:paraId="2E69BE43">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食堂油烟净化装置及烟道</w:t>
                  </w:r>
                </w:p>
              </w:tc>
              <w:tc>
                <w:tcPr>
                  <w:tcW w:w="1500" w:type="dxa"/>
                  <w:noWrap w:val="0"/>
                  <w:vAlign w:val="center"/>
                </w:tcPr>
                <w:p w14:paraId="31B9055A">
                  <w:pPr>
                    <w:pStyle w:val="31"/>
                    <w:bidi w:val="0"/>
                    <w:ind w:firstLine="0" w:firstLineChars="0"/>
                    <w:rPr>
                      <w:rFonts w:hint="default" w:ascii="Times New Roman" w:hAnsi="Times New Roman" w:eastAsia="宋体" w:cs="Times New Roman"/>
                      <w:color w:val="000000"/>
                      <w:highlight w:val="none"/>
                      <w:lang w:val="en-US" w:eastAsia="zh-CN"/>
                    </w:rPr>
                  </w:pPr>
                </w:p>
              </w:tc>
            </w:tr>
            <w:tr w14:paraId="2C781D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533" w:type="pct"/>
                  <w:vMerge w:val="continue"/>
                  <w:noWrap w:val="0"/>
                  <w:vAlign w:val="center"/>
                </w:tcPr>
                <w:p w14:paraId="38171B25">
                  <w:pPr>
                    <w:pStyle w:val="31"/>
                    <w:bidi w:val="0"/>
                    <w:rPr>
                      <w:rFonts w:hint="default" w:ascii="Times New Roman" w:hAnsi="Times New Roman" w:cs="Times New Roman"/>
                      <w:color w:val="000000"/>
                      <w:highlight w:val="none"/>
                      <w:lang w:val="en-US" w:eastAsia="zh-CN"/>
                    </w:rPr>
                  </w:pPr>
                </w:p>
              </w:tc>
              <w:tc>
                <w:tcPr>
                  <w:tcW w:w="872" w:type="pct"/>
                  <w:vMerge w:val="restart"/>
                  <w:noWrap w:val="0"/>
                  <w:vAlign w:val="center"/>
                </w:tcPr>
                <w:p w14:paraId="17F04E26">
                  <w:pPr>
                    <w:pStyle w:val="31"/>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固体废物</w:t>
                  </w:r>
                </w:p>
              </w:tc>
              <w:tc>
                <w:tcPr>
                  <w:tcW w:w="2691" w:type="pct"/>
                  <w:noWrap w:val="0"/>
                  <w:vAlign w:val="center"/>
                </w:tcPr>
                <w:p w14:paraId="1A325668">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生活垃圾桶</w:t>
                  </w:r>
                </w:p>
              </w:tc>
              <w:tc>
                <w:tcPr>
                  <w:tcW w:w="1500" w:type="dxa"/>
                  <w:noWrap w:val="0"/>
                  <w:vAlign w:val="center"/>
                </w:tcPr>
                <w:p w14:paraId="0B57C6A0">
                  <w:pPr>
                    <w:pStyle w:val="31"/>
                    <w:bidi w:val="0"/>
                    <w:ind w:firstLine="0" w:firstLineChars="0"/>
                    <w:rPr>
                      <w:rFonts w:hint="default" w:ascii="Times New Roman" w:hAnsi="Times New Roman" w:eastAsia="宋体" w:cs="Times New Roman"/>
                      <w:color w:val="000000"/>
                      <w:highlight w:val="none"/>
                      <w:lang w:val="en-US" w:eastAsia="zh-CN"/>
                    </w:rPr>
                  </w:pPr>
                </w:p>
              </w:tc>
            </w:tr>
            <w:tr w14:paraId="1D7AB3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533" w:type="pct"/>
                  <w:vMerge w:val="continue"/>
                  <w:noWrap w:val="0"/>
                  <w:vAlign w:val="center"/>
                </w:tcPr>
                <w:p w14:paraId="43448A66">
                  <w:pPr>
                    <w:pStyle w:val="31"/>
                    <w:bidi w:val="0"/>
                    <w:rPr>
                      <w:rFonts w:hint="default" w:ascii="Times New Roman" w:hAnsi="Times New Roman" w:cs="Times New Roman"/>
                      <w:color w:val="000000"/>
                      <w:highlight w:val="none"/>
                      <w:lang w:val="en-US" w:eastAsia="zh-CN"/>
                    </w:rPr>
                  </w:pPr>
                </w:p>
              </w:tc>
              <w:tc>
                <w:tcPr>
                  <w:tcW w:w="872" w:type="pct"/>
                  <w:vMerge w:val="continue"/>
                  <w:noWrap w:val="0"/>
                  <w:vAlign w:val="center"/>
                </w:tcPr>
                <w:p w14:paraId="519E80D9">
                  <w:pPr>
                    <w:pStyle w:val="31"/>
                    <w:bidi w:val="0"/>
                    <w:rPr>
                      <w:rFonts w:hint="default" w:ascii="Times New Roman" w:hAnsi="Times New Roman" w:cs="Times New Roman"/>
                      <w:color w:val="000000"/>
                      <w:highlight w:val="none"/>
                    </w:rPr>
                  </w:pPr>
                </w:p>
              </w:tc>
              <w:tc>
                <w:tcPr>
                  <w:tcW w:w="2691" w:type="pct"/>
                  <w:noWrap w:val="0"/>
                  <w:vAlign w:val="center"/>
                </w:tcPr>
                <w:p w14:paraId="7D4E82FF">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港区生产固废、污水处理站污泥运输费用</w:t>
                  </w:r>
                </w:p>
              </w:tc>
              <w:tc>
                <w:tcPr>
                  <w:tcW w:w="1500" w:type="dxa"/>
                  <w:noWrap w:val="0"/>
                  <w:vAlign w:val="center"/>
                </w:tcPr>
                <w:p w14:paraId="000121FB">
                  <w:pPr>
                    <w:pStyle w:val="31"/>
                    <w:bidi w:val="0"/>
                    <w:ind w:firstLine="0" w:firstLineChars="0"/>
                    <w:rPr>
                      <w:rFonts w:hint="default" w:ascii="Times New Roman" w:hAnsi="Times New Roman" w:eastAsia="宋体" w:cs="Times New Roman"/>
                      <w:color w:val="000000"/>
                      <w:highlight w:val="none"/>
                      <w:lang w:val="en-US" w:eastAsia="zh-CN"/>
                    </w:rPr>
                  </w:pPr>
                </w:p>
              </w:tc>
            </w:tr>
            <w:tr w14:paraId="2DB98D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533" w:type="pct"/>
                  <w:vMerge w:val="continue"/>
                  <w:noWrap w:val="0"/>
                  <w:vAlign w:val="center"/>
                </w:tcPr>
                <w:p w14:paraId="4CFB1D95">
                  <w:pPr>
                    <w:pStyle w:val="31"/>
                    <w:bidi w:val="0"/>
                    <w:rPr>
                      <w:rFonts w:hint="default" w:ascii="Times New Roman" w:hAnsi="Times New Roman" w:cs="Times New Roman"/>
                      <w:color w:val="000000"/>
                      <w:highlight w:val="none"/>
                      <w:lang w:val="en-US" w:eastAsia="zh-CN"/>
                    </w:rPr>
                  </w:pPr>
                </w:p>
              </w:tc>
              <w:tc>
                <w:tcPr>
                  <w:tcW w:w="872" w:type="pct"/>
                  <w:noWrap w:val="0"/>
                  <w:vAlign w:val="center"/>
                </w:tcPr>
                <w:p w14:paraId="1B02D943">
                  <w:pPr>
                    <w:pStyle w:val="31"/>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运营期跟踪监测</w:t>
                  </w:r>
                </w:p>
              </w:tc>
              <w:tc>
                <w:tcPr>
                  <w:tcW w:w="2691" w:type="pct"/>
                  <w:noWrap w:val="0"/>
                  <w:vAlign w:val="center"/>
                </w:tcPr>
                <w:p w14:paraId="3B7752A2">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rPr>
                    <w:t>海水水质、沉积物、海洋生态、</w:t>
                  </w:r>
                  <w:r>
                    <w:rPr>
                      <w:rFonts w:hint="default" w:ascii="Times New Roman" w:hAnsi="Times New Roman" w:cs="Times New Roman"/>
                      <w:color w:val="000000"/>
                      <w:highlight w:val="none"/>
                      <w:lang w:val="en-US" w:eastAsia="zh-CN"/>
                    </w:rPr>
                    <w:t>废气</w:t>
                  </w:r>
                  <w:r>
                    <w:rPr>
                      <w:rFonts w:hint="default" w:ascii="Times New Roman" w:hAnsi="Times New Roman" w:cs="Times New Roman"/>
                      <w:color w:val="000000"/>
                      <w:highlight w:val="none"/>
                    </w:rPr>
                    <w:t>、噪声</w:t>
                  </w:r>
                </w:p>
              </w:tc>
              <w:tc>
                <w:tcPr>
                  <w:tcW w:w="1500" w:type="dxa"/>
                  <w:noWrap w:val="0"/>
                  <w:vAlign w:val="center"/>
                </w:tcPr>
                <w:p w14:paraId="248A626B">
                  <w:pPr>
                    <w:pStyle w:val="31"/>
                    <w:bidi w:val="0"/>
                    <w:ind w:firstLine="0" w:firstLineChars="0"/>
                    <w:rPr>
                      <w:rFonts w:hint="default" w:ascii="Times New Roman" w:hAnsi="Times New Roman" w:eastAsia="宋体" w:cs="Times New Roman"/>
                      <w:color w:val="000000"/>
                      <w:highlight w:val="none"/>
                      <w:lang w:val="en-US" w:eastAsia="zh-CN"/>
                    </w:rPr>
                  </w:pPr>
                </w:p>
              </w:tc>
            </w:tr>
            <w:tr w14:paraId="27964F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533" w:type="pct"/>
                  <w:noWrap w:val="0"/>
                  <w:vAlign w:val="center"/>
                </w:tcPr>
                <w:p w14:paraId="272D1A2C">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施工期和运营期</w:t>
                  </w:r>
                </w:p>
              </w:tc>
              <w:tc>
                <w:tcPr>
                  <w:tcW w:w="872" w:type="pct"/>
                  <w:noWrap w:val="0"/>
                  <w:vAlign w:val="center"/>
                </w:tcPr>
                <w:p w14:paraId="7A0DB91F">
                  <w:pPr>
                    <w:pStyle w:val="31"/>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环境风险</w:t>
                  </w:r>
                </w:p>
              </w:tc>
              <w:tc>
                <w:tcPr>
                  <w:tcW w:w="2691" w:type="pct"/>
                  <w:noWrap w:val="0"/>
                  <w:vAlign w:val="center"/>
                </w:tcPr>
                <w:p w14:paraId="2C47D297">
                  <w:pPr>
                    <w:pStyle w:val="31"/>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rPr>
                    <w:t>溢油回收设施（</w:t>
                  </w:r>
                  <w:r>
                    <w:rPr>
                      <w:rFonts w:hint="default" w:ascii="Times New Roman" w:hAnsi="Times New Roman" w:cs="Times New Roman"/>
                      <w:color w:val="000000"/>
                      <w:highlight w:val="none"/>
                      <w:lang w:val="en-US" w:eastAsia="zh-CN"/>
                    </w:rPr>
                    <w:t>围油栏、收油机、吸油材料、溢油分散剂、喷洒装置、储存装置、围油栏布放艇</w:t>
                  </w:r>
                  <w:r>
                    <w:rPr>
                      <w:rFonts w:hint="default" w:ascii="Times New Roman" w:hAnsi="Times New Roman" w:cs="Times New Roman"/>
                      <w:color w:val="000000"/>
                      <w:highlight w:val="none"/>
                    </w:rPr>
                    <w:t>）</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消防灭火设施（灭火器、防护服等）</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制定船舶溢油应急预案</w:t>
                  </w:r>
                </w:p>
              </w:tc>
              <w:tc>
                <w:tcPr>
                  <w:tcW w:w="1500" w:type="dxa"/>
                  <w:noWrap w:val="0"/>
                  <w:vAlign w:val="center"/>
                </w:tcPr>
                <w:p w14:paraId="6D90B7A5">
                  <w:pPr>
                    <w:pStyle w:val="31"/>
                    <w:bidi w:val="0"/>
                    <w:ind w:firstLine="0" w:firstLineChars="0"/>
                    <w:rPr>
                      <w:rFonts w:hint="default" w:ascii="Times New Roman" w:hAnsi="Times New Roman" w:eastAsia="宋体" w:cs="Times New Roman"/>
                      <w:color w:val="000000"/>
                      <w:highlight w:val="none"/>
                      <w:lang w:val="en-US" w:eastAsia="zh-CN"/>
                    </w:rPr>
                  </w:pPr>
                </w:p>
              </w:tc>
            </w:tr>
            <w:tr w14:paraId="1C8571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4096" w:type="pct"/>
                  <w:gridSpan w:val="3"/>
                  <w:noWrap w:val="0"/>
                  <w:vAlign w:val="center"/>
                </w:tcPr>
                <w:p w14:paraId="73A283FD">
                  <w:pPr>
                    <w:pStyle w:val="3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合计</w:t>
                  </w:r>
                </w:p>
              </w:tc>
              <w:tc>
                <w:tcPr>
                  <w:tcW w:w="903" w:type="pct"/>
                  <w:noWrap w:val="0"/>
                  <w:vAlign w:val="center"/>
                </w:tcPr>
                <w:p w14:paraId="1D295E07">
                  <w:pPr>
                    <w:pStyle w:val="31"/>
                    <w:bidi w:val="0"/>
                    <w:ind w:firstLine="0" w:firstLineChars="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481</w:t>
                  </w:r>
                </w:p>
              </w:tc>
            </w:tr>
          </w:tbl>
          <w:p w14:paraId="55B46CB3">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b w:val="0"/>
                <w:bCs w:val="0"/>
                <w:color w:val="000000"/>
                <w:u w:val="none"/>
              </w:rPr>
            </w:pPr>
          </w:p>
        </w:tc>
      </w:tr>
    </w:tbl>
    <w:p w14:paraId="0439103A">
      <w:pPr>
        <w:pStyle w:val="2"/>
        <w:bidi w:val="0"/>
        <w:rPr>
          <w:rFonts w:hint="default" w:ascii="Times New Roman" w:hAnsi="Times New Roman" w:cs="Times New Roman"/>
          <w:color w:val="000000"/>
          <w:u w:val="none"/>
        </w:rPr>
        <w:sectPr>
          <w:pgSz w:w="11906" w:h="16838"/>
          <w:pgMar w:top="1701" w:right="1531" w:bottom="1701" w:left="1531" w:header="851" w:footer="1077" w:gutter="0"/>
          <w:pgNumType w:fmt="decimal"/>
          <w:cols w:space="720" w:num="1"/>
          <w:docGrid w:linePitch="312" w:charSpace="0"/>
        </w:sectPr>
      </w:pPr>
    </w:p>
    <w:p w14:paraId="12315312">
      <w:pPr>
        <w:pStyle w:val="2"/>
        <w:bidi w:val="0"/>
        <w:ind w:left="425" w:leftChars="0" w:hanging="425" w:firstLineChars="0"/>
        <w:rPr>
          <w:rFonts w:hint="default"/>
        </w:rPr>
      </w:pPr>
      <w:bookmarkStart w:id="570" w:name="_Toc24057"/>
      <w:bookmarkStart w:id="571" w:name="_Toc32406"/>
      <w:bookmarkStart w:id="572" w:name="_Toc25289"/>
      <w:bookmarkStart w:id="573" w:name="_Toc27396"/>
      <w:bookmarkStart w:id="574" w:name="_Toc26615"/>
      <w:r>
        <w:rPr>
          <w:rFonts w:hint="default"/>
        </w:rPr>
        <w:t>生态环境保护措施监督检查清单</w:t>
      </w:r>
      <w:bookmarkEnd w:id="570"/>
      <w:bookmarkEnd w:id="571"/>
      <w:bookmarkEnd w:id="572"/>
      <w:bookmarkEnd w:id="573"/>
      <w:bookmarkEnd w:id="574"/>
    </w:p>
    <w:tbl>
      <w:tblPr>
        <w:tblStyle w:val="2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57" w:type="dxa"/>
          <w:left w:w="108" w:type="dxa"/>
          <w:bottom w:w="57" w:type="dxa"/>
          <w:right w:w="108" w:type="dxa"/>
        </w:tblCellMar>
      </w:tblPr>
      <w:tblGrid>
        <w:gridCol w:w="1415"/>
        <w:gridCol w:w="5313"/>
        <w:gridCol w:w="1125"/>
        <w:gridCol w:w="4715"/>
        <w:gridCol w:w="1084"/>
      </w:tblGrid>
      <w:tr w14:paraId="2B6D4E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trHeight w:val="255" w:hRule="atLeast"/>
          <w:tblHeader/>
          <w:jc w:val="center"/>
        </w:trPr>
        <w:tc>
          <w:tcPr>
            <w:tcW w:w="518" w:type="pct"/>
            <w:vMerge w:val="restart"/>
            <w:tcBorders>
              <w:tl2br w:val="single" w:color="auto" w:sz="4" w:space="0"/>
            </w:tcBorders>
            <w:noWrap w:val="0"/>
            <w:vAlign w:val="center"/>
          </w:tcPr>
          <w:p w14:paraId="70FE7A4F">
            <w:pPr>
              <w:keepNext w:val="0"/>
              <w:keepLines w:val="0"/>
              <w:pageBreakBefore w:val="0"/>
              <w:widowControl w:val="0"/>
              <w:kinsoku/>
              <w:wordWrap/>
              <w:overflowPunct/>
              <w:topLinePunct w:val="0"/>
              <w:autoSpaceDE/>
              <w:autoSpaceDN/>
              <w:bidi w:val="0"/>
              <w:adjustRightInd w:val="0"/>
              <w:snapToGrid w:val="0"/>
              <w:spacing w:beforeAutospacing="0" w:after="0" w:afterAutospacing="0" w:line="240" w:lineRule="auto"/>
              <w:ind w:firstLine="0"/>
              <w:jc w:val="right"/>
              <w:textAlignment w:val="auto"/>
              <w:outlineLvl w:val="0"/>
              <w:rPr>
                <w:rFonts w:hint="default" w:ascii="Times New Roman" w:hAnsi="Times New Roman" w:eastAsia="黑体" w:cs="Times New Roman"/>
                <w:color w:val="000000"/>
                <w:kern w:val="2"/>
                <w:sz w:val="21"/>
                <w:szCs w:val="21"/>
                <w:highlight w:val="none"/>
                <w:u w:val="none"/>
              </w:rPr>
            </w:pPr>
            <w:bookmarkStart w:id="575" w:name="_Toc29437"/>
            <w:bookmarkStart w:id="576" w:name="_Toc12991"/>
            <w:bookmarkStart w:id="577" w:name="_Toc28024"/>
            <w:bookmarkStart w:id="578" w:name="_Toc15921"/>
            <w:bookmarkStart w:id="579" w:name="_Toc17204"/>
            <w:bookmarkStart w:id="580" w:name="_Toc13290"/>
            <w:bookmarkStart w:id="581" w:name="_Toc30839"/>
            <w:bookmarkStart w:id="582" w:name="_Toc31282"/>
            <w:bookmarkStart w:id="583" w:name="_Toc13414"/>
            <w:bookmarkStart w:id="584" w:name="_Toc28288"/>
            <w:bookmarkStart w:id="585" w:name="_Toc12323"/>
            <w:bookmarkStart w:id="586" w:name="_Toc26970"/>
            <w:bookmarkStart w:id="587" w:name="_Toc501"/>
            <w:bookmarkStart w:id="588" w:name="_Toc29926"/>
            <w:bookmarkStart w:id="589" w:name="_Toc2285"/>
            <w:bookmarkStart w:id="590" w:name="_Toc7207"/>
            <w:r>
              <w:rPr>
                <w:rFonts w:hint="default" w:ascii="Times New Roman" w:hAnsi="Times New Roman" w:eastAsia="黑体" w:cs="Times New Roman"/>
                <w:color w:val="000000"/>
                <w:kern w:val="2"/>
                <w:sz w:val="21"/>
                <w:szCs w:val="21"/>
                <w:highlight w:val="none"/>
                <w:u w:val="none"/>
              </w:rPr>
              <w:t>内容</w:t>
            </w:r>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p>
          <w:p w14:paraId="33253C77">
            <w:pPr>
              <w:keepNext w:val="0"/>
              <w:keepLines w:val="0"/>
              <w:pageBreakBefore w:val="0"/>
              <w:widowControl w:val="0"/>
              <w:kinsoku/>
              <w:wordWrap/>
              <w:overflowPunct/>
              <w:topLinePunct w:val="0"/>
              <w:autoSpaceDE/>
              <w:autoSpaceDN/>
              <w:bidi w:val="0"/>
              <w:adjustRightInd w:val="0"/>
              <w:snapToGrid w:val="0"/>
              <w:spacing w:beforeAutospacing="0" w:after="0" w:afterAutospacing="0" w:line="240" w:lineRule="auto"/>
              <w:ind w:firstLine="0"/>
              <w:jc w:val="left"/>
              <w:textAlignment w:val="auto"/>
              <w:outlineLvl w:val="0"/>
              <w:rPr>
                <w:rFonts w:hint="default" w:ascii="Times New Roman" w:hAnsi="Times New Roman" w:eastAsia="黑体" w:cs="Times New Roman"/>
                <w:color w:val="000000"/>
                <w:kern w:val="2"/>
                <w:sz w:val="21"/>
                <w:szCs w:val="21"/>
                <w:highlight w:val="none"/>
                <w:u w:val="none"/>
              </w:rPr>
            </w:pPr>
            <w:bookmarkStart w:id="591" w:name="_Toc3848"/>
            <w:bookmarkStart w:id="592" w:name="_Toc7415"/>
            <w:bookmarkStart w:id="593" w:name="_Toc29236"/>
            <w:bookmarkStart w:id="594" w:name="_Toc24481"/>
            <w:bookmarkStart w:id="595" w:name="_Toc1564"/>
            <w:bookmarkStart w:id="596" w:name="_Toc17547"/>
            <w:bookmarkStart w:id="597" w:name="_Toc30838"/>
            <w:bookmarkStart w:id="598" w:name="_Toc11806"/>
            <w:bookmarkStart w:id="599" w:name="_Toc16591"/>
            <w:bookmarkStart w:id="600" w:name="_Toc14149"/>
            <w:bookmarkStart w:id="601" w:name="_Toc5145"/>
            <w:bookmarkStart w:id="602" w:name="_Toc5420"/>
            <w:bookmarkStart w:id="603" w:name="_Toc31460"/>
            <w:bookmarkStart w:id="604" w:name="_Toc29368"/>
            <w:bookmarkStart w:id="605" w:name="_Toc29951"/>
            <w:bookmarkStart w:id="606" w:name="_Toc1742"/>
            <w:r>
              <w:rPr>
                <w:rFonts w:hint="default" w:ascii="Times New Roman" w:hAnsi="Times New Roman" w:eastAsia="黑体" w:cs="Times New Roman"/>
                <w:color w:val="000000"/>
                <w:kern w:val="2"/>
                <w:sz w:val="21"/>
                <w:szCs w:val="21"/>
                <w:highlight w:val="none"/>
                <w:u w:val="none"/>
              </w:rPr>
              <w:t>要素</w:t>
            </w:r>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p>
        </w:tc>
        <w:tc>
          <w:tcPr>
            <w:tcW w:w="2357" w:type="pct"/>
            <w:gridSpan w:val="2"/>
            <w:noWrap w:val="0"/>
            <w:vAlign w:val="center"/>
          </w:tcPr>
          <w:p w14:paraId="13FE55ED">
            <w:pPr>
              <w:keepNext w:val="0"/>
              <w:keepLines w:val="0"/>
              <w:pageBreakBefore w:val="0"/>
              <w:widowControl w:val="0"/>
              <w:kinsoku/>
              <w:wordWrap/>
              <w:overflowPunct/>
              <w:topLinePunct w:val="0"/>
              <w:autoSpaceDE/>
              <w:autoSpaceDN/>
              <w:bidi w:val="0"/>
              <w:adjustRightInd w:val="0"/>
              <w:snapToGrid w:val="0"/>
              <w:spacing w:beforeAutospacing="0" w:after="0" w:afterAutospacing="0" w:line="240" w:lineRule="auto"/>
              <w:ind w:firstLine="0"/>
              <w:jc w:val="center"/>
              <w:textAlignment w:val="auto"/>
              <w:outlineLvl w:val="0"/>
              <w:rPr>
                <w:rFonts w:hint="default" w:ascii="Times New Roman" w:hAnsi="Times New Roman" w:eastAsia="黑体" w:cs="Times New Roman"/>
                <w:color w:val="000000"/>
                <w:kern w:val="2"/>
                <w:sz w:val="21"/>
                <w:szCs w:val="21"/>
                <w:highlight w:val="none"/>
                <w:u w:val="none"/>
              </w:rPr>
            </w:pPr>
            <w:bookmarkStart w:id="607" w:name="_Toc7054"/>
            <w:bookmarkStart w:id="608" w:name="_Toc16051"/>
            <w:bookmarkStart w:id="609" w:name="_Toc18328"/>
            <w:bookmarkStart w:id="610" w:name="_Toc24059"/>
            <w:bookmarkStart w:id="611" w:name="_Toc8822"/>
            <w:bookmarkStart w:id="612" w:name="_Toc20410"/>
            <w:bookmarkStart w:id="613" w:name="_Toc4477"/>
            <w:bookmarkStart w:id="614" w:name="_Toc18290"/>
            <w:bookmarkStart w:id="615" w:name="_Toc30165"/>
            <w:bookmarkStart w:id="616" w:name="_Toc24205"/>
            <w:bookmarkStart w:id="617" w:name="_Toc5783"/>
            <w:bookmarkStart w:id="618" w:name="_Toc22488"/>
            <w:bookmarkStart w:id="619" w:name="_Toc28089"/>
            <w:bookmarkStart w:id="620" w:name="_Toc7484"/>
            <w:bookmarkStart w:id="621" w:name="_Toc8210"/>
            <w:bookmarkStart w:id="622" w:name="_Toc32401"/>
            <w:r>
              <w:rPr>
                <w:rFonts w:hint="default" w:ascii="Times New Roman" w:hAnsi="Times New Roman" w:eastAsia="黑体" w:cs="Times New Roman"/>
                <w:color w:val="000000"/>
                <w:kern w:val="2"/>
                <w:sz w:val="21"/>
                <w:szCs w:val="21"/>
                <w:highlight w:val="none"/>
                <w:u w:val="none"/>
              </w:rPr>
              <w:t>施工期</w:t>
            </w:r>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p>
        </w:tc>
        <w:tc>
          <w:tcPr>
            <w:tcW w:w="2123" w:type="pct"/>
            <w:gridSpan w:val="2"/>
            <w:noWrap w:val="0"/>
            <w:vAlign w:val="center"/>
          </w:tcPr>
          <w:p w14:paraId="4507CE98">
            <w:pPr>
              <w:keepNext w:val="0"/>
              <w:keepLines w:val="0"/>
              <w:pageBreakBefore w:val="0"/>
              <w:widowControl w:val="0"/>
              <w:kinsoku/>
              <w:wordWrap/>
              <w:overflowPunct/>
              <w:topLinePunct w:val="0"/>
              <w:autoSpaceDE/>
              <w:autoSpaceDN/>
              <w:bidi w:val="0"/>
              <w:adjustRightInd w:val="0"/>
              <w:snapToGrid w:val="0"/>
              <w:spacing w:beforeAutospacing="0" w:after="0" w:afterAutospacing="0" w:line="240" w:lineRule="auto"/>
              <w:ind w:firstLine="0"/>
              <w:jc w:val="center"/>
              <w:textAlignment w:val="auto"/>
              <w:outlineLvl w:val="0"/>
              <w:rPr>
                <w:rFonts w:hint="default" w:ascii="Times New Roman" w:hAnsi="Times New Roman" w:eastAsia="黑体" w:cs="Times New Roman"/>
                <w:color w:val="000000"/>
                <w:kern w:val="2"/>
                <w:sz w:val="21"/>
                <w:szCs w:val="21"/>
                <w:highlight w:val="none"/>
                <w:u w:val="none"/>
              </w:rPr>
            </w:pPr>
            <w:bookmarkStart w:id="623" w:name="_Toc29125"/>
            <w:bookmarkStart w:id="624" w:name="_Toc11565"/>
            <w:bookmarkStart w:id="625" w:name="_Toc10429"/>
            <w:bookmarkStart w:id="626" w:name="_Toc3745"/>
            <w:bookmarkStart w:id="627" w:name="_Toc28319"/>
            <w:bookmarkStart w:id="628" w:name="_Toc19999"/>
            <w:bookmarkStart w:id="629" w:name="_Toc15947"/>
            <w:bookmarkStart w:id="630" w:name="_Toc7239"/>
            <w:bookmarkStart w:id="631" w:name="_Toc5066"/>
            <w:bookmarkStart w:id="632" w:name="_Toc12221"/>
            <w:bookmarkStart w:id="633" w:name="_Toc18403"/>
            <w:bookmarkStart w:id="634" w:name="_Toc9083"/>
            <w:bookmarkStart w:id="635" w:name="_Toc9131"/>
            <w:bookmarkStart w:id="636" w:name="_Toc10653"/>
            <w:bookmarkStart w:id="637" w:name="_Toc31585"/>
            <w:bookmarkStart w:id="638" w:name="_Toc4341"/>
            <w:r>
              <w:rPr>
                <w:rFonts w:hint="default" w:ascii="Times New Roman" w:hAnsi="Times New Roman" w:eastAsia="黑体" w:cs="Times New Roman"/>
                <w:color w:val="000000"/>
                <w:kern w:val="2"/>
                <w:sz w:val="21"/>
                <w:szCs w:val="21"/>
                <w:highlight w:val="none"/>
                <w:u w:val="none"/>
              </w:rPr>
              <w:t>运营期</w:t>
            </w:r>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p>
        </w:tc>
      </w:tr>
      <w:tr w14:paraId="17607F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trHeight w:val="255" w:hRule="atLeast"/>
          <w:tblHeader/>
          <w:jc w:val="center"/>
        </w:trPr>
        <w:tc>
          <w:tcPr>
            <w:tcW w:w="518" w:type="pct"/>
            <w:vMerge w:val="continue"/>
            <w:noWrap w:val="0"/>
            <w:vAlign w:val="center"/>
          </w:tcPr>
          <w:p w14:paraId="2E207AA3">
            <w:pPr>
              <w:keepNext w:val="0"/>
              <w:keepLines w:val="0"/>
              <w:pageBreakBefore w:val="0"/>
              <w:widowControl w:val="0"/>
              <w:kinsoku/>
              <w:wordWrap/>
              <w:overflowPunct/>
              <w:topLinePunct w:val="0"/>
              <w:autoSpaceDE/>
              <w:autoSpaceDN/>
              <w:bidi w:val="0"/>
              <w:adjustRightInd w:val="0"/>
              <w:snapToGrid w:val="0"/>
              <w:spacing w:beforeAutospacing="0" w:after="0" w:afterAutospacing="0" w:line="240" w:lineRule="auto"/>
              <w:ind w:firstLine="0"/>
              <w:jc w:val="center"/>
              <w:textAlignment w:val="auto"/>
              <w:outlineLvl w:val="9"/>
              <w:rPr>
                <w:rFonts w:hint="default" w:ascii="Times New Roman" w:hAnsi="Times New Roman" w:eastAsia="黑体" w:cs="Times New Roman"/>
                <w:color w:val="000000"/>
                <w:kern w:val="2"/>
                <w:sz w:val="21"/>
                <w:szCs w:val="21"/>
                <w:highlight w:val="none"/>
                <w:u w:val="none"/>
              </w:rPr>
            </w:pPr>
          </w:p>
        </w:tc>
        <w:tc>
          <w:tcPr>
            <w:tcW w:w="1945" w:type="pct"/>
            <w:noWrap w:val="0"/>
            <w:vAlign w:val="center"/>
          </w:tcPr>
          <w:p w14:paraId="0692D8C3">
            <w:pPr>
              <w:keepNext w:val="0"/>
              <w:keepLines w:val="0"/>
              <w:pageBreakBefore w:val="0"/>
              <w:widowControl w:val="0"/>
              <w:kinsoku/>
              <w:wordWrap/>
              <w:overflowPunct/>
              <w:topLinePunct w:val="0"/>
              <w:autoSpaceDE/>
              <w:autoSpaceDN/>
              <w:bidi w:val="0"/>
              <w:adjustRightInd w:val="0"/>
              <w:snapToGrid w:val="0"/>
              <w:spacing w:beforeAutospacing="0" w:after="0" w:afterAutospacing="0" w:line="240" w:lineRule="auto"/>
              <w:ind w:firstLine="0"/>
              <w:jc w:val="center"/>
              <w:textAlignment w:val="auto"/>
              <w:outlineLvl w:val="0"/>
              <w:rPr>
                <w:rFonts w:hint="default" w:ascii="Times New Roman" w:hAnsi="Times New Roman" w:eastAsia="黑体" w:cs="Times New Roman"/>
                <w:color w:val="000000"/>
                <w:kern w:val="2"/>
                <w:sz w:val="21"/>
                <w:szCs w:val="21"/>
                <w:highlight w:val="none"/>
                <w:u w:val="none"/>
              </w:rPr>
            </w:pPr>
            <w:bookmarkStart w:id="639" w:name="_Toc29346"/>
            <w:bookmarkStart w:id="640" w:name="_Toc6037"/>
            <w:bookmarkStart w:id="641" w:name="_Toc8229"/>
            <w:bookmarkStart w:id="642" w:name="_Toc13862"/>
            <w:bookmarkStart w:id="643" w:name="_Toc14296"/>
            <w:bookmarkStart w:id="644" w:name="_Toc32288"/>
            <w:bookmarkStart w:id="645" w:name="_Toc29023"/>
            <w:bookmarkStart w:id="646" w:name="_Toc24664"/>
            <w:bookmarkStart w:id="647" w:name="_Toc32109"/>
            <w:bookmarkStart w:id="648" w:name="_Toc24302"/>
            <w:bookmarkStart w:id="649" w:name="_Toc17840"/>
            <w:bookmarkStart w:id="650" w:name="_Toc13233"/>
            <w:bookmarkStart w:id="651" w:name="_Toc11138"/>
            <w:bookmarkStart w:id="652" w:name="_Toc9817"/>
            <w:bookmarkStart w:id="653" w:name="_Toc16327"/>
            <w:bookmarkStart w:id="654" w:name="_Toc15995"/>
            <w:r>
              <w:rPr>
                <w:rFonts w:hint="default" w:ascii="Times New Roman" w:hAnsi="Times New Roman" w:eastAsia="黑体" w:cs="Times New Roman"/>
                <w:color w:val="000000"/>
                <w:kern w:val="2"/>
                <w:sz w:val="21"/>
                <w:szCs w:val="21"/>
                <w:highlight w:val="none"/>
                <w:u w:val="none"/>
              </w:rPr>
              <w:t>环境保护措施</w:t>
            </w:r>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p>
        </w:tc>
        <w:tc>
          <w:tcPr>
            <w:tcW w:w="412" w:type="pct"/>
            <w:noWrap w:val="0"/>
            <w:vAlign w:val="center"/>
          </w:tcPr>
          <w:p w14:paraId="6E65AAAD">
            <w:pPr>
              <w:keepNext w:val="0"/>
              <w:keepLines w:val="0"/>
              <w:pageBreakBefore w:val="0"/>
              <w:widowControl w:val="0"/>
              <w:kinsoku/>
              <w:wordWrap/>
              <w:overflowPunct/>
              <w:topLinePunct w:val="0"/>
              <w:autoSpaceDE/>
              <w:autoSpaceDN/>
              <w:bidi w:val="0"/>
              <w:adjustRightInd w:val="0"/>
              <w:snapToGrid w:val="0"/>
              <w:spacing w:beforeAutospacing="0" w:after="0" w:afterAutospacing="0" w:line="240" w:lineRule="auto"/>
              <w:ind w:firstLine="0"/>
              <w:jc w:val="center"/>
              <w:textAlignment w:val="auto"/>
              <w:outlineLvl w:val="0"/>
              <w:rPr>
                <w:rFonts w:hint="default" w:ascii="Times New Roman" w:hAnsi="Times New Roman" w:eastAsia="黑体" w:cs="Times New Roman"/>
                <w:color w:val="000000"/>
                <w:kern w:val="2"/>
                <w:sz w:val="21"/>
                <w:szCs w:val="21"/>
                <w:highlight w:val="none"/>
                <w:u w:val="none"/>
              </w:rPr>
            </w:pPr>
            <w:bookmarkStart w:id="655" w:name="_Toc23078"/>
            <w:bookmarkStart w:id="656" w:name="_Toc14060"/>
            <w:bookmarkStart w:id="657" w:name="_Toc3861"/>
            <w:bookmarkStart w:id="658" w:name="_Toc6508"/>
            <w:bookmarkStart w:id="659" w:name="_Toc25228"/>
            <w:bookmarkStart w:id="660" w:name="_Toc13783"/>
            <w:bookmarkStart w:id="661" w:name="_Toc22947"/>
            <w:bookmarkStart w:id="662" w:name="_Toc3187"/>
            <w:bookmarkStart w:id="663" w:name="_Toc8770"/>
            <w:bookmarkStart w:id="664" w:name="_Toc32631"/>
            <w:bookmarkStart w:id="665" w:name="_Toc12487"/>
            <w:bookmarkStart w:id="666" w:name="_Toc25287"/>
            <w:bookmarkStart w:id="667" w:name="_Toc21088"/>
            <w:bookmarkStart w:id="668" w:name="_Toc12534"/>
            <w:bookmarkStart w:id="669" w:name="_Toc7437"/>
            <w:bookmarkStart w:id="670" w:name="_Toc3186"/>
            <w:r>
              <w:rPr>
                <w:rFonts w:hint="default" w:ascii="Times New Roman" w:hAnsi="Times New Roman" w:eastAsia="黑体" w:cs="Times New Roman"/>
                <w:color w:val="000000"/>
                <w:kern w:val="2"/>
                <w:sz w:val="21"/>
                <w:szCs w:val="21"/>
                <w:highlight w:val="none"/>
                <w:u w:val="none"/>
              </w:rPr>
              <w:t>验收要求</w:t>
            </w:r>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p>
        </w:tc>
        <w:tc>
          <w:tcPr>
            <w:tcW w:w="1726" w:type="pct"/>
            <w:noWrap w:val="0"/>
            <w:vAlign w:val="center"/>
          </w:tcPr>
          <w:p w14:paraId="3E7E14C1">
            <w:pPr>
              <w:keepNext w:val="0"/>
              <w:keepLines w:val="0"/>
              <w:pageBreakBefore w:val="0"/>
              <w:widowControl w:val="0"/>
              <w:kinsoku/>
              <w:wordWrap/>
              <w:overflowPunct/>
              <w:topLinePunct w:val="0"/>
              <w:autoSpaceDE/>
              <w:autoSpaceDN/>
              <w:bidi w:val="0"/>
              <w:adjustRightInd w:val="0"/>
              <w:snapToGrid w:val="0"/>
              <w:spacing w:beforeAutospacing="0" w:after="0" w:afterAutospacing="0" w:line="240" w:lineRule="auto"/>
              <w:ind w:firstLine="0"/>
              <w:jc w:val="center"/>
              <w:textAlignment w:val="auto"/>
              <w:outlineLvl w:val="0"/>
              <w:rPr>
                <w:rFonts w:hint="default" w:ascii="Times New Roman" w:hAnsi="Times New Roman" w:eastAsia="黑体" w:cs="Times New Roman"/>
                <w:color w:val="000000"/>
                <w:kern w:val="2"/>
                <w:sz w:val="21"/>
                <w:szCs w:val="21"/>
                <w:highlight w:val="none"/>
                <w:u w:val="none"/>
              </w:rPr>
            </w:pPr>
            <w:bookmarkStart w:id="671" w:name="_Toc21177"/>
            <w:bookmarkStart w:id="672" w:name="_Toc26849"/>
            <w:bookmarkStart w:id="673" w:name="_Toc8801"/>
            <w:bookmarkStart w:id="674" w:name="_Toc32398"/>
            <w:bookmarkStart w:id="675" w:name="_Toc27557"/>
            <w:bookmarkStart w:id="676" w:name="_Toc19928"/>
            <w:bookmarkStart w:id="677" w:name="_Toc9876"/>
            <w:bookmarkStart w:id="678" w:name="_Toc18711"/>
            <w:bookmarkStart w:id="679" w:name="_Toc21026"/>
            <w:bookmarkStart w:id="680" w:name="_Toc17670"/>
            <w:bookmarkStart w:id="681" w:name="_Toc3094"/>
            <w:bookmarkStart w:id="682" w:name="_Toc4026"/>
            <w:bookmarkStart w:id="683" w:name="_Toc3131"/>
            <w:bookmarkStart w:id="684" w:name="_Toc30759"/>
            <w:bookmarkStart w:id="685" w:name="_Toc13896"/>
            <w:bookmarkStart w:id="686" w:name="_Toc5510"/>
            <w:r>
              <w:rPr>
                <w:rFonts w:hint="default" w:ascii="Times New Roman" w:hAnsi="Times New Roman" w:eastAsia="黑体" w:cs="Times New Roman"/>
                <w:color w:val="000000"/>
                <w:kern w:val="2"/>
                <w:sz w:val="21"/>
                <w:szCs w:val="21"/>
                <w:highlight w:val="none"/>
                <w:u w:val="none"/>
              </w:rPr>
              <w:t>环境保护措施</w:t>
            </w:r>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p>
        </w:tc>
        <w:tc>
          <w:tcPr>
            <w:tcW w:w="397" w:type="pct"/>
            <w:noWrap w:val="0"/>
            <w:vAlign w:val="center"/>
          </w:tcPr>
          <w:p w14:paraId="5400EBBA">
            <w:pPr>
              <w:keepNext w:val="0"/>
              <w:keepLines w:val="0"/>
              <w:pageBreakBefore w:val="0"/>
              <w:widowControl w:val="0"/>
              <w:kinsoku/>
              <w:wordWrap/>
              <w:overflowPunct/>
              <w:topLinePunct w:val="0"/>
              <w:autoSpaceDE/>
              <w:autoSpaceDN/>
              <w:bidi w:val="0"/>
              <w:adjustRightInd w:val="0"/>
              <w:snapToGrid w:val="0"/>
              <w:spacing w:beforeAutospacing="0" w:after="0" w:afterAutospacing="0" w:line="240" w:lineRule="auto"/>
              <w:ind w:firstLine="0"/>
              <w:jc w:val="center"/>
              <w:textAlignment w:val="auto"/>
              <w:outlineLvl w:val="0"/>
              <w:rPr>
                <w:rFonts w:hint="default" w:ascii="Times New Roman" w:hAnsi="Times New Roman" w:eastAsia="黑体" w:cs="Times New Roman"/>
                <w:color w:val="000000"/>
                <w:kern w:val="2"/>
                <w:sz w:val="21"/>
                <w:szCs w:val="21"/>
                <w:highlight w:val="none"/>
                <w:u w:val="none"/>
              </w:rPr>
            </w:pPr>
            <w:bookmarkStart w:id="687" w:name="_Toc4404"/>
            <w:bookmarkStart w:id="688" w:name="_Toc13229"/>
            <w:bookmarkStart w:id="689" w:name="_Toc10258"/>
            <w:bookmarkStart w:id="690" w:name="_Toc13239"/>
            <w:bookmarkStart w:id="691" w:name="_Toc3054"/>
            <w:bookmarkStart w:id="692" w:name="_Toc17372"/>
            <w:bookmarkStart w:id="693" w:name="_Toc19982"/>
            <w:bookmarkStart w:id="694" w:name="_Toc28954"/>
            <w:bookmarkStart w:id="695" w:name="_Toc24609"/>
            <w:bookmarkStart w:id="696" w:name="_Toc2261"/>
            <w:bookmarkStart w:id="697" w:name="_Toc21954"/>
            <w:bookmarkStart w:id="698" w:name="_Toc26042"/>
            <w:bookmarkStart w:id="699" w:name="_Toc2317"/>
            <w:bookmarkStart w:id="700" w:name="_Toc25341"/>
            <w:bookmarkStart w:id="701" w:name="_Toc16386"/>
            <w:bookmarkStart w:id="702" w:name="_Toc22537"/>
            <w:r>
              <w:rPr>
                <w:rFonts w:hint="default" w:ascii="Times New Roman" w:hAnsi="Times New Roman" w:eastAsia="黑体" w:cs="Times New Roman"/>
                <w:color w:val="000000"/>
                <w:kern w:val="2"/>
                <w:sz w:val="21"/>
                <w:szCs w:val="21"/>
                <w:highlight w:val="none"/>
                <w:u w:val="none"/>
              </w:rPr>
              <w:t>验收要求</w:t>
            </w:r>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p>
        </w:tc>
      </w:tr>
      <w:tr w14:paraId="786557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trHeight w:val="246" w:hRule="atLeast"/>
          <w:jc w:val="center"/>
        </w:trPr>
        <w:tc>
          <w:tcPr>
            <w:tcW w:w="518" w:type="pct"/>
            <w:noWrap w:val="0"/>
            <w:vAlign w:val="center"/>
          </w:tcPr>
          <w:p w14:paraId="7703551D">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color w:val="000000"/>
                <w:sz w:val="21"/>
                <w:szCs w:val="21"/>
                <w:highlight w:val="none"/>
                <w:u w:val="none"/>
              </w:rPr>
            </w:pPr>
            <w:r>
              <w:rPr>
                <w:rFonts w:hint="default" w:ascii="Times New Roman" w:hAnsi="Times New Roman" w:cs="Times New Roman"/>
                <w:color w:val="000000"/>
                <w:sz w:val="21"/>
                <w:szCs w:val="21"/>
                <w:highlight w:val="none"/>
                <w:u w:val="none"/>
              </w:rPr>
              <w:t>陆生生态</w:t>
            </w:r>
          </w:p>
        </w:tc>
        <w:tc>
          <w:tcPr>
            <w:tcW w:w="1945" w:type="pct"/>
            <w:noWrap w:val="0"/>
            <w:vAlign w:val="center"/>
          </w:tcPr>
          <w:p w14:paraId="447FF2F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szCs w:val="21"/>
                <w:highlight w:val="none"/>
                <w:u w:val="none"/>
              </w:rPr>
            </w:pPr>
            <w:r>
              <w:rPr>
                <w:rFonts w:hint="default" w:ascii="Times New Roman" w:hAnsi="Times New Roman" w:eastAsia="宋体" w:cs="Times New Roman"/>
                <w:color w:val="000000"/>
                <w:sz w:val="21"/>
                <w:szCs w:val="21"/>
                <w:highlight w:val="none"/>
                <w:u w:val="none"/>
                <w:lang w:val="en-US" w:eastAsia="zh-CN"/>
              </w:rPr>
              <w:t>/</w:t>
            </w:r>
          </w:p>
        </w:tc>
        <w:tc>
          <w:tcPr>
            <w:tcW w:w="412" w:type="pct"/>
            <w:noWrap w:val="0"/>
            <w:vAlign w:val="center"/>
          </w:tcPr>
          <w:p w14:paraId="32CCC2B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sz w:val="21"/>
                <w:szCs w:val="21"/>
                <w:highlight w:val="none"/>
                <w:u w:val="none"/>
              </w:rPr>
            </w:pPr>
            <w:r>
              <w:rPr>
                <w:rFonts w:hint="default" w:ascii="Times New Roman" w:hAnsi="Times New Roman" w:cs="Times New Roman"/>
                <w:color w:val="000000"/>
                <w:sz w:val="21"/>
                <w:szCs w:val="21"/>
                <w:highlight w:val="none"/>
                <w:u w:val="none"/>
                <w:lang w:val="en-US" w:eastAsia="zh-CN"/>
              </w:rPr>
              <w:t>/</w:t>
            </w:r>
          </w:p>
        </w:tc>
        <w:tc>
          <w:tcPr>
            <w:tcW w:w="1726" w:type="pct"/>
            <w:noWrap w:val="0"/>
            <w:vAlign w:val="center"/>
          </w:tcPr>
          <w:p w14:paraId="6E4758A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sz w:val="21"/>
                <w:szCs w:val="21"/>
                <w:highlight w:val="none"/>
                <w:u w:val="none"/>
              </w:rPr>
            </w:pPr>
            <w:r>
              <w:rPr>
                <w:rFonts w:hint="default" w:ascii="Times New Roman" w:hAnsi="Times New Roman" w:eastAsia="宋体" w:cs="Times New Roman"/>
                <w:color w:val="000000"/>
                <w:sz w:val="21"/>
                <w:szCs w:val="21"/>
                <w:highlight w:val="none"/>
                <w:u w:val="none"/>
                <w:lang w:val="en-US" w:eastAsia="zh-CN"/>
              </w:rPr>
              <w:t>/</w:t>
            </w:r>
          </w:p>
        </w:tc>
        <w:tc>
          <w:tcPr>
            <w:tcW w:w="397" w:type="pct"/>
            <w:noWrap w:val="0"/>
            <w:vAlign w:val="center"/>
          </w:tcPr>
          <w:p w14:paraId="39A8D93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sz w:val="21"/>
                <w:szCs w:val="21"/>
                <w:highlight w:val="none"/>
                <w:u w:val="none"/>
              </w:rPr>
            </w:pPr>
            <w:r>
              <w:rPr>
                <w:rFonts w:hint="default" w:ascii="Times New Roman" w:hAnsi="Times New Roman" w:cs="Times New Roman"/>
                <w:color w:val="000000"/>
                <w:sz w:val="21"/>
                <w:szCs w:val="21"/>
                <w:highlight w:val="none"/>
                <w:u w:val="none"/>
                <w:lang w:val="en-US" w:eastAsia="zh-CN"/>
              </w:rPr>
              <w:t>/</w:t>
            </w:r>
          </w:p>
        </w:tc>
      </w:tr>
      <w:tr w14:paraId="771C0B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518" w:type="pct"/>
            <w:noWrap w:val="0"/>
            <w:vAlign w:val="center"/>
          </w:tcPr>
          <w:p w14:paraId="38220D48">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color w:val="000000"/>
                <w:sz w:val="21"/>
                <w:szCs w:val="21"/>
                <w:highlight w:val="none"/>
                <w:u w:val="none"/>
              </w:rPr>
            </w:pPr>
            <w:r>
              <w:rPr>
                <w:rFonts w:hint="default" w:ascii="Times New Roman" w:hAnsi="Times New Roman" w:cs="Times New Roman"/>
                <w:color w:val="000000"/>
                <w:sz w:val="21"/>
                <w:szCs w:val="21"/>
                <w:highlight w:val="none"/>
                <w:u w:val="none"/>
              </w:rPr>
              <w:t>水生生态</w:t>
            </w:r>
          </w:p>
        </w:tc>
        <w:tc>
          <w:tcPr>
            <w:tcW w:w="1945" w:type="pct"/>
            <w:noWrap w:val="0"/>
            <w:vAlign w:val="center"/>
          </w:tcPr>
          <w:p w14:paraId="05E96E0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cs="Times New Roman"/>
                <w:color w:val="000000"/>
                <w:sz w:val="21"/>
                <w:szCs w:val="21"/>
                <w:highlight w:val="none"/>
                <w:u w:val="none"/>
                <w:lang w:val="en-US"/>
              </w:rPr>
            </w:pPr>
            <w:r>
              <w:rPr>
                <w:rFonts w:hint="default" w:ascii="Times New Roman" w:hAnsi="Times New Roman" w:cs="Times New Roman"/>
                <w:color w:val="000000"/>
                <w:sz w:val="21"/>
                <w:szCs w:val="21"/>
                <w:highlight w:val="none"/>
                <w:u w:val="none"/>
                <w:lang w:val="en-US"/>
              </w:rPr>
              <w:t>（1）施工前精心准备，科学合理施工组织</w:t>
            </w:r>
            <w:r>
              <w:rPr>
                <w:rFonts w:hint="eastAsia" w:cs="Times New Roman"/>
                <w:color w:val="000000"/>
                <w:sz w:val="21"/>
                <w:szCs w:val="21"/>
                <w:highlight w:val="none"/>
                <w:u w:val="none"/>
                <w:lang w:val="en-US" w:eastAsia="zh-CN"/>
              </w:rPr>
              <w:t>，</w:t>
            </w:r>
            <w:r>
              <w:rPr>
                <w:rFonts w:hint="default" w:ascii="Times New Roman" w:hAnsi="Times New Roman" w:cs="Times New Roman"/>
                <w:color w:val="000000"/>
                <w:sz w:val="21"/>
                <w:szCs w:val="21"/>
                <w:highlight w:val="none"/>
                <w:u w:val="none"/>
                <w:lang w:val="en-US"/>
              </w:rPr>
              <w:t>精确定位，减少超挖土方量，确保挖泥作业和淤泥处置工作准确、有效进行，减少不必要的超深、超宽的挖泥方量。</w:t>
            </w:r>
          </w:p>
          <w:p w14:paraId="2B91EB6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cs="Times New Roman"/>
                <w:color w:val="000000"/>
                <w:sz w:val="21"/>
                <w:szCs w:val="21"/>
                <w:highlight w:val="none"/>
                <w:u w:val="none"/>
                <w:lang w:val="en-US"/>
              </w:rPr>
            </w:pPr>
            <w:r>
              <w:rPr>
                <w:rFonts w:hint="default" w:ascii="Times New Roman" w:hAnsi="Times New Roman" w:cs="Times New Roman"/>
                <w:color w:val="000000"/>
                <w:sz w:val="21"/>
                <w:szCs w:val="21"/>
                <w:highlight w:val="none"/>
                <w:u w:val="none"/>
                <w:lang w:val="en-US"/>
              </w:rPr>
              <w:t>（</w:t>
            </w:r>
            <w:r>
              <w:rPr>
                <w:rFonts w:hint="eastAsia" w:cs="Times New Roman"/>
                <w:color w:val="000000"/>
                <w:sz w:val="21"/>
                <w:szCs w:val="21"/>
                <w:highlight w:val="none"/>
                <w:u w:val="none"/>
                <w:lang w:val="en-US" w:eastAsia="zh-CN"/>
              </w:rPr>
              <w:t>2</w:t>
            </w:r>
            <w:r>
              <w:rPr>
                <w:rFonts w:hint="default" w:ascii="Times New Roman" w:hAnsi="Times New Roman" w:cs="Times New Roman"/>
                <w:color w:val="000000"/>
                <w:sz w:val="21"/>
                <w:szCs w:val="21"/>
                <w:highlight w:val="none"/>
                <w:u w:val="none"/>
                <w:lang w:val="en-US"/>
              </w:rPr>
              <w:t>）确保泥门密闭，严防泥浆泄漏。将挖掘的泥沙直接卸入靠泊在挖泥船船舷旁的泥驳，装满泥浆后运至指定的弃方地点。施工单位应加强疏浚设备的日常维护与保养，确保疏浚设施的良好性能。</w:t>
            </w:r>
          </w:p>
          <w:p w14:paraId="3FABABF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cs="Times New Roman"/>
                <w:color w:val="000000"/>
                <w:sz w:val="21"/>
                <w:szCs w:val="21"/>
                <w:highlight w:val="none"/>
                <w:u w:val="none"/>
                <w:lang w:val="en-US"/>
              </w:rPr>
            </w:pPr>
            <w:r>
              <w:rPr>
                <w:rFonts w:hint="default" w:ascii="Times New Roman" w:hAnsi="Times New Roman" w:cs="Times New Roman"/>
                <w:color w:val="000000"/>
                <w:sz w:val="21"/>
                <w:szCs w:val="21"/>
                <w:highlight w:val="none"/>
                <w:u w:val="none"/>
                <w:lang w:val="en-US"/>
              </w:rPr>
              <w:t>（</w:t>
            </w:r>
            <w:r>
              <w:rPr>
                <w:rFonts w:hint="eastAsia" w:cs="Times New Roman"/>
                <w:color w:val="000000"/>
                <w:sz w:val="21"/>
                <w:szCs w:val="21"/>
                <w:highlight w:val="none"/>
                <w:u w:val="none"/>
                <w:lang w:val="en-US" w:eastAsia="zh-CN"/>
              </w:rPr>
              <w:t>3</w:t>
            </w:r>
            <w:r>
              <w:rPr>
                <w:rFonts w:hint="default" w:ascii="Times New Roman" w:hAnsi="Times New Roman" w:cs="Times New Roman"/>
                <w:color w:val="000000"/>
                <w:sz w:val="21"/>
                <w:szCs w:val="21"/>
                <w:highlight w:val="none"/>
                <w:u w:val="none"/>
                <w:lang w:val="en-US"/>
              </w:rPr>
              <w:t>）增强安全意识，防止翻船事故发生。施工环境监理中应加强对挖泥施工作业的监督，避免施工单位的不规范操作。应尽量在低潮的时候进行，并尽量避免在雨天作业。</w:t>
            </w:r>
          </w:p>
          <w:p w14:paraId="260E553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cs="Times New Roman"/>
                <w:color w:val="000000"/>
                <w:sz w:val="21"/>
                <w:szCs w:val="21"/>
                <w:highlight w:val="none"/>
                <w:u w:val="none"/>
                <w:lang w:val="en-US"/>
              </w:rPr>
            </w:pPr>
            <w:r>
              <w:rPr>
                <w:rFonts w:hint="default" w:ascii="Times New Roman" w:hAnsi="Times New Roman" w:cs="Times New Roman"/>
                <w:color w:val="000000"/>
                <w:sz w:val="21"/>
                <w:szCs w:val="21"/>
                <w:highlight w:val="none"/>
                <w:u w:val="none"/>
                <w:lang w:val="en-US"/>
              </w:rPr>
              <w:t>（</w:t>
            </w:r>
            <w:r>
              <w:rPr>
                <w:rFonts w:hint="eastAsia" w:cs="Times New Roman"/>
                <w:color w:val="000000"/>
                <w:sz w:val="21"/>
                <w:szCs w:val="21"/>
                <w:highlight w:val="none"/>
                <w:u w:val="none"/>
                <w:lang w:val="en-US" w:eastAsia="zh-CN"/>
              </w:rPr>
              <w:t>4</w:t>
            </w:r>
            <w:r>
              <w:rPr>
                <w:rFonts w:hint="default" w:ascii="Times New Roman" w:hAnsi="Times New Roman" w:cs="Times New Roman"/>
                <w:color w:val="000000"/>
                <w:sz w:val="21"/>
                <w:szCs w:val="21"/>
                <w:highlight w:val="none"/>
                <w:u w:val="none"/>
                <w:lang w:val="en-US"/>
              </w:rPr>
              <w:t>）抛石过程中压低抛石高度，合理安排施工强度和施工时间。优化抛石施工作业面布置，施工前应从避让来往船只的角度优化作业面布置，避免发生船舶碰撞事故。</w:t>
            </w:r>
          </w:p>
          <w:p w14:paraId="6B5998F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cs="Times New Roman"/>
                <w:color w:val="000000"/>
                <w:sz w:val="21"/>
                <w:szCs w:val="21"/>
                <w:highlight w:val="none"/>
                <w:u w:val="none"/>
                <w:lang w:val="en-US"/>
              </w:rPr>
            </w:pPr>
            <w:r>
              <w:rPr>
                <w:rFonts w:hint="default" w:ascii="Times New Roman" w:hAnsi="Times New Roman" w:cs="Times New Roman"/>
                <w:color w:val="000000"/>
                <w:sz w:val="21"/>
                <w:szCs w:val="21"/>
                <w:highlight w:val="none"/>
                <w:u w:val="none"/>
                <w:lang w:val="en-US"/>
              </w:rPr>
              <w:t>（</w:t>
            </w:r>
            <w:r>
              <w:rPr>
                <w:rFonts w:hint="eastAsia" w:cs="Times New Roman"/>
                <w:color w:val="000000"/>
                <w:sz w:val="21"/>
                <w:szCs w:val="21"/>
                <w:highlight w:val="none"/>
                <w:u w:val="none"/>
                <w:lang w:val="en-US" w:eastAsia="zh-CN"/>
              </w:rPr>
              <w:t>5</w:t>
            </w:r>
            <w:r>
              <w:rPr>
                <w:rFonts w:hint="default" w:ascii="Times New Roman" w:hAnsi="Times New Roman" w:cs="Times New Roman"/>
                <w:color w:val="000000"/>
                <w:sz w:val="21"/>
                <w:szCs w:val="21"/>
                <w:highlight w:val="none"/>
                <w:u w:val="none"/>
                <w:lang w:val="en-US"/>
              </w:rPr>
              <w:t>）加强与当地气象预报部门的联系，在恶劣天气条件下应提前做好施工安全防护工作，避免造成船舶碰撞事故。</w:t>
            </w:r>
          </w:p>
          <w:p w14:paraId="6A92EB5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cs="Times New Roman"/>
                <w:color w:val="000000"/>
                <w:sz w:val="21"/>
                <w:szCs w:val="21"/>
                <w:highlight w:val="none"/>
                <w:u w:val="none"/>
                <w:lang w:val="en-US"/>
              </w:rPr>
            </w:pPr>
            <w:r>
              <w:rPr>
                <w:rFonts w:hint="default" w:ascii="Times New Roman" w:hAnsi="Times New Roman" w:cs="Times New Roman"/>
                <w:color w:val="000000"/>
                <w:sz w:val="21"/>
                <w:szCs w:val="21"/>
                <w:highlight w:val="none"/>
                <w:u w:val="none"/>
                <w:lang w:val="en-US"/>
              </w:rPr>
              <w:t>（</w:t>
            </w:r>
            <w:r>
              <w:rPr>
                <w:rFonts w:hint="eastAsia" w:cs="Times New Roman"/>
                <w:color w:val="000000"/>
                <w:sz w:val="21"/>
                <w:szCs w:val="21"/>
                <w:highlight w:val="none"/>
                <w:u w:val="none"/>
                <w:lang w:val="en-US" w:eastAsia="zh-CN"/>
              </w:rPr>
              <w:t>6</w:t>
            </w:r>
            <w:r>
              <w:rPr>
                <w:rFonts w:hint="default" w:ascii="Times New Roman" w:hAnsi="Times New Roman" w:cs="Times New Roman"/>
                <w:color w:val="000000"/>
                <w:sz w:val="21"/>
                <w:szCs w:val="21"/>
                <w:highlight w:val="none"/>
                <w:u w:val="none"/>
                <w:lang w:val="en-US"/>
              </w:rPr>
              <w:t>）基槽开挖、港池疏浚和防波堤施工尽量利用退潮露滩时或低潮期间进行施工，以减轻施工过程泥沙流失对海水水质、海洋生态的影响。</w:t>
            </w:r>
          </w:p>
          <w:p w14:paraId="5A56670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cs="Times New Roman"/>
                <w:color w:val="000000"/>
                <w:sz w:val="21"/>
                <w:szCs w:val="21"/>
                <w:highlight w:val="none"/>
                <w:u w:val="none"/>
                <w:lang w:val="en-US"/>
              </w:rPr>
            </w:pPr>
            <w:r>
              <w:rPr>
                <w:rFonts w:hint="default" w:ascii="Times New Roman" w:hAnsi="Times New Roman" w:cs="Times New Roman"/>
                <w:color w:val="000000"/>
                <w:sz w:val="21"/>
                <w:szCs w:val="21"/>
                <w:highlight w:val="none"/>
                <w:u w:val="none"/>
                <w:lang w:val="en-US"/>
              </w:rPr>
              <w:t>（</w:t>
            </w:r>
            <w:r>
              <w:rPr>
                <w:rFonts w:hint="eastAsia" w:cs="Times New Roman"/>
                <w:color w:val="000000"/>
                <w:sz w:val="21"/>
                <w:szCs w:val="21"/>
                <w:highlight w:val="none"/>
                <w:u w:val="none"/>
                <w:lang w:val="en-US" w:eastAsia="zh-CN"/>
              </w:rPr>
              <w:t>7</w:t>
            </w:r>
            <w:r>
              <w:rPr>
                <w:rFonts w:hint="default" w:ascii="Times New Roman" w:hAnsi="Times New Roman" w:cs="Times New Roman"/>
                <w:color w:val="000000"/>
                <w:sz w:val="21"/>
                <w:szCs w:val="21"/>
                <w:highlight w:val="none"/>
                <w:u w:val="none"/>
                <w:lang w:val="en-US"/>
              </w:rPr>
              <w:t>）严格禁止向海域倾倒各种垃圾和排放未达标的含油废水，以及其他有毒有害废水。</w:t>
            </w:r>
          </w:p>
          <w:p w14:paraId="30C866E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cs="Times New Roman"/>
                <w:color w:val="000000"/>
                <w:sz w:val="21"/>
                <w:szCs w:val="21"/>
                <w:highlight w:val="none"/>
                <w:u w:val="none"/>
                <w:lang w:val="en-US"/>
              </w:rPr>
            </w:pPr>
            <w:r>
              <w:rPr>
                <w:rFonts w:hint="default" w:ascii="Times New Roman" w:hAnsi="Times New Roman" w:cs="Times New Roman"/>
                <w:color w:val="000000"/>
                <w:sz w:val="21"/>
                <w:szCs w:val="21"/>
                <w:highlight w:val="none"/>
                <w:u w:val="none"/>
                <w:lang w:val="en-US"/>
              </w:rPr>
              <w:t>（</w:t>
            </w:r>
            <w:r>
              <w:rPr>
                <w:rFonts w:hint="eastAsia" w:cs="Times New Roman"/>
                <w:color w:val="000000"/>
                <w:sz w:val="21"/>
                <w:szCs w:val="21"/>
                <w:highlight w:val="none"/>
                <w:u w:val="none"/>
                <w:lang w:val="en-US" w:eastAsia="zh-CN"/>
              </w:rPr>
              <w:t>8</w:t>
            </w:r>
            <w:r>
              <w:rPr>
                <w:rFonts w:hint="default" w:ascii="Times New Roman" w:hAnsi="Times New Roman" w:cs="Times New Roman"/>
                <w:color w:val="000000"/>
                <w:sz w:val="21"/>
                <w:szCs w:val="21"/>
                <w:highlight w:val="none"/>
                <w:u w:val="none"/>
                <w:lang w:val="en-US"/>
              </w:rPr>
              <w:t>）基槽开挖、港池疏浚、抛石等作业尽量避开渔业资源繁殖季节，以减少对鱼卵仔鱼的影响。</w:t>
            </w:r>
          </w:p>
          <w:p w14:paraId="7CEA404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cs="Times New Roman"/>
                <w:color w:val="000000"/>
                <w:sz w:val="21"/>
                <w:szCs w:val="21"/>
                <w:highlight w:val="none"/>
                <w:u w:val="none"/>
                <w:lang w:val="en-US"/>
              </w:rPr>
            </w:pPr>
            <w:r>
              <w:rPr>
                <w:rFonts w:hint="default" w:ascii="Times New Roman" w:hAnsi="Times New Roman" w:cs="Times New Roman"/>
                <w:color w:val="000000"/>
                <w:sz w:val="21"/>
                <w:szCs w:val="21"/>
                <w:highlight w:val="none"/>
                <w:u w:val="none"/>
                <w:lang w:val="en-US"/>
              </w:rPr>
              <w:t>（</w:t>
            </w:r>
            <w:r>
              <w:rPr>
                <w:rFonts w:hint="eastAsia" w:cs="Times New Roman"/>
                <w:color w:val="000000"/>
                <w:sz w:val="21"/>
                <w:szCs w:val="21"/>
                <w:highlight w:val="none"/>
                <w:u w:val="none"/>
                <w:lang w:val="en-US" w:eastAsia="zh-CN"/>
              </w:rPr>
              <w:t>9</w:t>
            </w:r>
            <w:r>
              <w:rPr>
                <w:rFonts w:hint="default" w:ascii="Times New Roman" w:hAnsi="Times New Roman" w:cs="Times New Roman"/>
                <w:color w:val="000000"/>
                <w:sz w:val="21"/>
                <w:szCs w:val="21"/>
                <w:highlight w:val="none"/>
                <w:u w:val="none"/>
                <w:lang w:val="en-US"/>
              </w:rPr>
              <w:t>）建设单位应根据当地渔业主管部门要求落实生态补偿措施。本工程生态补偿费用为</w:t>
            </w:r>
            <w:r>
              <w:rPr>
                <w:rFonts w:hint="eastAsia" w:cs="Times New Roman"/>
                <w:color w:val="000000"/>
                <w:sz w:val="21"/>
                <w:szCs w:val="21"/>
                <w:highlight w:val="none"/>
                <w:u w:val="none"/>
                <w:lang w:val="en-US" w:eastAsia="zh-CN"/>
              </w:rPr>
              <w:t>241</w:t>
            </w:r>
            <w:r>
              <w:rPr>
                <w:rFonts w:hint="default" w:ascii="Times New Roman" w:hAnsi="Times New Roman" w:cs="Times New Roman"/>
                <w:color w:val="000000"/>
                <w:sz w:val="21"/>
                <w:szCs w:val="21"/>
                <w:highlight w:val="none"/>
                <w:u w:val="none"/>
                <w:lang w:val="en-US"/>
              </w:rPr>
              <w:t>万元，建议通过人工放流增殖渔业资源进行补偿。</w:t>
            </w:r>
          </w:p>
        </w:tc>
        <w:tc>
          <w:tcPr>
            <w:tcW w:w="412" w:type="pct"/>
            <w:noWrap w:val="0"/>
            <w:vAlign w:val="center"/>
          </w:tcPr>
          <w:p w14:paraId="135B893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sz w:val="21"/>
                <w:szCs w:val="21"/>
                <w:highlight w:val="none"/>
                <w:u w:val="none"/>
              </w:rPr>
            </w:pPr>
            <w:r>
              <w:rPr>
                <w:rFonts w:hint="default" w:ascii="Times New Roman" w:hAnsi="Times New Roman" w:cs="Times New Roman"/>
                <w:color w:val="000000"/>
                <w:sz w:val="21"/>
                <w:szCs w:val="21"/>
                <w:highlight w:val="none"/>
                <w:u w:val="none"/>
                <w:lang w:val="en-US" w:eastAsia="zh-CN"/>
              </w:rPr>
              <w:t>措施落实情况</w:t>
            </w:r>
          </w:p>
        </w:tc>
        <w:tc>
          <w:tcPr>
            <w:tcW w:w="1726" w:type="pct"/>
            <w:noWrap w:val="0"/>
            <w:vAlign w:val="center"/>
          </w:tcPr>
          <w:p w14:paraId="424E552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eastAsia="宋体" w:cs="Times New Roman"/>
                <w:color w:val="000000"/>
                <w:sz w:val="21"/>
                <w:szCs w:val="21"/>
                <w:highlight w:val="none"/>
                <w:u w:val="none"/>
                <w:lang w:val="en-US" w:eastAsia="zh-CN"/>
              </w:rPr>
            </w:pPr>
            <w:r>
              <w:rPr>
                <w:rFonts w:hint="default" w:ascii="Times New Roman" w:hAnsi="Times New Roman" w:eastAsia="宋体" w:cs="Times New Roman"/>
                <w:color w:val="000000"/>
                <w:sz w:val="21"/>
                <w:szCs w:val="21"/>
                <w:highlight w:val="none"/>
                <w:u w:val="none"/>
                <w:lang w:val="en-US" w:eastAsia="zh-CN"/>
              </w:rPr>
              <w:t>（1）加强各类废水收集、输送和处理等环节管理工作，确保污水处理设施正常运转，杜绝废水事故性排放，造成附近海域水质受到污染。</w:t>
            </w:r>
          </w:p>
          <w:p w14:paraId="4CE1451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eastAsia="宋体" w:cs="Times New Roman"/>
                <w:color w:val="000000"/>
                <w:sz w:val="21"/>
                <w:szCs w:val="21"/>
                <w:highlight w:val="none"/>
                <w:u w:val="none"/>
                <w:lang w:val="en-US" w:eastAsia="zh-CN"/>
              </w:rPr>
            </w:pPr>
            <w:r>
              <w:rPr>
                <w:rFonts w:hint="default" w:ascii="Times New Roman" w:hAnsi="Times New Roman" w:eastAsia="宋体" w:cs="Times New Roman"/>
                <w:color w:val="000000"/>
                <w:sz w:val="21"/>
                <w:szCs w:val="21"/>
                <w:highlight w:val="none"/>
                <w:u w:val="none"/>
                <w:lang w:val="en-US" w:eastAsia="zh-CN"/>
              </w:rPr>
              <w:t>（2）加强港区环境保护宣传工作，增强到港渔民海洋环境保护意识，以减少污水未处理入海和垃圾入海的现象发生。</w:t>
            </w:r>
          </w:p>
          <w:p w14:paraId="78DDEC4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eastAsia="宋体" w:cs="Times New Roman"/>
                <w:color w:val="000000"/>
                <w:sz w:val="21"/>
                <w:szCs w:val="21"/>
                <w:highlight w:val="none"/>
                <w:u w:val="none"/>
                <w:lang w:val="en-US" w:eastAsia="zh-CN"/>
              </w:rPr>
            </w:pPr>
            <w:r>
              <w:rPr>
                <w:rFonts w:hint="default" w:ascii="Times New Roman" w:hAnsi="Times New Roman" w:eastAsia="宋体" w:cs="Times New Roman"/>
                <w:color w:val="000000"/>
                <w:sz w:val="21"/>
                <w:szCs w:val="21"/>
                <w:highlight w:val="none"/>
                <w:u w:val="none"/>
                <w:lang w:val="en-US" w:eastAsia="zh-CN"/>
              </w:rPr>
              <w:t>（3）加强进出港区船舶的管理工作，减少船舶碰撞事故的发生对海洋生态的影响。</w:t>
            </w:r>
          </w:p>
          <w:p w14:paraId="548E6B1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eastAsia="宋体" w:cs="Times New Roman"/>
                <w:color w:val="000000"/>
                <w:sz w:val="21"/>
                <w:szCs w:val="21"/>
                <w:highlight w:val="none"/>
                <w:u w:val="none"/>
                <w:lang w:val="en-US" w:eastAsia="zh-CN"/>
              </w:rPr>
            </w:pPr>
            <w:r>
              <w:rPr>
                <w:rFonts w:hint="default" w:ascii="Times New Roman" w:hAnsi="Times New Roman" w:eastAsia="宋体" w:cs="Times New Roman"/>
                <w:color w:val="000000"/>
                <w:sz w:val="21"/>
                <w:szCs w:val="21"/>
                <w:highlight w:val="none"/>
                <w:u w:val="none"/>
                <w:lang w:val="en-US" w:eastAsia="zh-CN"/>
              </w:rPr>
              <w:t>（4）提高船舶溢油风险事故应急防范能力建设，重点防范突发性环境污染事故，建立事故报警、应急处理程序，专人负责指挥、调度，增强工作人员的安全意识及防范、应急处理技能，将事故风险降到最低。</w:t>
            </w:r>
          </w:p>
          <w:p w14:paraId="556E0C8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eastAsia="宋体" w:cs="Times New Roman"/>
                <w:color w:val="000000"/>
                <w:sz w:val="21"/>
                <w:szCs w:val="21"/>
                <w:highlight w:val="none"/>
                <w:u w:val="none"/>
                <w:lang w:val="en-US" w:eastAsia="zh-CN"/>
              </w:rPr>
            </w:pPr>
            <w:r>
              <w:rPr>
                <w:rFonts w:hint="default" w:ascii="Times New Roman" w:hAnsi="Times New Roman" w:eastAsia="宋体" w:cs="Times New Roman"/>
                <w:color w:val="000000"/>
                <w:sz w:val="21"/>
                <w:szCs w:val="21"/>
                <w:highlight w:val="none"/>
                <w:u w:val="none"/>
                <w:lang w:val="en-US" w:eastAsia="zh-CN"/>
              </w:rPr>
              <w:t>（5）严格执行本报告提出的运营期海洋生态环境和渔业资源跟踪监测计划，及时了解海洋生态环境变化情况，对不利的生态影响及时向生态环境、海洋和渔业行政主管部门报告并采取积极的补救措施。</w:t>
            </w:r>
          </w:p>
        </w:tc>
        <w:tc>
          <w:tcPr>
            <w:tcW w:w="397" w:type="pct"/>
            <w:noWrap w:val="0"/>
            <w:vAlign w:val="center"/>
          </w:tcPr>
          <w:p w14:paraId="4608FAA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u w:val="none"/>
                <w:lang w:val="en-US" w:eastAsia="zh-CN"/>
              </w:rPr>
            </w:pPr>
            <w:r>
              <w:rPr>
                <w:rFonts w:hint="default" w:ascii="Times New Roman" w:hAnsi="Times New Roman" w:cs="Times New Roman"/>
                <w:color w:val="000000"/>
                <w:sz w:val="21"/>
                <w:szCs w:val="21"/>
                <w:highlight w:val="none"/>
                <w:u w:val="none"/>
                <w:lang w:val="en-US" w:eastAsia="zh-CN"/>
              </w:rPr>
              <w:t>措施落实情况</w:t>
            </w:r>
          </w:p>
        </w:tc>
      </w:tr>
      <w:tr w14:paraId="4FFF4D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trHeight w:val="419" w:hRule="atLeast"/>
          <w:jc w:val="center"/>
        </w:trPr>
        <w:tc>
          <w:tcPr>
            <w:tcW w:w="518" w:type="pct"/>
            <w:noWrap w:val="0"/>
            <w:vAlign w:val="center"/>
          </w:tcPr>
          <w:p w14:paraId="76F4C528">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color w:val="000000"/>
                <w:sz w:val="21"/>
                <w:szCs w:val="21"/>
                <w:highlight w:val="none"/>
                <w:u w:val="none"/>
              </w:rPr>
            </w:pPr>
            <w:r>
              <w:rPr>
                <w:rFonts w:hint="default" w:ascii="Times New Roman" w:hAnsi="Times New Roman" w:cs="Times New Roman"/>
                <w:color w:val="000000"/>
                <w:sz w:val="21"/>
                <w:szCs w:val="21"/>
                <w:highlight w:val="none"/>
                <w:u w:val="none"/>
              </w:rPr>
              <w:t>地表水环境</w:t>
            </w:r>
          </w:p>
        </w:tc>
        <w:tc>
          <w:tcPr>
            <w:tcW w:w="1945" w:type="pct"/>
            <w:noWrap w:val="0"/>
            <w:vAlign w:val="center"/>
          </w:tcPr>
          <w:p w14:paraId="7C684B0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eastAsia="宋体" w:cs="Times New Roman"/>
                <w:color w:val="000000"/>
                <w:sz w:val="21"/>
                <w:szCs w:val="21"/>
                <w:highlight w:val="none"/>
                <w:u w:val="none"/>
                <w:lang w:val="en-US" w:eastAsia="zh-CN"/>
              </w:rPr>
            </w:pPr>
            <w:r>
              <w:rPr>
                <w:rFonts w:hint="default" w:ascii="Times New Roman" w:hAnsi="Times New Roman" w:eastAsia="宋体" w:cs="Times New Roman"/>
                <w:color w:val="000000"/>
                <w:sz w:val="21"/>
                <w:szCs w:val="21"/>
                <w:highlight w:val="none"/>
                <w:u w:val="none"/>
                <w:lang w:val="en-US" w:eastAsia="zh-CN"/>
              </w:rPr>
              <w:t>（1）施工船舶产生的含油污水、船舶生活污水分类收集，由施工单位送海事管理部门认可的有处理能力的船舶服务公司接收处理，严禁直接排海。施工单位和接收单位负责人应做好接收污染物记录，以备核查。</w:t>
            </w:r>
          </w:p>
          <w:p w14:paraId="259396C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eastAsia="宋体" w:cs="Times New Roman"/>
                <w:color w:val="000000"/>
                <w:sz w:val="21"/>
                <w:szCs w:val="21"/>
                <w:highlight w:val="none"/>
                <w:u w:val="none"/>
                <w:lang w:val="en-US" w:eastAsia="zh-CN"/>
              </w:rPr>
            </w:pPr>
            <w:r>
              <w:rPr>
                <w:rFonts w:hint="default" w:ascii="Times New Roman" w:hAnsi="Times New Roman" w:eastAsia="宋体" w:cs="Times New Roman"/>
                <w:color w:val="000000"/>
                <w:sz w:val="21"/>
                <w:szCs w:val="21"/>
                <w:highlight w:val="none"/>
                <w:u w:val="none"/>
                <w:lang w:val="en-US" w:eastAsia="zh-CN"/>
              </w:rPr>
              <w:t>（2）加强施工设备的管理与养护，杜绝油类物质泄漏，减少海水受污染的可能性；对施工船机设备产生的废油进行回收后，交由有资质的单位接收处理，船东和接收单位应做好接收污染物记录，以备核查。</w:t>
            </w:r>
          </w:p>
          <w:p w14:paraId="4FE632A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eastAsia="宋体" w:cs="Times New Roman"/>
                <w:color w:val="000000"/>
                <w:sz w:val="21"/>
                <w:szCs w:val="21"/>
                <w:highlight w:val="none"/>
                <w:u w:val="none"/>
                <w:lang w:val="en-US" w:eastAsia="zh-CN"/>
              </w:rPr>
            </w:pPr>
            <w:r>
              <w:rPr>
                <w:rFonts w:hint="default" w:ascii="Times New Roman" w:hAnsi="Times New Roman" w:eastAsia="宋体" w:cs="Times New Roman"/>
                <w:color w:val="000000"/>
                <w:sz w:val="21"/>
                <w:szCs w:val="21"/>
                <w:highlight w:val="none"/>
                <w:u w:val="none"/>
                <w:lang w:val="en-US" w:eastAsia="zh-CN"/>
              </w:rPr>
              <w:t>（3）施工机械、车辆等冲洗应到本工程专设的冲洗场地进行，该部分废水经隔油沉淀处理达标后可回用于设备冲洗，含油污泥交由有资质的单位处理。</w:t>
            </w:r>
          </w:p>
          <w:p w14:paraId="6D2A66F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eastAsia="宋体" w:cs="Times New Roman"/>
                <w:color w:val="000000"/>
                <w:sz w:val="21"/>
                <w:szCs w:val="21"/>
                <w:highlight w:val="none"/>
                <w:u w:val="none"/>
                <w:lang w:val="en-US" w:eastAsia="zh-CN"/>
              </w:rPr>
            </w:pPr>
            <w:r>
              <w:rPr>
                <w:rFonts w:hint="default" w:ascii="Times New Roman" w:hAnsi="Times New Roman" w:eastAsia="宋体" w:cs="Times New Roman"/>
                <w:color w:val="000000"/>
                <w:sz w:val="21"/>
                <w:szCs w:val="21"/>
                <w:highlight w:val="none"/>
                <w:u w:val="none"/>
                <w:lang w:val="en-US" w:eastAsia="zh-CN"/>
              </w:rPr>
              <w:t>（4）项目施工人员拟租用沃口村民房，不设置集中生活营地。施工生活污水依托沃口村民房现有的化粪池处理，禁止向海域排放。</w:t>
            </w:r>
          </w:p>
          <w:p w14:paraId="61ED0F9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eastAsia="宋体" w:cs="Times New Roman"/>
                <w:color w:val="000000"/>
                <w:sz w:val="21"/>
                <w:szCs w:val="21"/>
                <w:highlight w:val="none"/>
                <w:u w:val="none"/>
                <w:lang w:val="en-US" w:eastAsia="zh-CN"/>
              </w:rPr>
            </w:pPr>
            <w:r>
              <w:rPr>
                <w:rFonts w:hint="default" w:ascii="Times New Roman" w:hAnsi="Times New Roman" w:eastAsia="宋体" w:cs="Times New Roman"/>
                <w:color w:val="000000"/>
                <w:sz w:val="21"/>
                <w:szCs w:val="21"/>
                <w:highlight w:val="none"/>
                <w:u w:val="none"/>
                <w:lang w:val="en-US" w:eastAsia="zh-CN"/>
              </w:rPr>
              <w:t>严禁施工船舶向施工海域排放废油、残油等污染物；不得在施工区域清洗油舱和有污染物质的容器。</w:t>
            </w:r>
          </w:p>
        </w:tc>
        <w:tc>
          <w:tcPr>
            <w:tcW w:w="412" w:type="pct"/>
            <w:noWrap w:val="0"/>
            <w:vAlign w:val="center"/>
          </w:tcPr>
          <w:p w14:paraId="4B6E220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u w:val="none"/>
                <w:lang w:val="en-US" w:eastAsia="zh-CN"/>
              </w:rPr>
            </w:pPr>
            <w:r>
              <w:rPr>
                <w:rFonts w:hint="default" w:ascii="Times New Roman" w:hAnsi="Times New Roman" w:cs="Times New Roman"/>
                <w:color w:val="000000"/>
                <w:sz w:val="21"/>
                <w:szCs w:val="21"/>
                <w:highlight w:val="none"/>
                <w:u w:val="none"/>
                <w:lang w:val="en-US" w:eastAsia="zh-CN"/>
              </w:rPr>
              <w:t>措施落实情况</w:t>
            </w:r>
          </w:p>
        </w:tc>
        <w:tc>
          <w:tcPr>
            <w:tcW w:w="1726" w:type="pct"/>
            <w:noWrap w:val="0"/>
            <w:vAlign w:val="center"/>
          </w:tcPr>
          <w:p w14:paraId="11030AD2">
            <w:pPr>
              <w:pStyle w:val="31"/>
              <w:bidi w:val="0"/>
              <w:jc w:val="left"/>
              <w:rPr>
                <w:rFonts w:hint="default" w:ascii="Times New Roman" w:hAnsi="Times New Roman" w:cs="Times New Roman"/>
                <w:color w:val="000000"/>
                <w:u w:val="none"/>
                <w:lang w:val="en-US" w:eastAsia="zh-CN"/>
              </w:rPr>
            </w:pPr>
            <w:r>
              <w:rPr>
                <w:rFonts w:hint="default" w:ascii="Times New Roman" w:hAnsi="Times New Roman" w:cs="Times New Roman"/>
                <w:color w:val="000000"/>
                <w:u w:val="none"/>
                <w:lang w:val="en-US" w:eastAsia="zh-CN"/>
              </w:rPr>
              <w:t>（1）船舶含油污水</w:t>
            </w:r>
            <w:r>
              <w:rPr>
                <w:rFonts w:hint="eastAsia" w:cs="Times New Roman"/>
                <w:color w:val="000000"/>
                <w:u w:val="none"/>
                <w:lang w:val="en-US" w:eastAsia="zh-CN"/>
              </w:rPr>
              <w:t>、</w:t>
            </w:r>
            <w:r>
              <w:rPr>
                <w:rFonts w:hint="default" w:ascii="Times New Roman" w:hAnsi="Times New Roman" w:cs="Times New Roman"/>
                <w:color w:val="000000"/>
                <w:u w:val="none"/>
                <w:lang w:val="en-US" w:eastAsia="zh-CN"/>
              </w:rPr>
              <w:t>船舶生活污水</w:t>
            </w:r>
            <w:r>
              <w:rPr>
                <w:rFonts w:hint="eastAsia" w:cs="Times New Roman"/>
                <w:color w:val="000000"/>
                <w:u w:val="none"/>
                <w:lang w:val="en-US" w:eastAsia="zh-CN"/>
              </w:rPr>
              <w:t>按</w:t>
            </w:r>
            <w:r>
              <w:rPr>
                <w:rFonts w:hint="default" w:ascii="Times New Roman" w:hAnsi="Times New Roman" w:cs="Times New Roman"/>
                <w:color w:val="000000"/>
                <w:u w:val="none"/>
                <w:lang w:val="en-US" w:eastAsia="zh-CN"/>
              </w:rPr>
              <w:t>《船舶水污染物排放控制标准》（GB3552-2018）</w:t>
            </w:r>
            <w:r>
              <w:rPr>
                <w:rFonts w:hint="eastAsia" w:cs="Times New Roman"/>
                <w:color w:val="000000"/>
                <w:u w:val="none"/>
                <w:lang w:val="en-US" w:eastAsia="zh-CN"/>
              </w:rPr>
              <w:t>进行收集，</w:t>
            </w:r>
            <w:r>
              <w:rPr>
                <w:rFonts w:hint="default" w:ascii="Times New Roman" w:hAnsi="Times New Roman" w:cs="Times New Roman"/>
                <w:color w:val="000000"/>
                <w:u w:val="none"/>
                <w:lang w:val="en-US" w:eastAsia="zh-CN"/>
              </w:rPr>
              <w:t>由</w:t>
            </w:r>
            <w:r>
              <w:rPr>
                <w:rFonts w:hint="eastAsia" w:cs="Times New Roman"/>
                <w:color w:val="000000"/>
                <w:u w:val="none"/>
                <w:lang w:val="en-US" w:eastAsia="zh-CN"/>
              </w:rPr>
              <w:t>渔船</w:t>
            </w:r>
            <w:r>
              <w:rPr>
                <w:rFonts w:hint="default" w:ascii="Times New Roman" w:hAnsi="Times New Roman" w:cs="Times New Roman"/>
                <w:color w:val="000000"/>
                <w:u w:val="none"/>
                <w:lang w:val="en-US" w:eastAsia="zh-CN"/>
              </w:rPr>
              <w:t>自行委托有资质的船舶服务公司进行处置，严禁在港区排放。</w:t>
            </w:r>
          </w:p>
          <w:p w14:paraId="60A82EA5">
            <w:pPr>
              <w:pStyle w:val="31"/>
              <w:bidi w:val="0"/>
              <w:jc w:val="left"/>
              <w:rPr>
                <w:rFonts w:hint="default" w:ascii="Times New Roman" w:hAnsi="Times New Roman" w:cs="Times New Roman"/>
                <w:color w:val="000000"/>
                <w:u w:val="none"/>
                <w:lang w:val="en-US" w:eastAsia="zh-CN"/>
              </w:rPr>
            </w:pPr>
            <w:r>
              <w:rPr>
                <w:rFonts w:hint="default" w:ascii="Times New Roman" w:hAnsi="Times New Roman" w:cs="Times New Roman"/>
                <w:color w:val="000000"/>
                <w:u w:val="none"/>
                <w:lang w:val="en-US" w:eastAsia="zh-CN"/>
              </w:rPr>
              <w:t>（</w:t>
            </w:r>
            <w:r>
              <w:rPr>
                <w:rFonts w:hint="eastAsia" w:cs="Times New Roman"/>
                <w:color w:val="000000"/>
                <w:u w:val="none"/>
                <w:lang w:val="en-US" w:eastAsia="zh-CN"/>
              </w:rPr>
              <w:t>2</w:t>
            </w:r>
            <w:r>
              <w:rPr>
                <w:rFonts w:hint="default" w:ascii="Times New Roman" w:hAnsi="Times New Roman" w:cs="Times New Roman"/>
                <w:color w:val="000000"/>
                <w:u w:val="none"/>
                <w:lang w:val="en-US" w:eastAsia="zh-CN"/>
              </w:rPr>
              <w:t>）渔获物在卸鱼码头卸货后，在卸货码头至卸鱼棚的途中，不可避免会产生滴漏，要求每天在卸鱼结束后，及时对卸渔区和卸鱼棚地面进行冲洗。</w:t>
            </w:r>
          </w:p>
          <w:p w14:paraId="39C326F5">
            <w:pPr>
              <w:pStyle w:val="31"/>
              <w:bidi w:val="0"/>
              <w:jc w:val="left"/>
              <w:rPr>
                <w:rFonts w:hint="default" w:ascii="Times New Roman" w:hAnsi="Times New Roman" w:cs="Times New Roman"/>
                <w:color w:val="000000"/>
                <w:u w:val="none"/>
                <w:lang w:val="en-US" w:eastAsia="zh-CN"/>
              </w:rPr>
            </w:pPr>
            <w:r>
              <w:rPr>
                <w:rFonts w:hint="default" w:ascii="Times New Roman" w:hAnsi="Times New Roman" w:cs="Times New Roman"/>
                <w:color w:val="000000"/>
                <w:u w:val="none"/>
                <w:lang w:val="en-US" w:eastAsia="zh-CN"/>
              </w:rPr>
              <w:t>（</w:t>
            </w:r>
            <w:r>
              <w:rPr>
                <w:rFonts w:hint="eastAsia" w:cs="Times New Roman"/>
                <w:color w:val="000000"/>
                <w:u w:val="none"/>
                <w:lang w:val="en-US" w:eastAsia="zh-CN"/>
              </w:rPr>
              <w:t>3</w:t>
            </w:r>
            <w:r>
              <w:rPr>
                <w:rFonts w:hint="default" w:ascii="Times New Roman" w:hAnsi="Times New Roman" w:cs="Times New Roman"/>
                <w:color w:val="000000"/>
                <w:u w:val="none"/>
                <w:lang w:val="en-US" w:eastAsia="zh-CN"/>
              </w:rPr>
              <w:t>）码头、卸渔区域设置废水收集沟，冲洗废水经收集后接入港区自建污水处理站处理，达到《城市污水再生利用城市杂用水水质》（GB/T 18920-2020）表1中的城市绿化、道路清扫用水标准后，回用于港区绿化灌溉、洒水及冲洗用水。</w:t>
            </w:r>
          </w:p>
          <w:p w14:paraId="785C0E0B">
            <w:pPr>
              <w:pStyle w:val="31"/>
              <w:bidi w:val="0"/>
              <w:jc w:val="left"/>
              <w:rPr>
                <w:rFonts w:hint="default" w:ascii="Times New Roman" w:hAnsi="Times New Roman" w:cs="Times New Roman"/>
                <w:color w:val="000000"/>
                <w:u w:val="none"/>
                <w:lang w:val="en-US" w:eastAsia="zh-CN"/>
              </w:rPr>
            </w:pPr>
            <w:r>
              <w:rPr>
                <w:rFonts w:hint="default" w:ascii="Times New Roman" w:hAnsi="Times New Roman" w:cs="Times New Roman"/>
                <w:color w:val="000000"/>
                <w:u w:val="none"/>
                <w:lang w:val="en-US" w:eastAsia="zh-CN"/>
              </w:rPr>
              <w:t>（</w:t>
            </w:r>
            <w:r>
              <w:rPr>
                <w:rFonts w:hint="eastAsia" w:cs="Times New Roman"/>
                <w:color w:val="000000"/>
                <w:u w:val="none"/>
                <w:lang w:val="en-US" w:eastAsia="zh-CN"/>
              </w:rPr>
              <w:t>4</w:t>
            </w:r>
            <w:r>
              <w:rPr>
                <w:rFonts w:hint="default" w:ascii="Times New Roman" w:hAnsi="Times New Roman" w:cs="Times New Roman"/>
                <w:color w:val="000000"/>
                <w:u w:val="none"/>
                <w:lang w:val="en-US" w:eastAsia="zh-CN"/>
              </w:rPr>
              <w:t>）拟在污水处理站前设置1个容积300m</w:t>
            </w:r>
            <w:r>
              <w:rPr>
                <w:rFonts w:hint="default" w:ascii="Times New Roman" w:hAnsi="Times New Roman" w:cs="Times New Roman"/>
                <w:color w:val="000000"/>
                <w:u w:val="none"/>
                <w:vertAlign w:val="superscript"/>
                <w:lang w:val="en-US" w:eastAsia="zh-CN"/>
              </w:rPr>
              <w:t>3</w:t>
            </w:r>
            <w:r>
              <w:rPr>
                <w:rFonts w:hint="default" w:ascii="Times New Roman" w:hAnsi="Times New Roman" w:cs="Times New Roman"/>
                <w:color w:val="000000"/>
                <w:u w:val="none"/>
                <w:lang w:val="en-US" w:eastAsia="zh-CN"/>
              </w:rPr>
              <w:t>的收集池，收集池前设置转换闸门，雨天收集前15分钟初期雨水后，转换闸门，初期雨水进入污水处理站处理后回用，15分钟后干净的雨水可通过收集管排放入海；不下雨时冲洗废水进入收集池，进入污水处理站处理后回用。</w:t>
            </w:r>
          </w:p>
        </w:tc>
        <w:tc>
          <w:tcPr>
            <w:tcW w:w="397" w:type="pct"/>
            <w:noWrap w:val="0"/>
            <w:vAlign w:val="center"/>
          </w:tcPr>
          <w:p w14:paraId="2E3BF5B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u w:val="none"/>
                <w:lang w:val="en-US" w:eastAsia="zh-CN"/>
              </w:rPr>
            </w:pPr>
            <w:r>
              <w:rPr>
                <w:rFonts w:hint="default" w:ascii="Times New Roman" w:hAnsi="Times New Roman" w:cs="Times New Roman"/>
                <w:color w:val="000000"/>
                <w:sz w:val="21"/>
                <w:szCs w:val="21"/>
                <w:highlight w:val="none"/>
                <w:u w:val="none"/>
                <w:lang w:val="en-US" w:eastAsia="zh-CN"/>
              </w:rPr>
              <w:t>措施落实情况</w:t>
            </w:r>
          </w:p>
        </w:tc>
      </w:tr>
      <w:tr w14:paraId="091802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trHeight w:val="255" w:hRule="atLeast"/>
          <w:jc w:val="center"/>
        </w:trPr>
        <w:tc>
          <w:tcPr>
            <w:tcW w:w="518" w:type="pct"/>
            <w:noWrap w:val="0"/>
            <w:vAlign w:val="center"/>
          </w:tcPr>
          <w:p w14:paraId="2D58D6DD">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color w:val="000000"/>
                <w:sz w:val="21"/>
                <w:szCs w:val="21"/>
                <w:highlight w:val="none"/>
                <w:u w:val="none"/>
              </w:rPr>
            </w:pPr>
            <w:r>
              <w:rPr>
                <w:rFonts w:hint="default" w:ascii="Times New Roman" w:hAnsi="Times New Roman" w:cs="Times New Roman"/>
                <w:color w:val="000000"/>
                <w:sz w:val="21"/>
                <w:szCs w:val="21"/>
                <w:highlight w:val="none"/>
                <w:u w:val="none"/>
              </w:rPr>
              <w:t>地下水及土壤环境</w:t>
            </w:r>
          </w:p>
        </w:tc>
        <w:tc>
          <w:tcPr>
            <w:tcW w:w="1945" w:type="pct"/>
            <w:noWrap w:val="0"/>
            <w:vAlign w:val="center"/>
          </w:tcPr>
          <w:p w14:paraId="4507113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sz w:val="21"/>
                <w:szCs w:val="21"/>
                <w:highlight w:val="none"/>
                <w:u w:val="none"/>
              </w:rPr>
            </w:pPr>
            <w:r>
              <w:rPr>
                <w:rFonts w:hint="default" w:ascii="Times New Roman" w:hAnsi="Times New Roman" w:eastAsia="宋体" w:cs="Times New Roman"/>
                <w:color w:val="000000"/>
                <w:sz w:val="21"/>
                <w:szCs w:val="21"/>
                <w:highlight w:val="none"/>
                <w:u w:val="none"/>
                <w:lang w:val="en-US" w:eastAsia="zh-CN"/>
              </w:rPr>
              <w:t>/</w:t>
            </w:r>
          </w:p>
        </w:tc>
        <w:tc>
          <w:tcPr>
            <w:tcW w:w="412" w:type="pct"/>
            <w:noWrap w:val="0"/>
            <w:vAlign w:val="center"/>
          </w:tcPr>
          <w:p w14:paraId="29DB086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sz w:val="21"/>
                <w:szCs w:val="21"/>
                <w:highlight w:val="none"/>
                <w:u w:val="none"/>
              </w:rPr>
            </w:pPr>
            <w:r>
              <w:rPr>
                <w:rFonts w:hint="default" w:ascii="Times New Roman" w:hAnsi="Times New Roman" w:cs="Times New Roman"/>
                <w:color w:val="000000"/>
                <w:sz w:val="21"/>
                <w:szCs w:val="21"/>
                <w:highlight w:val="none"/>
                <w:u w:val="none"/>
                <w:lang w:val="en-US" w:eastAsia="zh-CN"/>
              </w:rPr>
              <w:t>/</w:t>
            </w:r>
          </w:p>
        </w:tc>
        <w:tc>
          <w:tcPr>
            <w:tcW w:w="1726" w:type="pct"/>
            <w:noWrap w:val="0"/>
            <w:vAlign w:val="center"/>
          </w:tcPr>
          <w:p w14:paraId="286133F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u w:val="none"/>
              </w:rPr>
            </w:pPr>
            <w:r>
              <w:rPr>
                <w:rFonts w:hint="default" w:ascii="Times New Roman" w:hAnsi="Times New Roman" w:eastAsia="宋体" w:cs="Times New Roman"/>
                <w:color w:val="000000"/>
                <w:sz w:val="21"/>
                <w:szCs w:val="21"/>
                <w:highlight w:val="none"/>
                <w:u w:val="none"/>
                <w:lang w:val="en-US" w:eastAsia="zh-CN"/>
              </w:rPr>
              <w:t>/</w:t>
            </w:r>
          </w:p>
        </w:tc>
        <w:tc>
          <w:tcPr>
            <w:tcW w:w="397" w:type="pct"/>
            <w:noWrap w:val="0"/>
            <w:vAlign w:val="center"/>
          </w:tcPr>
          <w:p w14:paraId="52E203D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sz w:val="21"/>
                <w:szCs w:val="21"/>
                <w:highlight w:val="none"/>
                <w:u w:val="none"/>
              </w:rPr>
            </w:pPr>
            <w:r>
              <w:rPr>
                <w:rFonts w:hint="default" w:ascii="Times New Roman" w:hAnsi="Times New Roman" w:cs="Times New Roman"/>
                <w:color w:val="000000"/>
                <w:sz w:val="21"/>
                <w:szCs w:val="21"/>
                <w:highlight w:val="none"/>
                <w:u w:val="none"/>
                <w:lang w:val="en-US" w:eastAsia="zh-CN"/>
              </w:rPr>
              <w:t>/</w:t>
            </w:r>
          </w:p>
        </w:tc>
      </w:tr>
      <w:tr w14:paraId="36687E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trHeight w:val="865" w:hRule="atLeast"/>
          <w:jc w:val="center"/>
        </w:trPr>
        <w:tc>
          <w:tcPr>
            <w:tcW w:w="518" w:type="pct"/>
            <w:noWrap w:val="0"/>
            <w:vAlign w:val="center"/>
          </w:tcPr>
          <w:p w14:paraId="6BF63312">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color w:val="000000"/>
                <w:sz w:val="21"/>
                <w:szCs w:val="21"/>
                <w:highlight w:val="none"/>
                <w:u w:val="none"/>
              </w:rPr>
            </w:pPr>
            <w:r>
              <w:rPr>
                <w:rFonts w:hint="default" w:ascii="Times New Roman" w:hAnsi="Times New Roman" w:cs="Times New Roman"/>
                <w:color w:val="000000"/>
                <w:sz w:val="21"/>
                <w:szCs w:val="21"/>
                <w:highlight w:val="none"/>
                <w:u w:val="none"/>
              </w:rPr>
              <w:t>声环境</w:t>
            </w:r>
          </w:p>
        </w:tc>
        <w:tc>
          <w:tcPr>
            <w:tcW w:w="1945" w:type="pct"/>
            <w:noWrap w:val="0"/>
            <w:vAlign w:val="center"/>
          </w:tcPr>
          <w:p w14:paraId="7BB8058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cs="Times New Roman"/>
                <w:color w:val="000000"/>
                <w:sz w:val="21"/>
                <w:szCs w:val="21"/>
                <w:highlight w:val="none"/>
                <w:u w:val="none"/>
                <w:lang w:val="en-US" w:eastAsia="zh-CN"/>
              </w:rPr>
            </w:pPr>
            <w:r>
              <w:rPr>
                <w:rFonts w:hint="default" w:ascii="Times New Roman" w:hAnsi="Times New Roman" w:cs="Times New Roman"/>
                <w:color w:val="000000"/>
                <w:sz w:val="21"/>
                <w:szCs w:val="21"/>
                <w:highlight w:val="none"/>
                <w:u w:val="none"/>
                <w:lang w:val="en-US" w:eastAsia="zh-CN"/>
              </w:rPr>
              <w:t>（1）强噪声的施工机械夜间（22:00～次日6:00）应停止施工作业。必须连续施工的工点，施工单位应视具体情况向当地生态环境部门申领夜间施工证，同时发布公告。</w:t>
            </w:r>
          </w:p>
          <w:p w14:paraId="1BBA9E6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cs="Times New Roman"/>
                <w:color w:val="000000"/>
                <w:sz w:val="21"/>
                <w:szCs w:val="21"/>
                <w:highlight w:val="none"/>
                <w:u w:val="none"/>
                <w:lang w:val="en-US" w:eastAsia="zh-CN"/>
              </w:rPr>
            </w:pPr>
            <w:r>
              <w:rPr>
                <w:rFonts w:hint="default" w:ascii="Times New Roman" w:hAnsi="Times New Roman" w:cs="Times New Roman"/>
                <w:color w:val="000000"/>
                <w:sz w:val="21"/>
                <w:szCs w:val="21"/>
                <w:highlight w:val="none"/>
                <w:u w:val="none"/>
                <w:lang w:val="en-US" w:eastAsia="zh-CN"/>
              </w:rPr>
              <w:t>（2）选用效率高、噪声低的施工机械设备和大型运输车辆进入工地施工，而不选用噪声大、效率低的农用车、拖拉机进入工地参与施工，同时尽量缩短工期，减少施工噪声影响的时间。</w:t>
            </w:r>
          </w:p>
          <w:p w14:paraId="7E17C7A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cs="Times New Roman"/>
                <w:color w:val="000000"/>
                <w:sz w:val="21"/>
                <w:szCs w:val="21"/>
                <w:highlight w:val="none"/>
                <w:u w:val="none"/>
                <w:lang w:val="en-US" w:eastAsia="zh-CN"/>
              </w:rPr>
            </w:pPr>
            <w:r>
              <w:rPr>
                <w:rFonts w:hint="default" w:ascii="Times New Roman" w:hAnsi="Times New Roman" w:cs="Times New Roman"/>
                <w:color w:val="000000"/>
                <w:sz w:val="21"/>
                <w:szCs w:val="21"/>
                <w:highlight w:val="none"/>
                <w:u w:val="none"/>
                <w:lang w:val="en-US" w:eastAsia="zh-CN"/>
              </w:rPr>
              <w:t>（3）加强对机械设备的维护保养和正确操作，保证在良好的条件下使用，减少运行噪声。</w:t>
            </w:r>
          </w:p>
          <w:p w14:paraId="0716174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cs="Times New Roman"/>
                <w:color w:val="000000"/>
                <w:sz w:val="21"/>
                <w:szCs w:val="21"/>
                <w:highlight w:val="none"/>
                <w:u w:val="none"/>
                <w:lang w:val="en-US" w:eastAsia="zh-CN"/>
              </w:rPr>
            </w:pPr>
            <w:r>
              <w:rPr>
                <w:rFonts w:hint="default" w:ascii="Times New Roman" w:hAnsi="Times New Roman" w:cs="Times New Roman"/>
                <w:color w:val="000000"/>
                <w:sz w:val="21"/>
                <w:szCs w:val="21"/>
                <w:highlight w:val="none"/>
                <w:u w:val="none"/>
                <w:lang w:val="en-US" w:eastAsia="zh-CN"/>
              </w:rPr>
              <w:t>（4）加强对运输车辆的管理，运输路线尽量绕开周围的村庄、学校、医院等，禁止沿途进出村庄居民区时车辆鸣笛，维持车辆的良好运行状态降低运行噪声。</w:t>
            </w:r>
          </w:p>
          <w:p w14:paraId="69F756F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cs="Times New Roman"/>
                <w:color w:val="000000"/>
                <w:sz w:val="21"/>
                <w:szCs w:val="21"/>
                <w:highlight w:val="none"/>
                <w:u w:val="none"/>
                <w:lang w:val="en-US" w:eastAsia="zh-CN"/>
              </w:rPr>
            </w:pPr>
            <w:r>
              <w:rPr>
                <w:rFonts w:hint="default" w:ascii="Times New Roman" w:hAnsi="Times New Roman" w:cs="Times New Roman"/>
                <w:color w:val="000000"/>
                <w:sz w:val="21"/>
                <w:szCs w:val="21"/>
                <w:highlight w:val="none"/>
                <w:u w:val="none"/>
                <w:lang w:val="en-US" w:eastAsia="zh-CN"/>
              </w:rPr>
              <w:t>（5）做好施工船舶、机械和运输车辆的调度和交通疏导工作，减少车船鸣笛，降低交通噪声。</w:t>
            </w:r>
          </w:p>
          <w:p w14:paraId="1774E86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eastAsia="宋体" w:cs="Times New Roman"/>
                <w:color w:val="000000"/>
                <w:sz w:val="21"/>
                <w:szCs w:val="21"/>
                <w:highlight w:val="none"/>
                <w:u w:val="none"/>
                <w:lang w:val="en-US" w:eastAsia="zh-CN"/>
              </w:rPr>
            </w:pPr>
            <w:r>
              <w:rPr>
                <w:rFonts w:hint="default" w:ascii="Times New Roman" w:hAnsi="Times New Roman" w:cs="Times New Roman"/>
                <w:color w:val="000000"/>
                <w:sz w:val="21"/>
                <w:szCs w:val="21"/>
                <w:highlight w:val="none"/>
                <w:u w:val="none"/>
                <w:lang w:val="en-US" w:eastAsia="zh-CN"/>
              </w:rPr>
              <w:t>（6）运输车辆尽量在昼间工作，以免进出道路附近居民夜间受交通噪声干扰；若需夜间运输，经过居民区时应限制车速和鸣号。超限设备应避开夜间及午间休息时段施工。</w:t>
            </w:r>
          </w:p>
        </w:tc>
        <w:tc>
          <w:tcPr>
            <w:tcW w:w="412" w:type="pct"/>
            <w:noWrap w:val="0"/>
            <w:vAlign w:val="center"/>
          </w:tcPr>
          <w:p w14:paraId="58DCF92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sz w:val="21"/>
                <w:szCs w:val="21"/>
                <w:highlight w:val="none"/>
                <w:u w:val="none"/>
              </w:rPr>
            </w:pPr>
            <w:r>
              <w:rPr>
                <w:rFonts w:hint="default" w:ascii="Times New Roman" w:hAnsi="Times New Roman" w:cs="Times New Roman"/>
                <w:color w:val="000000"/>
                <w:sz w:val="21"/>
                <w:szCs w:val="21"/>
                <w:highlight w:val="none"/>
                <w:u w:val="none"/>
                <w:lang w:val="en-US" w:eastAsia="zh-CN"/>
              </w:rPr>
              <w:t>措施落实情况</w:t>
            </w:r>
          </w:p>
        </w:tc>
        <w:tc>
          <w:tcPr>
            <w:tcW w:w="1726" w:type="pct"/>
            <w:noWrap w:val="0"/>
            <w:vAlign w:val="center"/>
          </w:tcPr>
          <w:p w14:paraId="0B57BBB9">
            <w:pPr>
              <w:pStyle w:val="31"/>
              <w:bidi w:val="0"/>
              <w:jc w:val="left"/>
              <w:rPr>
                <w:rFonts w:hint="default" w:ascii="Times New Roman" w:hAnsi="Times New Roman" w:cs="Times New Roman"/>
                <w:color w:val="000000"/>
                <w:u w:val="none"/>
                <w:lang w:val="en-US" w:eastAsia="zh-CN"/>
              </w:rPr>
            </w:pPr>
            <w:r>
              <w:rPr>
                <w:rFonts w:hint="default" w:ascii="Times New Roman" w:hAnsi="Times New Roman" w:cs="Times New Roman"/>
                <w:color w:val="000000"/>
                <w:u w:val="none"/>
                <w:lang w:val="en-US" w:eastAsia="zh-CN"/>
              </w:rPr>
              <w:t>（1）船舶靠港后应及时关闭发动机，减少船舶噪声的影响。</w:t>
            </w:r>
          </w:p>
          <w:p w14:paraId="05EAA092">
            <w:pPr>
              <w:pStyle w:val="31"/>
              <w:bidi w:val="0"/>
              <w:jc w:val="left"/>
              <w:rPr>
                <w:rFonts w:hint="default" w:ascii="Times New Roman" w:hAnsi="Times New Roman" w:cs="Times New Roman"/>
                <w:color w:val="000000"/>
                <w:u w:val="none"/>
                <w:lang w:val="en-US" w:eastAsia="zh-CN"/>
              </w:rPr>
            </w:pPr>
            <w:r>
              <w:rPr>
                <w:rFonts w:hint="default" w:ascii="Times New Roman" w:hAnsi="Times New Roman" w:cs="Times New Roman"/>
                <w:color w:val="000000"/>
                <w:u w:val="none"/>
                <w:lang w:val="en-US" w:eastAsia="zh-CN"/>
              </w:rPr>
              <w:t>（2）选用先进的低噪声机械设备、装置，加强机械设备的定期检修和维护。</w:t>
            </w:r>
          </w:p>
          <w:p w14:paraId="112A6921">
            <w:pPr>
              <w:pStyle w:val="31"/>
              <w:bidi w:val="0"/>
              <w:jc w:val="left"/>
              <w:rPr>
                <w:rFonts w:hint="default" w:ascii="Times New Roman" w:hAnsi="Times New Roman" w:cs="Times New Roman"/>
                <w:color w:val="000000"/>
                <w:u w:val="none"/>
                <w:lang w:val="en-US" w:eastAsia="zh-CN"/>
              </w:rPr>
            </w:pPr>
            <w:r>
              <w:rPr>
                <w:rFonts w:hint="default" w:ascii="Times New Roman" w:hAnsi="Times New Roman" w:cs="Times New Roman"/>
                <w:color w:val="000000"/>
                <w:u w:val="none"/>
                <w:lang w:val="en-US" w:eastAsia="zh-CN"/>
              </w:rPr>
              <w:t>（3）加强车辆管理，保持港区道路通畅，合理疏导交通，减少车辆会车鸣笛的次数，进出港车辆禁止使用高音喇叭。</w:t>
            </w:r>
          </w:p>
          <w:p w14:paraId="6BC2B104">
            <w:pPr>
              <w:pStyle w:val="31"/>
              <w:bidi w:val="0"/>
              <w:jc w:val="left"/>
              <w:rPr>
                <w:rFonts w:hint="default" w:ascii="Times New Roman" w:hAnsi="Times New Roman" w:cs="Times New Roman"/>
                <w:color w:val="000000"/>
                <w:u w:val="none"/>
                <w:lang w:val="en-US" w:eastAsia="zh-CN"/>
              </w:rPr>
            </w:pPr>
            <w:r>
              <w:rPr>
                <w:rFonts w:hint="default" w:ascii="Times New Roman" w:hAnsi="Times New Roman" w:cs="Times New Roman"/>
                <w:color w:val="000000"/>
                <w:u w:val="none"/>
                <w:lang w:val="en-US" w:eastAsia="zh-CN"/>
              </w:rPr>
              <w:t>（4）要求车辆进出港区低速行驶，港区内设置减速标志牌，尽量减轻夜间运输对途经沿线居民的影响。</w:t>
            </w:r>
          </w:p>
          <w:p w14:paraId="64B574C2">
            <w:pPr>
              <w:pStyle w:val="31"/>
              <w:bidi w:val="0"/>
              <w:jc w:val="left"/>
              <w:rPr>
                <w:rFonts w:hint="default" w:ascii="Times New Roman" w:hAnsi="Times New Roman" w:eastAsia="宋体" w:cs="Times New Roman"/>
                <w:color w:val="000000"/>
                <w:szCs w:val="21"/>
                <w:highlight w:val="none"/>
                <w:u w:val="none"/>
                <w:lang w:val="en-US" w:eastAsia="zh-CN"/>
              </w:rPr>
            </w:pPr>
            <w:r>
              <w:rPr>
                <w:rFonts w:hint="default" w:ascii="Times New Roman" w:hAnsi="Times New Roman" w:cs="Times New Roman"/>
                <w:color w:val="000000"/>
                <w:u w:val="none"/>
                <w:lang w:val="en-US" w:eastAsia="zh-CN"/>
              </w:rPr>
              <w:t>（5）建议选用先进的低噪声机械设备、装置，加强机械设备的定期检修和维护，对发电机等高噪声的机械设备，应采取减振、隔声等措施控制噪声；严格控制夜间货物运输，在条件允许的情况下，尽可能安排在白天进行装卸作业，缩短夜间作业时间，要求车辆进出港区怠速行驶，港区内设置禁止鸣笛标志。</w:t>
            </w:r>
          </w:p>
        </w:tc>
        <w:tc>
          <w:tcPr>
            <w:tcW w:w="397" w:type="pct"/>
            <w:noWrap w:val="0"/>
            <w:vAlign w:val="center"/>
          </w:tcPr>
          <w:p w14:paraId="3DC9BBA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u w:val="none"/>
                <w:lang w:val="en-US" w:eastAsia="zh-CN"/>
              </w:rPr>
            </w:pPr>
            <w:r>
              <w:rPr>
                <w:rFonts w:hint="default" w:ascii="Times New Roman" w:hAnsi="Times New Roman" w:cs="Times New Roman"/>
                <w:color w:val="000000"/>
                <w:sz w:val="21"/>
                <w:szCs w:val="21"/>
                <w:highlight w:val="none"/>
                <w:u w:val="none"/>
                <w:lang w:val="en-US" w:eastAsia="zh-CN"/>
              </w:rPr>
              <w:t>措施落实情况</w:t>
            </w:r>
          </w:p>
        </w:tc>
      </w:tr>
      <w:tr w14:paraId="73BB8F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518" w:type="pct"/>
            <w:noWrap w:val="0"/>
            <w:vAlign w:val="center"/>
          </w:tcPr>
          <w:p w14:paraId="47D06252">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color w:val="000000"/>
                <w:sz w:val="21"/>
                <w:szCs w:val="21"/>
                <w:highlight w:val="none"/>
                <w:u w:val="none"/>
              </w:rPr>
            </w:pPr>
            <w:r>
              <w:rPr>
                <w:rFonts w:hint="default" w:ascii="Times New Roman" w:hAnsi="Times New Roman" w:cs="Times New Roman"/>
                <w:color w:val="000000"/>
                <w:sz w:val="21"/>
                <w:szCs w:val="21"/>
                <w:highlight w:val="none"/>
                <w:u w:val="none"/>
              </w:rPr>
              <w:t>振动</w:t>
            </w:r>
          </w:p>
        </w:tc>
        <w:tc>
          <w:tcPr>
            <w:tcW w:w="1945" w:type="pct"/>
            <w:noWrap w:val="0"/>
            <w:vAlign w:val="center"/>
          </w:tcPr>
          <w:p w14:paraId="1F704EB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u w:val="none"/>
                <w:lang w:val="en-US" w:eastAsia="zh-CN"/>
              </w:rPr>
            </w:pPr>
            <w:r>
              <w:rPr>
                <w:rFonts w:hint="default" w:ascii="Times New Roman" w:hAnsi="Times New Roman" w:eastAsia="宋体" w:cs="Times New Roman"/>
                <w:color w:val="000000"/>
                <w:sz w:val="21"/>
                <w:szCs w:val="21"/>
                <w:highlight w:val="none"/>
                <w:u w:val="none"/>
                <w:lang w:val="en-US" w:eastAsia="zh-CN"/>
              </w:rPr>
              <w:t>/</w:t>
            </w:r>
          </w:p>
        </w:tc>
        <w:tc>
          <w:tcPr>
            <w:tcW w:w="412" w:type="pct"/>
            <w:noWrap w:val="0"/>
            <w:vAlign w:val="center"/>
          </w:tcPr>
          <w:p w14:paraId="51B0EAD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u w:val="none"/>
                <w:lang w:val="en-US" w:eastAsia="zh-CN"/>
              </w:rPr>
            </w:pPr>
            <w:r>
              <w:rPr>
                <w:rFonts w:hint="default" w:ascii="Times New Roman" w:hAnsi="Times New Roman" w:cs="Times New Roman"/>
                <w:color w:val="000000"/>
                <w:sz w:val="21"/>
                <w:szCs w:val="21"/>
                <w:highlight w:val="none"/>
                <w:u w:val="none"/>
                <w:lang w:val="en-US" w:eastAsia="zh-CN"/>
              </w:rPr>
              <w:t>/</w:t>
            </w:r>
          </w:p>
        </w:tc>
        <w:tc>
          <w:tcPr>
            <w:tcW w:w="1726" w:type="pct"/>
            <w:noWrap w:val="0"/>
            <w:vAlign w:val="center"/>
          </w:tcPr>
          <w:p w14:paraId="529F0EF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u w:val="none"/>
                <w:lang w:val="en-US" w:eastAsia="zh-CN"/>
              </w:rPr>
            </w:pPr>
            <w:r>
              <w:rPr>
                <w:rFonts w:hint="default" w:ascii="Times New Roman" w:hAnsi="Times New Roman" w:cs="Times New Roman"/>
                <w:color w:val="000000"/>
                <w:sz w:val="21"/>
                <w:szCs w:val="21"/>
                <w:highlight w:val="none"/>
                <w:u w:val="none"/>
                <w:lang w:val="en-US" w:eastAsia="zh-CN"/>
              </w:rPr>
              <w:t>/</w:t>
            </w:r>
          </w:p>
        </w:tc>
        <w:tc>
          <w:tcPr>
            <w:tcW w:w="397" w:type="pct"/>
            <w:noWrap w:val="0"/>
            <w:vAlign w:val="center"/>
          </w:tcPr>
          <w:p w14:paraId="7661FF1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u w:val="none"/>
                <w:lang w:val="en-US" w:eastAsia="zh-CN"/>
              </w:rPr>
            </w:pPr>
            <w:r>
              <w:rPr>
                <w:rFonts w:hint="default" w:ascii="Times New Roman" w:hAnsi="Times New Roman" w:cs="Times New Roman"/>
                <w:color w:val="000000"/>
                <w:sz w:val="21"/>
                <w:szCs w:val="21"/>
                <w:highlight w:val="none"/>
                <w:u w:val="none"/>
                <w:lang w:val="en-US" w:eastAsia="zh-CN"/>
              </w:rPr>
              <w:t>/</w:t>
            </w:r>
          </w:p>
        </w:tc>
      </w:tr>
      <w:tr w14:paraId="59F598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trHeight w:val="565" w:hRule="atLeast"/>
          <w:jc w:val="center"/>
        </w:trPr>
        <w:tc>
          <w:tcPr>
            <w:tcW w:w="518" w:type="pct"/>
            <w:noWrap w:val="0"/>
            <w:vAlign w:val="center"/>
          </w:tcPr>
          <w:p w14:paraId="3A7D346D">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color w:val="000000"/>
                <w:sz w:val="21"/>
                <w:szCs w:val="21"/>
                <w:highlight w:val="none"/>
                <w:u w:val="none"/>
              </w:rPr>
            </w:pPr>
            <w:r>
              <w:rPr>
                <w:rFonts w:hint="default" w:ascii="Times New Roman" w:hAnsi="Times New Roman" w:cs="Times New Roman"/>
                <w:color w:val="000000"/>
                <w:sz w:val="21"/>
                <w:szCs w:val="21"/>
                <w:highlight w:val="none"/>
                <w:u w:val="none"/>
              </w:rPr>
              <w:t>大气环境</w:t>
            </w:r>
          </w:p>
        </w:tc>
        <w:tc>
          <w:tcPr>
            <w:tcW w:w="1945" w:type="pct"/>
            <w:noWrap w:val="0"/>
            <w:vAlign w:val="center"/>
          </w:tcPr>
          <w:p w14:paraId="6C55D32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cs="Times New Roman"/>
                <w:color w:val="000000"/>
                <w:sz w:val="21"/>
                <w:szCs w:val="21"/>
                <w:highlight w:val="none"/>
                <w:u w:val="none"/>
                <w:lang w:val="en-US" w:eastAsia="zh-CN"/>
              </w:rPr>
            </w:pPr>
            <w:r>
              <w:rPr>
                <w:rFonts w:hint="default" w:ascii="Times New Roman" w:hAnsi="Times New Roman" w:cs="Times New Roman"/>
                <w:color w:val="000000"/>
                <w:sz w:val="21"/>
                <w:szCs w:val="21"/>
                <w:highlight w:val="none"/>
                <w:u w:val="none"/>
                <w:lang w:val="en-US" w:eastAsia="zh-CN"/>
              </w:rPr>
              <w:t>（1）要求施工场地配备洒水车，定时洒水，施工主干道路面和进港道路要定时清扫和喷洒水，并尽量要求运输车辆减缓行车速度，以减少汽车行驶扰动起来的扬尘。</w:t>
            </w:r>
          </w:p>
          <w:p w14:paraId="670CA95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cs="Times New Roman"/>
                <w:color w:val="000000"/>
                <w:sz w:val="21"/>
                <w:szCs w:val="21"/>
                <w:highlight w:val="none"/>
                <w:u w:val="none"/>
                <w:lang w:val="en-US" w:eastAsia="zh-CN"/>
              </w:rPr>
            </w:pPr>
            <w:r>
              <w:rPr>
                <w:rFonts w:hint="default" w:ascii="Times New Roman" w:hAnsi="Times New Roman" w:cs="Times New Roman"/>
                <w:color w:val="000000"/>
                <w:sz w:val="21"/>
                <w:szCs w:val="21"/>
                <w:highlight w:val="none"/>
                <w:u w:val="none"/>
                <w:lang w:val="en-US" w:eastAsia="zh-CN"/>
              </w:rPr>
              <w:t>（2）运输建筑渣土的车辆必须净车出场，不得超载，装料高度不得高于车厢边缘高度，并采用加盖篷布和洒水的方法，以防止土石泄漏，增加道路路面土石粉尘。同时应根据天气情况，合理安排施工，应尽量避免大风天气下进行易起扬尘的工序施工。</w:t>
            </w:r>
          </w:p>
          <w:p w14:paraId="63F7C25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cs="Times New Roman"/>
                <w:color w:val="000000"/>
                <w:sz w:val="21"/>
                <w:szCs w:val="21"/>
                <w:highlight w:val="none"/>
                <w:u w:val="none"/>
                <w:lang w:val="en-US" w:eastAsia="zh-CN"/>
              </w:rPr>
            </w:pPr>
            <w:r>
              <w:rPr>
                <w:rFonts w:hint="default" w:ascii="Times New Roman" w:hAnsi="Times New Roman" w:cs="Times New Roman"/>
                <w:color w:val="000000"/>
                <w:sz w:val="21"/>
                <w:szCs w:val="21"/>
                <w:highlight w:val="none"/>
                <w:u w:val="none"/>
                <w:lang w:val="en-US" w:eastAsia="zh-CN"/>
              </w:rPr>
              <w:t>（3）施工过程中产生的弃料及其他建筑垃圾，应及时清运。若在工地内堆置超过一周的，则应覆盖防尘网，并定期喷水压尘。</w:t>
            </w:r>
          </w:p>
          <w:p w14:paraId="2C5407D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cs="Times New Roman"/>
                <w:color w:val="000000"/>
                <w:sz w:val="21"/>
                <w:szCs w:val="21"/>
                <w:highlight w:val="none"/>
                <w:u w:val="none"/>
                <w:lang w:val="en-US" w:eastAsia="zh-CN"/>
              </w:rPr>
            </w:pPr>
            <w:r>
              <w:rPr>
                <w:rFonts w:hint="default" w:ascii="Times New Roman" w:hAnsi="Times New Roman" w:cs="Times New Roman"/>
                <w:color w:val="000000"/>
                <w:sz w:val="21"/>
                <w:szCs w:val="21"/>
                <w:highlight w:val="none"/>
                <w:u w:val="none"/>
                <w:lang w:val="en-US" w:eastAsia="zh-CN"/>
              </w:rPr>
              <w:t>（4）施工过程中使用水泥、石灰、砂石、涂料、铺装材料等易产生扬尘的建筑材料，应采取防尘措施，如密闭存储、设置围挡或堆砌围墙、采用防尘布苫盖、其他有效的防尘措施。</w:t>
            </w:r>
          </w:p>
          <w:p w14:paraId="26231B9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cs="Times New Roman"/>
                <w:color w:val="000000"/>
                <w:sz w:val="21"/>
                <w:szCs w:val="21"/>
                <w:highlight w:val="none"/>
                <w:u w:val="none"/>
                <w:lang w:val="en-US" w:eastAsia="zh-CN"/>
              </w:rPr>
            </w:pPr>
            <w:r>
              <w:rPr>
                <w:rFonts w:hint="default" w:ascii="Times New Roman" w:hAnsi="Times New Roman" w:cs="Times New Roman"/>
                <w:color w:val="000000"/>
                <w:sz w:val="21"/>
                <w:szCs w:val="21"/>
                <w:highlight w:val="none"/>
                <w:u w:val="none"/>
                <w:lang w:val="en-US" w:eastAsia="zh-CN"/>
              </w:rPr>
              <w:t>（5）所有施工车辆、机械的尾气应达到国家规定的尾气排放标准，注意施工机械养护，并做好施工工艺安排。</w:t>
            </w:r>
          </w:p>
          <w:p w14:paraId="55A3905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cs="Times New Roman"/>
                <w:color w:val="000000"/>
                <w:sz w:val="21"/>
                <w:szCs w:val="21"/>
                <w:highlight w:val="none"/>
                <w:u w:val="none"/>
              </w:rPr>
            </w:pPr>
            <w:r>
              <w:rPr>
                <w:rFonts w:hint="default" w:ascii="Times New Roman" w:hAnsi="Times New Roman" w:cs="Times New Roman"/>
                <w:color w:val="000000"/>
                <w:sz w:val="21"/>
                <w:szCs w:val="21"/>
                <w:highlight w:val="none"/>
                <w:u w:val="none"/>
                <w:lang w:val="en-US" w:eastAsia="zh-CN"/>
              </w:rPr>
              <w:t>加强施工船舶和施工车辆的合理调配，尽量压缩工区内施工机械密度，以减少尾气的排放。</w:t>
            </w:r>
          </w:p>
        </w:tc>
        <w:tc>
          <w:tcPr>
            <w:tcW w:w="412" w:type="pct"/>
            <w:noWrap w:val="0"/>
            <w:vAlign w:val="center"/>
          </w:tcPr>
          <w:p w14:paraId="09DF8C3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sz w:val="21"/>
                <w:szCs w:val="21"/>
                <w:highlight w:val="none"/>
                <w:u w:val="none"/>
              </w:rPr>
            </w:pPr>
            <w:r>
              <w:rPr>
                <w:rFonts w:hint="default" w:ascii="Times New Roman" w:hAnsi="Times New Roman" w:cs="Times New Roman"/>
                <w:color w:val="000000"/>
                <w:sz w:val="21"/>
                <w:szCs w:val="21"/>
                <w:highlight w:val="none"/>
                <w:u w:val="none"/>
                <w:lang w:val="en-US" w:eastAsia="zh-CN"/>
              </w:rPr>
              <w:t>措施落实情况</w:t>
            </w:r>
          </w:p>
        </w:tc>
        <w:tc>
          <w:tcPr>
            <w:tcW w:w="1726" w:type="pct"/>
            <w:noWrap w:val="0"/>
            <w:vAlign w:val="center"/>
          </w:tcPr>
          <w:p w14:paraId="701D9CD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cs="Times New Roman"/>
                <w:color w:val="000000"/>
                <w:sz w:val="21"/>
                <w:szCs w:val="21"/>
                <w:highlight w:val="none"/>
                <w:u w:val="none"/>
                <w:lang w:val="en-US" w:eastAsia="zh-CN"/>
              </w:rPr>
            </w:pPr>
            <w:r>
              <w:rPr>
                <w:rFonts w:hint="default" w:ascii="Times New Roman" w:hAnsi="Times New Roman" w:cs="Times New Roman"/>
                <w:color w:val="000000"/>
                <w:sz w:val="21"/>
                <w:szCs w:val="21"/>
                <w:highlight w:val="none"/>
                <w:u w:val="none"/>
                <w:lang w:val="en-US" w:eastAsia="zh-CN"/>
              </w:rPr>
              <w:t>（1）运营期进出港船舶满足《船舶发动机排气污染物排放限值及测量方法（中国第一、第二阶段）（GB15097-2016）》要求，进港车辆满足《轻型汽车污染物排放限值及测量方法（中国第六阶段）》（GB18352.6-2016）的要求。</w:t>
            </w:r>
          </w:p>
          <w:p w14:paraId="3687539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cs="Times New Roman"/>
                <w:color w:val="000000"/>
                <w:sz w:val="21"/>
                <w:szCs w:val="21"/>
                <w:highlight w:val="none"/>
                <w:u w:val="none"/>
                <w:lang w:val="en-US" w:eastAsia="zh-CN"/>
              </w:rPr>
            </w:pPr>
            <w:r>
              <w:rPr>
                <w:rFonts w:hint="default" w:ascii="Times New Roman" w:hAnsi="Times New Roman" w:cs="Times New Roman"/>
                <w:color w:val="000000"/>
                <w:sz w:val="21"/>
                <w:szCs w:val="21"/>
                <w:highlight w:val="none"/>
                <w:u w:val="none"/>
                <w:lang w:val="en-US" w:eastAsia="zh-CN"/>
              </w:rPr>
              <w:t>（2）减少卸渔尾水滴漏，卸渔区地面每日清洗；渔产品废弃临时堆存点用盖板密封，减少恶臭气体逸散；其次要做到定期清运，及时灭菌消毒，避免长时间堆存产生恶臭污染。</w:t>
            </w:r>
          </w:p>
          <w:p w14:paraId="570B341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cs="Times New Roman"/>
                <w:color w:val="000000"/>
                <w:sz w:val="21"/>
                <w:szCs w:val="21"/>
                <w:highlight w:val="none"/>
                <w:u w:val="none"/>
                <w:lang w:val="en-US" w:eastAsia="zh-CN"/>
              </w:rPr>
            </w:pPr>
            <w:r>
              <w:rPr>
                <w:rFonts w:hint="default" w:ascii="Times New Roman" w:hAnsi="Times New Roman" w:cs="Times New Roman"/>
                <w:color w:val="000000"/>
                <w:sz w:val="21"/>
                <w:szCs w:val="21"/>
                <w:highlight w:val="none"/>
                <w:u w:val="none"/>
                <w:lang w:val="en-US" w:eastAsia="zh-CN"/>
              </w:rPr>
              <w:t>（3）建设单位应经常清理运输道路上的粉尘、对港区道路喷水增湿，减少汽车行驶产生的扬尘。</w:t>
            </w:r>
          </w:p>
          <w:p w14:paraId="00B50A8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cs="Times New Roman"/>
                <w:color w:val="000000"/>
                <w:sz w:val="21"/>
                <w:szCs w:val="21"/>
                <w:highlight w:val="none"/>
                <w:u w:val="none"/>
                <w:lang w:val="en-US" w:eastAsia="zh-CN"/>
              </w:rPr>
            </w:pPr>
            <w:r>
              <w:rPr>
                <w:rFonts w:hint="default" w:ascii="Times New Roman" w:hAnsi="Times New Roman" w:cs="Times New Roman"/>
                <w:color w:val="000000"/>
                <w:sz w:val="21"/>
                <w:szCs w:val="21"/>
                <w:highlight w:val="none"/>
                <w:u w:val="none"/>
                <w:lang w:val="en-US" w:eastAsia="zh-CN"/>
              </w:rPr>
              <w:t>（4）加强对船舶柴油机的运行管理，使各项性能参数和运行工况均处于最佳状态，从而减少柴油机的排放污染。尽量使用低硫分的燃油，以减少SO</w:t>
            </w:r>
            <w:r>
              <w:rPr>
                <w:rFonts w:hint="default" w:ascii="Times New Roman" w:hAnsi="Times New Roman" w:cs="Times New Roman"/>
                <w:color w:val="000000"/>
                <w:sz w:val="21"/>
                <w:szCs w:val="21"/>
                <w:highlight w:val="none"/>
                <w:u w:val="none"/>
                <w:vertAlign w:val="subscript"/>
                <w:lang w:val="en-US" w:eastAsia="zh-CN"/>
              </w:rPr>
              <w:t>2</w:t>
            </w:r>
            <w:r>
              <w:rPr>
                <w:rFonts w:hint="default" w:ascii="Times New Roman" w:hAnsi="Times New Roman" w:cs="Times New Roman"/>
                <w:color w:val="000000"/>
                <w:sz w:val="21"/>
                <w:szCs w:val="21"/>
                <w:highlight w:val="none"/>
                <w:u w:val="none"/>
                <w:lang w:val="en-US" w:eastAsia="zh-CN"/>
              </w:rPr>
              <w:t>的排放。减少船舶港内停泊时柴油发动机工作时间。</w:t>
            </w:r>
          </w:p>
          <w:p w14:paraId="5D2D13F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cs="Times New Roman"/>
                <w:color w:val="000000"/>
                <w:sz w:val="21"/>
                <w:szCs w:val="21"/>
                <w:highlight w:val="none"/>
                <w:u w:val="none"/>
                <w:lang w:val="en-US" w:eastAsia="zh-CN"/>
              </w:rPr>
            </w:pPr>
            <w:r>
              <w:rPr>
                <w:rFonts w:hint="default" w:ascii="Times New Roman" w:hAnsi="Times New Roman" w:cs="Times New Roman"/>
                <w:color w:val="000000"/>
                <w:sz w:val="21"/>
                <w:szCs w:val="21"/>
                <w:highlight w:val="none"/>
                <w:u w:val="none"/>
                <w:lang w:val="en-US" w:eastAsia="zh-CN"/>
              </w:rPr>
              <w:t>（5）港区食堂油烟经油烟净化装置处理后至屋顶天面排放。</w:t>
            </w:r>
          </w:p>
          <w:p w14:paraId="385022E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eastAsia="宋体" w:cs="Times New Roman"/>
                <w:color w:val="000000"/>
                <w:sz w:val="21"/>
                <w:szCs w:val="21"/>
                <w:highlight w:val="none"/>
                <w:u w:val="none"/>
                <w:lang w:val="en-US" w:eastAsia="zh-CN"/>
              </w:rPr>
            </w:pPr>
            <w:r>
              <w:rPr>
                <w:rFonts w:hint="default" w:ascii="Times New Roman" w:hAnsi="Times New Roman" w:cs="Times New Roman"/>
                <w:color w:val="000000"/>
                <w:sz w:val="21"/>
                <w:szCs w:val="21"/>
                <w:highlight w:val="none"/>
                <w:u w:val="none"/>
                <w:lang w:val="en-US" w:eastAsia="zh-CN"/>
              </w:rPr>
              <w:t>（6）加强港区绿化，在渔港周围种植乔木和灌木绿化隔离林带，既可防控噪声影响，也可起到防尘作用。在污水处理设施周围进行绿化，减小恶臭气体对周边环境的影响。</w:t>
            </w:r>
          </w:p>
        </w:tc>
        <w:tc>
          <w:tcPr>
            <w:tcW w:w="397" w:type="pct"/>
            <w:noWrap w:val="0"/>
            <w:vAlign w:val="center"/>
          </w:tcPr>
          <w:p w14:paraId="5027D04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sz w:val="21"/>
                <w:szCs w:val="21"/>
                <w:highlight w:val="none"/>
                <w:u w:val="none"/>
              </w:rPr>
            </w:pPr>
            <w:r>
              <w:rPr>
                <w:rFonts w:hint="default" w:ascii="Times New Roman" w:hAnsi="Times New Roman" w:cs="Times New Roman"/>
                <w:color w:val="000000"/>
                <w:sz w:val="21"/>
                <w:szCs w:val="21"/>
                <w:highlight w:val="none"/>
                <w:u w:val="none"/>
                <w:lang w:val="en-US" w:eastAsia="zh-CN"/>
              </w:rPr>
              <w:t>措施落实情况</w:t>
            </w:r>
          </w:p>
        </w:tc>
      </w:tr>
      <w:tr w14:paraId="2F499A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518" w:type="pct"/>
            <w:noWrap w:val="0"/>
            <w:vAlign w:val="center"/>
          </w:tcPr>
          <w:p w14:paraId="113CA519">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color w:val="000000"/>
                <w:sz w:val="21"/>
                <w:szCs w:val="21"/>
                <w:highlight w:val="none"/>
                <w:u w:val="none"/>
              </w:rPr>
            </w:pPr>
            <w:r>
              <w:rPr>
                <w:rFonts w:hint="default" w:ascii="Times New Roman" w:hAnsi="Times New Roman" w:cs="Times New Roman"/>
                <w:color w:val="000000"/>
                <w:sz w:val="21"/>
                <w:szCs w:val="21"/>
                <w:highlight w:val="none"/>
                <w:u w:val="none"/>
              </w:rPr>
              <w:t>固体废物</w:t>
            </w:r>
          </w:p>
        </w:tc>
        <w:tc>
          <w:tcPr>
            <w:tcW w:w="1945" w:type="pct"/>
            <w:noWrap w:val="0"/>
            <w:vAlign w:val="center"/>
          </w:tcPr>
          <w:p w14:paraId="3FDBDBA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cs="Times New Roman"/>
                <w:color w:val="000000"/>
                <w:sz w:val="21"/>
                <w:szCs w:val="21"/>
                <w:highlight w:val="none"/>
                <w:u w:val="none"/>
                <w:lang w:val="en-US" w:eastAsia="zh-CN"/>
              </w:rPr>
            </w:pPr>
            <w:r>
              <w:rPr>
                <w:rFonts w:hint="default" w:ascii="Times New Roman" w:hAnsi="Times New Roman" w:cs="Times New Roman"/>
                <w:color w:val="000000"/>
                <w:sz w:val="21"/>
                <w:szCs w:val="21"/>
                <w:highlight w:val="none"/>
                <w:u w:val="none"/>
                <w:lang w:val="en-US" w:eastAsia="zh-CN"/>
              </w:rPr>
              <w:t>（1）施工船舶垃圾应做好日常的收集、分类与储存工作，靠岸后由具有资质的船舶污染物接收单位负责接收处置，严禁将船舶垃圾倾倒入海。</w:t>
            </w:r>
          </w:p>
          <w:p w14:paraId="0228C0D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cs="Times New Roman"/>
                <w:color w:val="000000"/>
                <w:sz w:val="21"/>
                <w:szCs w:val="21"/>
                <w:highlight w:val="none"/>
                <w:u w:val="none"/>
                <w:lang w:val="en-US" w:eastAsia="zh-CN"/>
              </w:rPr>
            </w:pPr>
            <w:r>
              <w:rPr>
                <w:rFonts w:hint="default" w:ascii="Times New Roman" w:hAnsi="Times New Roman" w:cs="Times New Roman"/>
                <w:color w:val="000000"/>
                <w:sz w:val="21"/>
                <w:szCs w:val="21"/>
                <w:highlight w:val="none"/>
                <w:u w:val="none"/>
                <w:lang w:val="en-US" w:eastAsia="zh-CN"/>
              </w:rPr>
              <w:t>（2）建筑垃圾中可利用的物料较多，施工单位应分类收集回收利用；不可回收的部分集中收集后交由环卫部门转运至市政垃圾处理厂处置，严禁随意抛弃。</w:t>
            </w:r>
          </w:p>
          <w:p w14:paraId="39F6EFC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cs="Times New Roman"/>
                <w:color w:val="000000"/>
                <w:sz w:val="21"/>
                <w:szCs w:val="21"/>
                <w:highlight w:val="none"/>
                <w:u w:val="none"/>
                <w:lang w:val="en-US" w:eastAsia="zh-CN"/>
              </w:rPr>
            </w:pPr>
            <w:r>
              <w:rPr>
                <w:rFonts w:hint="default" w:ascii="Times New Roman" w:hAnsi="Times New Roman" w:cs="Times New Roman"/>
                <w:color w:val="000000"/>
                <w:sz w:val="21"/>
                <w:szCs w:val="21"/>
                <w:highlight w:val="none"/>
                <w:u w:val="none"/>
                <w:lang w:val="en-US" w:eastAsia="zh-CN"/>
              </w:rPr>
              <w:t>（3）施工场地的生活垃圾应设临时垃圾箱及时收集，及时清运，不得抛入海中，应及时由环卫部门清运处理。</w:t>
            </w:r>
          </w:p>
          <w:p w14:paraId="0535C15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cs="Times New Roman"/>
                <w:color w:val="000000"/>
                <w:sz w:val="21"/>
                <w:szCs w:val="21"/>
                <w:highlight w:val="none"/>
                <w:u w:val="none"/>
                <w:lang w:val="en-US" w:eastAsia="zh-CN"/>
              </w:rPr>
            </w:pPr>
            <w:r>
              <w:rPr>
                <w:rFonts w:hint="default" w:ascii="Times New Roman" w:hAnsi="Times New Roman" w:cs="Times New Roman"/>
                <w:color w:val="000000"/>
                <w:sz w:val="21"/>
                <w:szCs w:val="21"/>
                <w:highlight w:val="none"/>
                <w:u w:val="none"/>
                <w:lang w:val="en-US" w:eastAsia="zh-CN"/>
              </w:rPr>
              <w:t>（4）机械保养产生的含油抹布、手套可不按危险废物管理，并入生活垃圾处理；机械保养产生的废机油、隔油沉淀池的废油、污泥按危险废物管理，委托有资质单位接收处理。</w:t>
            </w:r>
          </w:p>
          <w:p w14:paraId="326FD97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cs="Times New Roman"/>
                <w:color w:val="000000"/>
                <w:sz w:val="21"/>
                <w:szCs w:val="21"/>
                <w:highlight w:val="none"/>
                <w:u w:val="none"/>
                <w:lang w:val="en-US" w:eastAsia="zh-CN"/>
              </w:rPr>
            </w:pPr>
            <w:r>
              <w:rPr>
                <w:rFonts w:hint="default" w:ascii="Times New Roman" w:hAnsi="Times New Roman" w:cs="Times New Roman"/>
                <w:color w:val="000000"/>
                <w:sz w:val="21"/>
                <w:szCs w:val="21"/>
                <w:highlight w:val="none"/>
                <w:u w:val="none"/>
                <w:lang w:val="en-US" w:eastAsia="zh-CN"/>
              </w:rPr>
              <w:t>（5）施工单位应将施工现场零散材料堆场地面尽量硬化。在施工区内设置废弃物收集点、垃圾箱和卫生责任区，经常清理各类施工垃圾，并确定责任人定期清理。</w:t>
            </w:r>
          </w:p>
          <w:p w14:paraId="4005534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cs="Times New Roman"/>
                <w:color w:val="000000"/>
                <w:sz w:val="21"/>
                <w:szCs w:val="21"/>
                <w:highlight w:val="none"/>
                <w:u w:val="none"/>
                <w:lang w:val="en-US" w:eastAsia="zh-CN"/>
              </w:rPr>
            </w:pPr>
            <w:r>
              <w:rPr>
                <w:rFonts w:hint="default" w:ascii="Times New Roman" w:hAnsi="Times New Roman" w:cs="Times New Roman"/>
                <w:color w:val="000000"/>
                <w:sz w:val="21"/>
                <w:szCs w:val="21"/>
                <w:highlight w:val="none"/>
                <w:u w:val="none"/>
                <w:lang w:val="en-US" w:eastAsia="zh-CN"/>
              </w:rPr>
              <w:t>（6）加强对施工单位的监督管理，严禁将施工垃圾倾倒至项目区附近海域。</w:t>
            </w:r>
          </w:p>
          <w:p w14:paraId="6187F00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cs="Times New Roman"/>
                <w:color w:val="000000"/>
                <w:sz w:val="21"/>
                <w:szCs w:val="21"/>
                <w:highlight w:val="none"/>
                <w:u w:val="none"/>
                <w:lang w:val="en-US" w:eastAsia="zh-CN"/>
              </w:rPr>
            </w:pPr>
            <w:r>
              <w:rPr>
                <w:rFonts w:hint="default" w:ascii="Times New Roman" w:hAnsi="Times New Roman" w:cs="Times New Roman"/>
                <w:color w:val="000000"/>
                <w:sz w:val="21"/>
                <w:szCs w:val="21"/>
                <w:highlight w:val="none"/>
                <w:u w:val="none"/>
                <w:lang w:val="en-US" w:eastAsia="zh-CN"/>
              </w:rPr>
              <w:t>（7）施工弃方、疏浚物拟由属地政府进行公开有偿化处置。</w:t>
            </w:r>
          </w:p>
          <w:p w14:paraId="6DA2659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cs="Times New Roman"/>
                <w:color w:val="000000"/>
                <w:sz w:val="21"/>
                <w:szCs w:val="21"/>
                <w:highlight w:val="none"/>
                <w:u w:val="none"/>
                <w:lang w:val="en-US" w:eastAsia="zh-CN"/>
              </w:rPr>
            </w:pPr>
            <w:r>
              <w:rPr>
                <w:rFonts w:hint="default" w:ascii="Times New Roman" w:hAnsi="Times New Roman" w:cs="Times New Roman"/>
                <w:color w:val="000000"/>
                <w:sz w:val="21"/>
                <w:szCs w:val="21"/>
                <w:highlight w:val="none"/>
                <w:u w:val="none"/>
                <w:lang w:val="en-US" w:eastAsia="zh-CN"/>
              </w:rPr>
              <w:t>（8）运输过程中应限制装载量，防止超载，应经常检查运输车辆的密封性能，控制泥门开关的传动装置应经常维修保养，及时更换液压杆上的密封圈，以免液压系统失控导致泥门关闭不严。确保泥门关闭，以防弃方外溢。</w:t>
            </w:r>
          </w:p>
        </w:tc>
        <w:tc>
          <w:tcPr>
            <w:tcW w:w="412" w:type="pct"/>
            <w:noWrap w:val="0"/>
            <w:vAlign w:val="center"/>
          </w:tcPr>
          <w:p w14:paraId="3D3DF72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sz w:val="21"/>
                <w:szCs w:val="21"/>
                <w:highlight w:val="none"/>
                <w:u w:val="none"/>
              </w:rPr>
            </w:pPr>
            <w:r>
              <w:rPr>
                <w:rFonts w:hint="default" w:ascii="Times New Roman" w:hAnsi="Times New Roman" w:cs="Times New Roman"/>
                <w:color w:val="000000"/>
                <w:sz w:val="21"/>
                <w:szCs w:val="21"/>
                <w:highlight w:val="none"/>
                <w:u w:val="none"/>
                <w:lang w:val="en-US" w:eastAsia="zh-CN"/>
              </w:rPr>
              <w:t>措施落实情况</w:t>
            </w:r>
          </w:p>
        </w:tc>
        <w:tc>
          <w:tcPr>
            <w:tcW w:w="1726" w:type="pct"/>
            <w:noWrap w:val="0"/>
            <w:vAlign w:val="center"/>
          </w:tcPr>
          <w:p w14:paraId="74E7885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eastAsia="宋体" w:cs="Times New Roman"/>
                <w:color w:val="000000"/>
                <w:sz w:val="21"/>
                <w:szCs w:val="21"/>
                <w:highlight w:val="none"/>
                <w:u w:val="none"/>
                <w:lang w:val="en-US" w:eastAsia="zh-CN"/>
              </w:rPr>
            </w:pPr>
            <w:r>
              <w:rPr>
                <w:rFonts w:hint="default" w:ascii="Times New Roman" w:hAnsi="Times New Roman" w:eastAsia="宋体" w:cs="Times New Roman"/>
                <w:color w:val="000000"/>
                <w:sz w:val="21"/>
                <w:szCs w:val="21"/>
                <w:highlight w:val="none"/>
                <w:u w:val="none"/>
                <w:lang w:val="en-US" w:eastAsia="zh-CN"/>
              </w:rPr>
              <w:t>（1）运营期要求船舶配备垃圾桶，分类收集生活垃圾和含油垃圾，靠岸后由船主交由海事部门认可的船舶污染接收单位接收处理，不在港区排放。</w:t>
            </w:r>
          </w:p>
          <w:p w14:paraId="6B337F9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eastAsia="宋体" w:cs="Times New Roman"/>
                <w:color w:val="000000"/>
                <w:sz w:val="21"/>
                <w:szCs w:val="21"/>
                <w:highlight w:val="none"/>
                <w:u w:val="none"/>
                <w:lang w:val="en-US" w:eastAsia="zh-CN"/>
              </w:rPr>
            </w:pPr>
            <w:r>
              <w:rPr>
                <w:rFonts w:hint="default" w:ascii="Times New Roman" w:hAnsi="Times New Roman" w:eastAsia="宋体" w:cs="Times New Roman"/>
                <w:color w:val="000000"/>
                <w:sz w:val="21"/>
                <w:szCs w:val="21"/>
                <w:highlight w:val="none"/>
                <w:u w:val="none"/>
                <w:lang w:val="en-US" w:eastAsia="zh-CN"/>
              </w:rPr>
              <w:t>（2）渔产品由渔民自行挑选后，安排车辆外运至加工点，不在港区加工。港区分选渔货产生的鱼产品废弃物，可以回收的，回收后作为饲料或加工后作为农田、果树的肥料使用，不能回收利用的在港区设置渔产品废弃物暂存点，设置专用垃圾桶，定点收集后，由环卫单位每日清理，外运至生活垃圾处理厂集中处理。要求渔产品废弃物外运时，使用密闭的容器或者使用密闭转运车，防止渔产品废弃物滴漏或遗撒。港区生活垃圾收集后由环卫部门每日清运处理。</w:t>
            </w:r>
          </w:p>
          <w:p w14:paraId="108C316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eastAsia="宋体" w:cs="Times New Roman"/>
                <w:color w:val="000000"/>
                <w:sz w:val="21"/>
                <w:szCs w:val="21"/>
                <w:highlight w:val="none"/>
                <w:u w:val="none"/>
                <w:lang w:val="en-US" w:eastAsia="zh-CN"/>
              </w:rPr>
            </w:pPr>
            <w:r>
              <w:rPr>
                <w:rFonts w:hint="default" w:ascii="Times New Roman" w:hAnsi="Times New Roman" w:eastAsia="宋体" w:cs="Times New Roman"/>
                <w:color w:val="000000"/>
                <w:sz w:val="21"/>
                <w:szCs w:val="21"/>
                <w:highlight w:val="none"/>
                <w:u w:val="none"/>
                <w:lang w:val="en-US" w:eastAsia="zh-CN"/>
              </w:rPr>
              <w:t>（3）到港船舶禁止在港区附近水域排放垃圾，严格执行《船舶水污染物排放控制标准》（GB3552-2018）等要求。</w:t>
            </w:r>
          </w:p>
          <w:p w14:paraId="106D343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eastAsia="宋体" w:cs="Times New Roman"/>
                <w:color w:val="000000"/>
                <w:sz w:val="21"/>
                <w:szCs w:val="21"/>
                <w:highlight w:val="none"/>
                <w:u w:val="none"/>
                <w:lang w:val="en-US" w:eastAsia="zh-CN"/>
              </w:rPr>
            </w:pPr>
            <w:r>
              <w:rPr>
                <w:rFonts w:hint="default" w:ascii="Times New Roman" w:hAnsi="Times New Roman" w:eastAsia="宋体" w:cs="Times New Roman"/>
                <w:color w:val="000000"/>
                <w:sz w:val="21"/>
                <w:szCs w:val="21"/>
                <w:highlight w:val="none"/>
                <w:u w:val="none"/>
                <w:lang w:val="en-US" w:eastAsia="zh-CN"/>
              </w:rPr>
              <w:t>（4）本码头暂不提供船舶维修场所，船舶定期前往修造船厂保养，维修保养产生的固废由修造船厂处理。</w:t>
            </w:r>
          </w:p>
          <w:p w14:paraId="343CFCA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eastAsia="宋体" w:cs="Times New Roman"/>
                <w:color w:val="000000"/>
                <w:sz w:val="21"/>
                <w:szCs w:val="21"/>
                <w:highlight w:val="none"/>
                <w:u w:val="none"/>
                <w:lang w:val="en-US" w:eastAsia="zh-CN"/>
              </w:rPr>
            </w:pPr>
            <w:r>
              <w:rPr>
                <w:rFonts w:hint="default" w:ascii="Times New Roman" w:hAnsi="Times New Roman" w:eastAsia="宋体" w:cs="Times New Roman"/>
                <w:color w:val="000000"/>
                <w:sz w:val="21"/>
                <w:szCs w:val="21"/>
                <w:highlight w:val="none"/>
                <w:u w:val="none"/>
                <w:lang w:val="en-US" w:eastAsia="zh-CN"/>
              </w:rPr>
              <w:t>（5）污水处理站污泥经压滤机脱水处理，降低含水率后外运至生活垃圾处理厂处理。</w:t>
            </w:r>
          </w:p>
          <w:p w14:paraId="7EC3BAB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eastAsia="宋体" w:cs="Times New Roman"/>
                <w:color w:val="000000"/>
                <w:sz w:val="21"/>
                <w:szCs w:val="21"/>
                <w:highlight w:val="none"/>
                <w:u w:val="none"/>
                <w:lang w:val="en-US" w:eastAsia="zh-CN"/>
              </w:rPr>
            </w:pPr>
            <w:r>
              <w:rPr>
                <w:rFonts w:hint="default" w:ascii="Times New Roman" w:hAnsi="Times New Roman" w:eastAsia="宋体" w:cs="Times New Roman"/>
                <w:color w:val="000000"/>
                <w:sz w:val="21"/>
                <w:szCs w:val="21"/>
                <w:highlight w:val="none"/>
                <w:u w:val="none"/>
                <w:lang w:val="en-US" w:eastAsia="zh-CN"/>
              </w:rPr>
              <w:t>（6）港区设备保养产生的废机油交由有资质的单位处理；废含油手套和抹布与生活垃圾一并交由环卫部门接收处置。</w:t>
            </w:r>
          </w:p>
        </w:tc>
        <w:tc>
          <w:tcPr>
            <w:tcW w:w="397" w:type="pct"/>
            <w:noWrap w:val="0"/>
            <w:vAlign w:val="center"/>
          </w:tcPr>
          <w:p w14:paraId="09474DB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u w:val="none"/>
                <w:lang w:eastAsia="zh-CN"/>
              </w:rPr>
            </w:pPr>
            <w:r>
              <w:rPr>
                <w:rFonts w:hint="default" w:ascii="Times New Roman" w:hAnsi="Times New Roman" w:cs="Times New Roman"/>
                <w:color w:val="000000"/>
                <w:sz w:val="21"/>
                <w:szCs w:val="21"/>
                <w:highlight w:val="none"/>
                <w:u w:val="none"/>
                <w:lang w:val="en-US" w:eastAsia="zh-CN"/>
              </w:rPr>
              <w:t>措施落实情况</w:t>
            </w:r>
          </w:p>
        </w:tc>
      </w:tr>
      <w:tr w14:paraId="6F42CD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518" w:type="pct"/>
            <w:noWrap w:val="0"/>
            <w:vAlign w:val="center"/>
          </w:tcPr>
          <w:p w14:paraId="7C969AD4">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color w:val="000000"/>
                <w:sz w:val="21"/>
                <w:szCs w:val="21"/>
                <w:highlight w:val="none"/>
                <w:u w:val="none"/>
              </w:rPr>
            </w:pPr>
            <w:r>
              <w:rPr>
                <w:rFonts w:hint="default" w:ascii="Times New Roman" w:hAnsi="Times New Roman" w:cs="Times New Roman"/>
                <w:color w:val="000000"/>
                <w:sz w:val="21"/>
                <w:szCs w:val="21"/>
                <w:highlight w:val="none"/>
                <w:u w:val="none"/>
              </w:rPr>
              <w:t>电磁环境</w:t>
            </w:r>
          </w:p>
        </w:tc>
        <w:tc>
          <w:tcPr>
            <w:tcW w:w="1945" w:type="pct"/>
            <w:noWrap w:val="0"/>
            <w:vAlign w:val="center"/>
          </w:tcPr>
          <w:p w14:paraId="2F9B32F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u w:val="none"/>
                <w:lang w:val="en-US" w:eastAsia="zh-CN"/>
              </w:rPr>
            </w:pPr>
            <w:r>
              <w:rPr>
                <w:rFonts w:hint="default" w:ascii="Times New Roman" w:hAnsi="Times New Roman" w:eastAsia="宋体" w:cs="Times New Roman"/>
                <w:color w:val="000000"/>
                <w:sz w:val="21"/>
                <w:szCs w:val="21"/>
                <w:highlight w:val="none"/>
                <w:u w:val="none"/>
                <w:lang w:val="en-US" w:eastAsia="zh-CN"/>
              </w:rPr>
              <w:t>/</w:t>
            </w:r>
          </w:p>
        </w:tc>
        <w:tc>
          <w:tcPr>
            <w:tcW w:w="412" w:type="pct"/>
            <w:noWrap w:val="0"/>
            <w:vAlign w:val="center"/>
          </w:tcPr>
          <w:p w14:paraId="47BC7A8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u w:val="none"/>
                <w:lang w:val="en-US" w:eastAsia="zh-CN"/>
              </w:rPr>
            </w:pPr>
            <w:r>
              <w:rPr>
                <w:rFonts w:hint="default" w:ascii="Times New Roman" w:hAnsi="Times New Roman" w:cs="Times New Roman"/>
                <w:color w:val="000000"/>
                <w:sz w:val="21"/>
                <w:szCs w:val="21"/>
                <w:highlight w:val="none"/>
                <w:u w:val="none"/>
                <w:lang w:val="en-US" w:eastAsia="zh-CN"/>
              </w:rPr>
              <w:t>/</w:t>
            </w:r>
          </w:p>
        </w:tc>
        <w:tc>
          <w:tcPr>
            <w:tcW w:w="1726" w:type="pct"/>
            <w:noWrap w:val="0"/>
            <w:vAlign w:val="center"/>
          </w:tcPr>
          <w:p w14:paraId="1B7DB26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u w:val="none"/>
                <w:lang w:val="en-US" w:eastAsia="zh-CN"/>
              </w:rPr>
            </w:pPr>
            <w:r>
              <w:rPr>
                <w:rFonts w:hint="default" w:ascii="Times New Roman" w:hAnsi="Times New Roman" w:cs="Times New Roman"/>
                <w:color w:val="000000"/>
                <w:sz w:val="21"/>
                <w:szCs w:val="21"/>
                <w:highlight w:val="none"/>
                <w:u w:val="none"/>
                <w:lang w:val="en-US" w:eastAsia="zh-CN"/>
              </w:rPr>
              <w:t>/</w:t>
            </w:r>
          </w:p>
        </w:tc>
        <w:tc>
          <w:tcPr>
            <w:tcW w:w="397" w:type="pct"/>
            <w:noWrap w:val="0"/>
            <w:vAlign w:val="center"/>
          </w:tcPr>
          <w:p w14:paraId="40476EC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u w:val="none"/>
                <w:lang w:val="en-US" w:eastAsia="zh-CN"/>
              </w:rPr>
            </w:pPr>
            <w:r>
              <w:rPr>
                <w:rFonts w:hint="default" w:ascii="Times New Roman" w:hAnsi="Times New Roman" w:cs="Times New Roman"/>
                <w:color w:val="000000"/>
                <w:sz w:val="21"/>
                <w:szCs w:val="21"/>
                <w:highlight w:val="none"/>
                <w:u w:val="none"/>
                <w:lang w:val="en-US" w:eastAsia="zh-CN"/>
              </w:rPr>
              <w:t>/</w:t>
            </w:r>
          </w:p>
        </w:tc>
      </w:tr>
      <w:tr w14:paraId="447455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trHeight w:val="340" w:hRule="atLeast"/>
          <w:jc w:val="center"/>
        </w:trPr>
        <w:tc>
          <w:tcPr>
            <w:tcW w:w="518" w:type="pct"/>
            <w:noWrap w:val="0"/>
            <w:vAlign w:val="center"/>
          </w:tcPr>
          <w:p w14:paraId="489F9CDE">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color w:val="000000"/>
                <w:sz w:val="21"/>
                <w:szCs w:val="21"/>
                <w:highlight w:val="none"/>
                <w:u w:val="none"/>
              </w:rPr>
            </w:pPr>
            <w:r>
              <w:rPr>
                <w:rFonts w:hint="default" w:ascii="Times New Roman" w:hAnsi="Times New Roman" w:cs="Times New Roman"/>
                <w:color w:val="000000"/>
                <w:sz w:val="21"/>
                <w:szCs w:val="21"/>
                <w:highlight w:val="none"/>
                <w:u w:val="none"/>
              </w:rPr>
              <w:t>环境风险</w:t>
            </w:r>
          </w:p>
        </w:tc>
        <w:tc>
          <w:tcPr>
            <w:tcW w:w="1945" w:type="pct"/>
            <w:noWrap w:val="0"/>
            <w:vAlign w:val="center"/>
          </w:tcPr>
          <w:p w14:paraId="3BA5284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s="Times New Roman"/>
                <w:color w:val="000000"/>
                <w:sz w:val="21"/>
                <w:szCs w:val="21"/>
                <w:highlight w:val="none"/>
                <w:u w:val="none"/>
                <w:lang w:val="en-US" w:eastAsia="zh-CN"/>
              </w:rPr>
            </w:pPr>
            <w:r>
              <w:rPr>
                <w:rFonts w:hint="eastAsia" w:cs="Times New Roman"/>
                <w:color w:val="000000"/>
                <w:sz w:val="21"/>
                <w:szCs w:val="21"/>
                <w:highlight w:val="none"/>
                <w:u w:val="none"/>
                <w:lang w:val="en-US" w:eastAsia="zh-CN"/>
              </w:rPr>
              <w:t>（1）施工单位在施工前应与海事部门、港务部门等充分沟通协调，及时了解项目施工海域附近船舶进出情况，以便尽早采取避让措施，避免施工船舶与进出船舶发生碰撞事故。施工前要发布航行公告，防止无关船舶进入施工作业水域。</w:t>
            </w:r>
          </w:p>
          <w:p w14:paraId="41CD7DD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s="Times New Roman"/>
                <w:color w:val="000000"/>
                <w:sz w:val="21"/>
                <w:szCs w:val="21"/>
                <w:highlight w:val="none"/>
                <w:u w:val="none"/>
                <w:lang w:val="en-US" w:eastAsia="zh-CN"/>
              </w:rPr>
            </w:pPr>
            <w:r>
              <w:rPr>
                <w:rFonts w:hint="eastAsia" w:cs="Times New Roman"/>
                <w:color w:val="000000"/>
                <w:sz w:val="21"/>
                <w:szCs w:val="21"/>
                <w:highlight w:val="none"/>
                <w:u w:val="none"/>
                <w:lang w:val="en-US" w:eastAsia="zh-CN"/>
              </w:rPr>
              <w:t>（2）施工船舶一般限定在批准的水域进行作业，施工结束后向海上交通安全管理部门通报施工船舶的航行情况，与施工及船运单位保持联系，切实加强对施工船舶进出施工水域航行的指导。</w:t>
            </w:r>
          </w:p>
          <w:p w14:paraId="246D737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s="Times New Roman"/>
                <w:color w:val="000000"/>
                <w:sz w:val="21"/>
                <w:szCs w:val="21"/>
                <w:highlight w:val="none"/>
                <w:u w:val="none"/>
                <w:lang w:val="en-US" w:eastAsia="zh-CN"/>
              </w:rPr>
            </w:pPr>
            <w:r>
              <w:rPr>
                <w:rFonts w:hint="eastAsia" w:cs="Times New Roman"/>
                <w:color w:val="000000"/>
                <w:sz w:val="21"/>
                <w:szCs w:val="21"/>
                <w:highlight w:val="none"/>
                <w:u w:val="none"/>
                <w:lang w:val="en-US" w:eastAsia="zh-CN"/>
              </w:rPr>
              <w:t>（3）施工单位应制定防范恶劣天气和海况的措施，施工船舶作业应在适航的天气条件下进行。</w:t>
            </w:r>
          </w:p>
          <w:p w14:paraId="3C88FD3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s="Times New Roman"/>
                <w:color w:val="000000"/>
                <w:sz w:val="21"/>
                <w:szCs w:val="21"/>
                <w:highlight w:val="none"/>
                <w:u w:val="none"/>
                <w:lang w:val="en-US" w:eastAsia="zh-CN"/>
              </w:rPr>
            </w:pPr>
            <w:r>
              <w:rPr>
                <w:rFonts w:hint="eastAsia" w:cs="Times New Roman"/>
                <w:color w:val="000000"/>
                <w:sz w:val="21"/>
                <w:szCs w:val="21"/>
                <w:highlight w:val="none"/>
                <w:u w:val="none"/>
                <w:lang w:val="en-US" w:eastAsia="zh-CN"/>
              </w:rPr>
              <w:t>（4）在安全作业区界限上应设置明显的警示标志，附近船舶不得进入警示标志内的施工水域；当发现附近船舶接近警示标志或有可能进入施工区域，施工船舶应用有效的方法及时发出警告，并注意双方的避让；施工作业船舶不得擅自在警示标志外侧水域逗留、漂航。</w:t>
            </w:r>
          </w:p>
          <w:p w14:paraId="6ED69C9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s="Times New Roman"/>
                <w:color w:val="000000"/>
                <w:sz w:val="21"/>
                <w:szCs w:val="21"/>
                <w:highlight w:val="none"/>
                <w:u w:val="none"/>
                <w:lang w:val="en-US" w:eastAsia="zh-CN"/>
              </w:rPr>
            </w:pPr>
            <w:r>
              <w:rPr>
                <w:rFonts w:hint="eastAsia" w:cs="Times New Roman"/>
                <w:color w:val="000000"/>
                <w:sz w:val="21"/>
                <w:szCs w:val="21"/>
                <w:highlight w:val="none"/>
                <w:u w:val="none"/>
                <w:lang w:val="en-US" w:eastAsia="zh-CN"/>
              </w:rPr>
              <w:t>（5）加强船舶的维护，保证船舶处在良好的运行状态。</w:t>
            </w:r>
          </w:p>
          <w:p w14:paraId="090D0FB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s="Times New Roman"/>
                <w:color w:val="000000"/>
                <w:sz w:val="21"/>
                <w:szCs w:val="21"/>
                <w:highlight w:val="none"/>
                <w:u w:val="none"/>
                <w:lang w:val="en-US" w:eastAsia="zh-CN"/>
              </w:rPr>
            </w:pPr>
            <w:r>
              <w:rPr>
                <w:rFonts w:hint="eastAsia" w:cs="Times New Roman"/>
                <w:color w:val="000000"/>
                <w:sz w:val="21"/>
                <w:szCs w:val="21"/>
                <w:highlight w:val="none"/>
                <w:u w:val="none"/>
                <w:lang w:val="en-US" w:eastAsia="zh-CN"/>
              </w:rPr>
              <w:t>（6）加强进出港管理，对进出港船舶应制定严格管理制度，聘请熟悉当地海域情况的船员引航，并对引航员进行必要的培训。船舶驾驶员的技术应符合要求。</w:t>
            </w:r>
          </w:p>
          <w:p w14:paraId="292DB8D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s="Times New Roman"/>
                <w:color w:val="000000"/>
                <w:sz w:val="21"/>
                <w:szCs w:val="21"/>
                <w:highlight w:val="none"/>
                <w:u w:val="none"/>
                <w:lang w:val="en-US" w:eastAsia="zh-CN"/>
              </w:rPr>
            </w:pPr>
            <w:r>
              <w:rPr>
                <w:rFonts w:hint="eastAsia" w:cs="Times New Roman"/>
                <w:color w:val="000000"/>
                <w:sz w:val="21"/>
                <w:szCs w:val="21"/>
                <w:highlight w:val="none"/>
                <w:u w:val="none"/>
                <w:lang w:val="en-US" w:eastAsia="zh-CN"/>
              </w:rPr>
              <w:t>（7）施工期间所有施工船舶必须按照交通运输部信号管理规定悬挂信号灯；加强值班、瞭望工作，控制施工船只的航速，减少船舶事故发生的可能性。</w:t>
            </w:r>
          </w:p>
          <w:p w14:paraId="00E7422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s="Times New Roman"/>
                <w:color w:val="000000"/>
                <w:sz w:val="21"/>
                <w:szCs w:val="21"/>
                <w:highlight w:val="none"/>
                <w:u w:val="none"/>
                <w:lang w:val="en-US" w:eastAsia="zh-CN"/>
              </w:rPr>
            </w:pPr>
            <w:r>
              <w:rPr>
                <w:rFonts w:hint="eastAsia" w:cs="Times New Roman"/>
                <w:color w:val="000000"/>
                <w:sz w:val="21"/>
                <w:szCs w:val="21"/>
                <w:highlight w:val="none"/>
                <w:u w:val="none"/>
                <w:lang w:val="en-US" w:eastAsia="zh-CN"/>
              </w:rPr>
              <w:t>（9）应制定应急计划，当施工作业船舶在发生紧急事件时，应立即采取必要的措施，及时向海上交管中心报告。同时迅速与建设单位及附近的港务公司联系，利用港务公司的应急队伍和设备，消除危害、降低风险。积极配合有关港务部门、海洋管理部门、环保部门与渔业部门做好相关应急工作。</w:t>
            </w:r>
          </w:p>
          <w:p w14:paraId="0D1AC6F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cs="Times New Roman"/>
                <w:color w:val="000000"/>
                <w:sz w:val="21"/>
                <w:szCs w:val="21"/>
                <w:highlight w:val="none"/>
                <w:u w:val="none"/>
              </w:rPr>
            </w:pPr>
            <w:r>
              <w:rPr>
                <w:rFonts w:hint="eastAsia" w:cs="Times New Roman"/>
                <w:color w:val="000000"/>
                <w:sz w:val="21"/>
                <w:szCs w:val="21"/>
                <w:highlight w:val="none"/>
                <w:u w:val="none"/>
                <w:lang w:val="en-US" w:eastAsia="zh-CN"/>
              </w:rPr>
              <w:t>（10）施工船舶应配置一定的吸油材料，发生船舶溢油事故时，对漏油船舶立即查找泄漏污染源，关闭阀门，封堵甲板出水孔（缝），并投放吸附材料，收集泄漏油污，及时控制油污扩散。</w:t>
            </w:r>
          </w:p>
        </w:tc>
        <w:tc>
          <w:tcPr>
            <w:tcW w:w="412" w:type="pct"/>
            <w:noWrap w:val="0"/>
            <w:vAlign w:val="center"/>
          </w:tcPr>
          <w:p w14:paraId="2E41A01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sz w:val="21"/>
                <w:szCs w:val="21"/>
                <w:highlight w:val="none"/>
                <w:u w:val="none"/>
              </w:rPr>
            </w:pPr>
            <w:r>
              <w:rPr>
                <w:rFonts w:hint="default" w:ascii="Times New Roman" w:hAnsi="Times New Roman" w:cs="Times New Roman"/>
                <w:color w:val="000000"/>
                <w:sz w:val="21"/>
                <w:szCs w:val="21"/>
                <w:highlight w:val="none"/>
                <w:u w:val="none"/>
                <w:lang w:val="en-US" w:eastAsia="zh-CN"/>
              </w:rPr>
              <w:t>措施落实情况</w:t>
            </w:r>
          </w:p>
        </w:tc>
        <w:tc>
          <w:tcPr>
            <w:tcW w:w="1726" w:type="pct"/>
            <w:noWrap w:val="0"/>
            <w:vAlign w:val="center"/>
          </w:tcPr>
          <w:p w14:paraId="56E8C9D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eastAsia" w:cs="Times New Roman"/>
                <w:color w:val="000000"/>
                <w:sz w:val="21"/>
                <w:szCs w:val="21"/>
                <w:highlight w:val="none"/>
                <w:u w:val="none"/>
                <w:lang w:val="en-US" w:eastAsia="zh-CN"/>
              </w:rPr>
            </w:pPr>
            <w:r>
              <w:rPr>
                <w:rFonts w:hint="eastAsia" w:cs="Times New Roman"/>
                <w:color w:val="000000"/>
                <w:sz w:val="21"/>
                <w:szCs w:val="21"/>
                <w:highlight w:val="none"/>
                <w:u w:val="none"/>
                <w:lang w:val="en-US" w:eastAsia="zh-CN"/>
              </w:rPr>
              <w:t>（1）船舶交通事故预防措施</w:t>
            </w:r>
          </w:p>
          <w:p w14:paraId="1596429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eastAsia" w:cs="Times New Roman"/>
                <w:color w:val="000000"/>
                <w:sz w:val="21"/>
                <w:szCs w:val="21"/>
                <w:highlight w:val="none"/>
                <w:u w:val="none"/>
                <w:lang w:val="en-US" w:eastAsia="zh-CN"/>
              </w:rPr>
            </w:pPr>
            <w:r>
              <w:rPr>
                <w:rFonts w:hint="eastAsia" w:cs="Times New Roman"/>
                <w:color w:val="000000"/>
                <w:sz w:val="21"/>
                <w:szCs w:val="21"/>
                <w:highlight w:val="none"/>
                <w:u w:val="none"/>
                <w:lang w:val="en-US" w:eastAsia="zh-CN"/>
              </w:rPr>
              <w:t>①在码头前沿和船舶掉头区设置必要的助航等安全保障设施。</w:t>
            </w:r>
          </w:p>
          <w:p w14:paraId="43F4977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eastAsia" w:cs="Times New Roman"/>
                <w:color w:val="000000"/>
                <w:sz w:val="21"/>
                <w:szCs w:val="21"/>
                <w:highlight w:val="none"/>
                <w:u w:val="none"/>
                <w:lang w:val="en-US" w:eastAsia="zh-CN"/>
              </w:rPr>
            </w:pPr>
            <w:r>
              <w:rPr>
                <w:rFonts w:hint="eastAsia" w:cs="Times New Roman"/>
                <w:color w:val="000000"/>
                <w:sz w:val="21"/>
                <w:szCs w:val="21"/>
                <w:highlight w:val="none"/>
                <w:u w:val="none"/>
                <w:lang w:val="en-US" w:eastAsia="zh-CN"/>
              </w:rPr>
              <w:t>②推进船舶交通管理系统建设，加强航道内船舶交通秩序管理，及时掌握进出航道船舶的动态。</w:t>
            </w:r>
          </w:p>
          <w:p w14:paraId="61FBBA9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eastAsia" w:cs="Times New Roman"/>
                <w:color w:val="000000"/>
                <w:sz w:val="21"/>
                <w:szCs w:val="21"/>
                <w:highlight w:val="none"/>
                <w:u w:val="none"/>
                <w:lang w:val="en-US" w:eastAsia="zh-CN"/>
              </w:rPr>
            </w:pPr>
            <w:r>
              <w:rPr>
                <w:rFonts w:hint="eastAsia" w:cs="Times New Roman"/>
                <w:color w:val="000000"/>
                <w:sz w:val="21"/>
                <w:szCs w:val="21"/>
                <w:highlight w:val="none"/>
                <w:u w:val="none"/>
                <w:lang w:val="en-US" w:eastAsia="zh-CN"/>
              </w:rPr>
              <w:t>③在港船舶应实施值班、瞭望制度，对进出港船舶控制船速，并实施引航；建设单位应与监管部门进行沟通协调，加强对附近海域的监管，加强港区和锚地管理；及时发布气象信息，在气象条件不良的情况下，建议避免进出港。</w:t>
            </w:r>
          </w:p>
          <w:p w14:paraId="1384E34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eastAsia" w:cs="Times New Roman"/>
                <w:color w:val="000000"/>
                <w:sz w:val="21"/>
                <w:szCs w:val="21"/>
                <w:highlight w:val="none"/>
                <w:u w:val="none"/>
                <w:lang w:val="en-US" w:eastAsia="zh-CN"/>
              </w:rPr>
            </w:pPr>
            <w:r>
              <w:rPr>
                <w:rFonts w:hint="eastAsia" w:cs="Times New Roman"/>
                <w:color w:val="000000"/>
                <w:sz w:val="21"/>
                <w:szCs w:val="21"/>
                <w:highlight w:val="none"/>
                <w:u w:val="none"/>
                <w:lang w:val="en-US" w:eastAsia="zh-CN"/>
              </w:rPr>
              <w:t>（2）配备风险应急设备及物资</w:t>
            </w:r>
          </w:p>
          <w:p w14:paraId="2C13B8B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eastAsia" w:cs="Times New Roman"/>
                <w:color w:val="000000"/>
                <w:sz w:val="21"/>
                <w:szCs w:val="21"/>
                <w:highlight w:val="none"/>
                <w:u w:val="none"/>
                <w:lang w:val="en-US" w:eastAsia="zh-CN"/>
              </w:rPr>
            </w:pPr>
            <w:r>
              <w:rPr>
                <w:rFonts w:hint="eastAsia" w:cs="Times New Roman"/>
                <w:color w:val="000000"/>
                <w:sz w:val="21"/>
                <w:szCs w:val="21"/>
                <w:highlight w:val="none"/>
                <w:u w:val="none"/>
                <w:lang w:val="en-US" w:eastAsia="zh-CN"/>
              </w:rPr>
              <w:t>①根据《港口码头溢油应急设备配备要求》（JT/T45-2009）配备必需的防治污染设备和器材，确保防治污染设备和器材符合防治船舶及其有关作业活动污染海洋环境的要求。</w:t>
            </w:r>
          </w:p>
          <w:p w14:paraId="4EE8757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eastAsia" w:cs="Times New Roman"/>
                <w:color w:val="000000"/>
                <w:sz w:val="21"/>
                <w:szCs w:val="21"/>
                <w:highlight w:val="none"/>
                <w:u w:val="none"/>
                <w:lang w:val="en-US" w:eastAsia="zh-CN"/>
              </w:rPr>
            </w:pPr>
            <w:r>
              <w:rPr>
                <w:rFonts w:hint="eastAsia" w:cs="Times New Roman"/>
                <w:color w:val="000000"/>
                <w:sz w:val="21"/>
                <w:szCs w:val="21"/>
                <w:highlight w:val="none"/>
                <w:u w:val="none"/>
                <w:lang w:val="en-US" w:eastAsia="zh-CN"/>
              </w:rPr>
              <w:t>②在码头前沿和易发生船舶碰撞的区域放置足量围油栏、吸油毡等应急设施，在发生溢油事故时，能够及时进行围截，将溢油范围控制在港区范围内。</w:t>
            </w:r>
          </w:p>
          <w:p w14:paraId="79E1615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eastAsia" w:cs="Times New Roman"/>
                <w:color w:val="000000"/>
                <w:sz w:val="21"/>
                <w:szCs w:val="21"/>
                <w:highlight w:val="none"/>
                <w:u w:val="none"/>
                <w:lang w:val="en-US" w:eastAsia="zh-CN"/>
              </w:rPr>
            </w:pPr>
            <w:r>
              <w:rPr>
                <w:rFonts w:hint="eastAsia" w:cs="Times New Roman"/>
                <w:color w:val="000000"/>
                <w:sz w:val="21"/>
                <w:szCs w:val="21"/>
                <w:highlight w:val="none"/>
                <w:u w:val="none"/>
                <w:lang w:val="en-US" w:eastAsia="zh-CN"/>
              </w:rPr>
              <w:t>（3）制定风险应急预案</w:t>
            </w:r>
          </w:p>
          <w:p w14:paraId="578867A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cs="Times New Roman"/>
                <w:color w:val="000000"/>
                <w:sz w:val="21"/>
                <w:szCs w:val="21"/>
                <w:highlight w:val="none"/>
                <w:u w:val="none"/>
                <w:lang w:val="en-US" w:eastAsia="zh-CN"/>
              </w:rPr>
            </w:pPr>
            <w:r>
              <w:rPr>
                <w:rFonts w:hint="eastAsia" w:cs="Times New Roman"/>
                <w:color w:val="000000"/>
                <w:sz w:val="21"/>
                <w:szCs w:val="21"/>
                <w:highlight w:val="none"/>
                <w:u w:val="none"/>
                <w:lang w:val="en-US" w:eastAsia="zh-CN"/>
              </w:rPr>
              <w:t>建设单位应建立溢油应急体系和制定溢油应急预案，并报主管部门审批通过后投入运营。</w:t>
            </w:r>
          </w:p>
        </w:tc>
        <w:tc>
          <w:tcPr>
            <w:tcW w:w="397" w:type="pct"/>
            <w:noWrap w:val="0"/>
            <w:vAlign w:val="center"/>
          </w:tcPr>
          <w:p w14:paraId="3253109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sz w:val="21"/>
                <w:szCs w:val="21"/>
                <w:highlight w:val="none"/>
                <w:u w:val="none"/>
              </w:rPr>
            </w:pPr>
            <w:r>
              <w:rPr>
                <w:rFonts w:hint="default" w:ascii="Times New Roman" w:hAnsi="Times New Roman" w:cs="Times New Roman"/>
                <w:color w:val="000000"/>
                <w:sz w:val="21"/>
                <w:szCs w:val="21"/>
                <w:highlight w:val="none"/>
                <w:u w:val="none"/>
                <w:lang w:val="en-US" w:eastAsia="zh-CN"/>
              </w:rPr>
              <w:t>措施落实情况</w:t>
            </w:r>
          </w:p>
        </w:tc>
      </w:tr>
      <w:tr w14:paraId="1774BC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518" w:type="pct"/>
            <w:noWrap w:val="0"/>
            <w:vAlign w:val="center"/>
          </w:tcPr>
          <w:p w14:paraId="703A308D">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color w:val="000000"/>
                <w:sz w:val="21"/>
                <w:szCs w:val="21"/>
                <w:highlight w:val="none"/>
                <w:u w:val="none"/>
              </w:rPr>
            </w:pPr>
            <w:r>
              <w:rPr>
                <w:rFonts w:hint="default" w:ascii="Times New Roman" w:hAnsi="Times New Roman" w:cs="Times New Roman"/>
                <w:color w:val="000000"/>
                <w:sz w:val="21"/>
                <w:szCs w:val="21"/>
                <w:highlight w:val="none"/>
                <w:u w:val="none"/>
              </w:rPr>
              <w:t>环境监测</w:t>
            </w:r>
          </w:p>
        </w:tc>
        <w:tc>
          <w:tcPr>
            <w:tcW w:w="1945" w:type="pct"/>
            <w:noWrap w:val="0"/>
            <w:vAlign w:val="center"/>
          </w:tcPr>
          <w:p w14:paraId="2ECFE26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color w:val="000000"/>
                <w:sz w:val="21"/>
                <w:szCs w:val="21"/>
                <w:highlight w:val="none"/>
                <w:u w:val="none"/>
                <w:lang w:val="en-US" w:eastAsia="zh-CN"/>
              </w:rPr>
            </w:pPr>
            <w:r>
              <w:rPr>
                <w:rFonts w:hint="default" w:ascii="Times New Roman" w:hAnsi="Times New Roman" w:cs="Times New Roman"/>
                <w:color w:val="000000"/>
                <w:sz w:val="21"/>
                <w:szCs w:val="21"/>
                <w:highlight w:val="none"/>
                <w:u w:val="none"/>
                <w:lang w:val="en-US" w:eastAsia="zh-CN"/>
              </w:rPr>
              <w:t>制定施工期</w:t>
            </w:r>
            <w:r>
              <w:rPr>
                <w:rFonts w:hint="default" w:ascii="Times New Roman" w:hAnsi="Times New Roman" w:cs="Times New Roman"/>
                <w:color w:val="000000"/>
                <w:sz w:val="21"/>
                <w:szCs w:val="21"/>
                <w:highlight w:val="none"/>
                <w:u w:val="none"/>
              </w:rPr>
              <w:t>环境监测方案，并委托有资质的环境监测单位实施。</w:t>
            </w:r>
          </w:p>
        </w:tc>
        <w:tc>
          <w:tcPr>
            <w:tcW w:w="412" w:type="pct"/>
            <w:noWrap w:val="0"/>
            <w:vAlign w:val="center"/>
          </w:tcPr>
          <w:p w14:paraId="4CDE9F2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sz w:val="21"/>
                <w:szCs w:val="21"/>
                <w:highlight w:val="none"/>
                <w:u w:val="none"/>
              </w:rPr>
            </w:pPr>
            <w:r>
              <w:rPr>
                <w:rFonts w:hint="default" w:ascii="Times New Roman" w:hAnsi="Times New Roman" w:cs="Times New Roman"/>
                <w:color w:val="000000"/>
                <w:sz w:val="21"/>
                <w:szCs w:val="21"/>
                <w:highlight w:val="none"/>
                <w:u w:val="none"/>
                <w:lang w:val="en-US" w:eastAsia="zh-CN"/>
              </w:rPr>
              <w:t>措施落实情况</w:t>
            </w:r>
          </w:p>
        </w:tc>
        <w:tc>
          <w:tcPr>
            <w:tcW w:w="1726" w:type="pct"/>
            <w:noWrap w:val="0"/>
            <w:vAlign w:val="center"/>
          </w:tcPr>
          <w:p w14:paraId="6DA11C7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cs="Times New Roman"/>
                <w:color w:val="000000"/>
                <w:sz w:val="21"/>
                <w:szCs w:val="21"/>
                <w:highlight w:val="none"/>
                <w:u w:val="none"/>
              </w:rPr>
            </w:pPr>
            <w:r>
              <w:rPr>
                <w:rFonts w:hint="default" w:ascii="Times New Roman" w:hAnsi="Times New Roman" w:cs="Times New Roman"/>
                <w:color w:val="000000"/>
                <w:sz w:val="21"/>
                <w:szCs w:val="21"/>
                <w:highlight w:val="none"/>
                <w:u w:val="none"/>
              </w:rPr>
              <w:t>制定运营期环境监测方案，并委托有资质的环境监测单位实施。</w:t>
            </w:r>
          </w:p>
        </w:tc>
        <w:tc>
          <w:tcPr>
            <w:tcW w:w="397" w:type="pct"/>
            <w:noWrap w:val="0"/>
            <w:vAlign w:val="center"/>
          </w:tcPr>
          <w:p w14:paraId="0C7507C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sz w:val="21"/>
                <w:szCs w:val="21"/>
                <w:highlight w:val="none"/>
                <w:u w:val="none"/>
              </w:rPr>
            </w:pPr>
            <w:r>
              <w:rPr>
                <w:rFonts w:hint="default" w:ascii="Times New Roman" w:hAnsi="Times New Roman" w:cs="Times New Roman"/>
                <w:color w:val="000000"/>
                <w:sz w:val="21"/>
                <w:szCs w:val="21"/>
                <w:highlight w:val="none"/>
                <w:u w:val="none"/>
                <w:lang w:val="en-US" w:eastAsia="zh-CN"/>
              </w:rPr>
              <w:t>措施落实情况</w:t>
            </w:r>
          </w:p>
        </w:tc>
      </w:tr>
      <w:tr w14:paraId="6912B7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trHeight w:val="340" w:hRule="atLeast"/>
          <w:jc w:val="center"/>
        </w:trPr>
        <w:tc>
          <w:tcPr>
            <w:tcW w:w="518" w:type="pct"/>
            <w:noWrap w:val="0"/>
            <w:vAlign w:val="center"/>
          </w:tcPr>
          <w:p w14:paraId="0592435D">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color w:val="000000"/>
                <w:sz w:val="21"/>
                <w:szCs w:val="21"/>
                <w:highlight w:val="none"/>
                <w:u w:val="none"/>
              </w:rPr>
            </w:pPr>
            <w:r>
              <w:rPr>
                <w:rFonts w:hint="default" w:ascii="Times New Roman" w:hAnsi="Times New Roman" w:cs="Times New Roman"/>
                <w:color w:val="000000"/>
                <w:sz w:val="21"/>
                <w:szCs w:val="21"/>
                <w:highlight w:val="none"/>
                <w:u w:val="none"/>
              </w:rPr>
              <w:t>其他</w:t>
            </w:r>
          </w:p>
        </w:tc>
        <w:tc>
          <w:tcPr>
            <w:tcW w:w="1945" w:type="pct"/>
            <w:noWrap w:val="0"/>
            <w:vAlign w:val="center"/>
          </w:tcPr>
          <w:p w14:paraId="25C5457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sz w:val="21"/>
                <w:szCs w:val="21"/>
                <w:highlight w:val="none"/>
                <w:u w:val="none"/>
              </w:rPr>
            </w:pPr>
            <w:r>
              <w:rPr>
                <w:rFonts w:hint="default" w:ascii="Times New Roman" w:hAnsi="Times New Roman" w:eastAsia="宋体" w:cs="Times New Roman"/>
                <w:color w:val="000000"/>
                <w:sz w:val="21"/>
                <w:szCs w:val="21"/>
                <w:highlight w:val="none"/>
                <w:u w:val="none"/>
                <w:lang w:val="en-US" w:eastAsia="zh-CN"/>
              </w:rPr>
              <w:t>/</w:t>
            </w:r>
          </w:p>
        </w:tc>
        <w:tc>
          <w:tcPr>
            <w:tcW w:w="412" w:type="pct"/>
            <w:noWrap w:val="0"/>
            <w:vAlign w:val="center"/>
          </w:tcPr>
          <w:p w14:paraId="6961BC4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sz w:val="21"/>
                <w:szCs w:val="21"/>
                <w:highlight w:val="none"/>
                <w:u w:val="none"/>
              </w:rPr>
            </w:pPr>
            <w:r>
              <w:rPr>
                <w:rFonts w:hint="default" w:ascii="Times New Roman" w:hAnsi="Times New Roman" w:cs="Times New Roman"/>
                <w:color w:val="000000"/>
                <w:sz w:val="21"/>
                <w:szCs w:val="21"/>
                <w:highlight w:val="none"/>
                <w:u w:val="none"/>
                <w:lang w:val="en-US" w:eastAsia="zh-CN"/>
              </w:rPr>
              <w:t>/</w:t>
            </w:r>
          </w:p>
        </w:tc>
        <w:tc>
          <w:tcPr>
            <w:tcW w:w="1726" w:type="pct"/>
            <w:noWrap w:val="0"/>
            <w:vAlign w:val="center"/>
          </w:tcPr>
          <w:p w14:paraId="1983509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sz w:val="21"/>
                <w:szCs w:val="21"/>
                <w:highlight w:val="none"/>
                <w:u w:val="none"/>
              </w:rPr>
            </w:pPr>
            <w:r>
              <w:rPr>
                <w:rFonts w:hint="default" w:ascii="Times New Roman" w:hAnsi="Times New Roman" w:eastAsia="宋体" w:cs="Times New Roman"/>
                <w:color w:val="000000"/>
                <w:sz w:val="21"/>
                <w:szCs w:val="21"/>
                <w:highlight w:val="none"/>
                <w:u w:val="none"/>
                <w:lang w:val="en-US" w:eastAsia="zh-CN"/>
              </w:rPr>
              <w:t>/</w:t>
            </w:r>
          </w:p>
        </w:tc>
        <w:tc>
          <w:tcPr>
            <w:tcW w:w="397" w:type="pct"/>
            <w:noWrap w:val="0"/>
            <w:vAlign w:val="center"/>
          </w:tcPr>
          <w:p w14:paraId="47DE485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sz w:val="21"/>
                <w:szCs w:val="21"/>
                <w:highlight w:val="none"/>
                <w:u w:val="none"/>
              </w:rPr>
            </w:pPr>
            <w:r>
              <w:rPr>
                <w:rFonts w:hint="default" w:ascii="Times New Roman" w:hAnsi="Times New Roman" w:cs="Times New Roman"/>
                <w:color w:val="000000"/>
                <w:sz w:val="21"/>
                <w:szCs w:val="21"/>
                <w:highlight w:val="none"/>
                <w:u w:val="none"/>
                <w:lang w:val="en-US" w:eastAsia="zh-CN"/>
              </w:rPr>
              <w:t>/</w:t>
            </w:r>
          </w:p>
        </w:tc>
      </w:tr>
    </w:tbl>
    <w:p w14:paraId="529AA83F">
      <w:pPr>
        <w:pStyle w:val="2"/>
        <w:bidi w:val="0"/>
        <w:rPr>
          <w:rFonts w:hint="default" w:ascii="Times New Roman" w:hAnsi="Times New Roman" w:cs="Times New Roman"/>
          <w:color w:val="000000"/>
          <w:u w:val="none"/>
        </w:rPr>
        <w:sectPr>
          <w:pgSz w:w="16838" w:h="11906" w:orient="landscape"/>
          <w:pgMar w:top="1531" w:right="1701" w:bottom="1531" w:left="1701" w:header="851" w:footer="1077" w:gutter="0"/>
          <w:pgNumType w:fmt="decimal"/>
          <w:cols w:space="720" w:num="1"/>
          <w:docGrid w:linePitch="312" w:charSpace="0"/>
        </w:sectPr>
      </w:pPr>
    </w:p>
    <w:p w14:paraId="1A9F3219">
      <w:pPr>
        <w:pStyle w:val="2"/>
        <w:bidi w:val="0"/>
        <w:ind w:left="425" w:leftChars="0" w:hanging="425" w:firstLineChars="0"/>
        <w:rPr>
          <w:rFonts w:hint="default"/>
        </w:rPr>
      </w:pPr>
      <w:bookmarkStart w:id="703" w:name="_Toc25651"/>
      <w:bookmarkStart w:id="704" w:name="_Toc7893"/>
      <w:bookmarkStart w:id="705" w:name="_Toc20296"/>
      <w:bookmarkStart w:id="706" w:name="_Toc14939"/>
      <w:bookmarkStart w:id="707" w:name="_Toc7241"/>
      <w:r>
        <w:rPr>
          <w:rFonts w:hint="default"/>
        </w:rPr>
        <w:t>结论</w:t>
      </w:r>
      <w:bookmarkEnd w:id="703"/>
      <w:bookmarkEnd w:id="704"/>
      <w:bookmarkEnd w:id="705"/>
      <w:bookmarkEnd w:id="706"/>
      <w:bookmarkEnd w:id="707"/>
    </w:p>
    <w:tbl>
      <w:tblPr>
        <w:tblStyle w:val="21"/>
        <w:tblW w:w="928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8" w:type="dxa"/>
          <w:left w:w="108" w:type="dxa"/>
          <w:bottom w:w="108" w:type="dxa"/>
          <w:right w:w="108" w:type="dxa"/>
        </w:tblCellMar>
      </w:tblPr>
      <w:tblGrid>
        <w:gridCol w:w="9289"/>
      </w:tblGrid>
      <w:tr w14:paraId="509429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8" w:type="dxa"/>
            <w:left w:w="108" w:type="dxa"/>
            <w:bottom w:w="108" w:type="dxa"/>
            <w:right w:w="108" w:type="dxa"/>
          </w:tblCellMar>
        </w:tblPrEx>
        <w:trPr>
          <w:trHeight w:val="12349" w:hRule="atLeast"/>
          <w:jc w:val="center"/>
        </w:trPr>
        <w:tc>
          <w:tcPr>
            <w:tcW w:w="9289" w:type="dxa"/>
            <w:noWrap w:val="0"/>
            <w:vAlign w:val="top"/>
          </w:tcPr>
          <w:p w14:paraId="03EEA690">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cs="Times New Roman"/>
                <w:color w:val="000000"/>
                <w:szCs w:val="21"/>
                <w:u w:val="none"/>
                <w:lang w:eastAsia="zh-CN"/>
              </w:rPr>
            </w:pPr>
            <w:r>
              <w:rPr>
                <w:rFonts w:hint="eastAsia" w:cs="Times New Roman"/>
                <w:color w:val="000000"/>
                <w:szCs w:val="21"/>
                <w:u w:val="none"/>
                <w:lang w:eastAsia="zh-CN"/>
              </w:rPr>
              <w:t>福清市海亮沃口一级渔港</w:t>
            </w:r>
            <w:r>
              <w:rPr>
                <w:rFonts w:hint="eastAsia" w:cs="Times New Roman"/>
                <w:color w:val="000000"/>
                <w:highlight w:val="none"/>
                <w:lang w:val="en-US" w:eastAsia="zh-CN"/>
              </w:rPr>
              <w:t>工程</w:t>
            </w:r>
            <w:r>
              <w:rPr>
                <w:rFonts w:hint="eastAsia" w:cs="Times New Roman"/>
                <w:color w:val="000000"/>
                <w:szCs w:val="21"/>
                <w:u w:val="none"/>
                <w:lang w:eastAsia="zh-CN"/>
              </w:rPr>
              <w:t>建设符合国家产业政策及生态环境分区管控要求，符合《全国沿海渔港建设规划（2018-2025年）》《福建省渔港布局与建设规划（2020-2025）》《福州港总体规划（2035年）》《福建省国土空间规划（2021-2035年）》《福州市国土空间总体规划（2021-2035年）》等相关规划要求，与“三区三线”划定成果不冲突。</w:t>
            </w:r>
          </w:p>
          <w:p w14:paraId="5EF74699">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00"/>
                <w:u w:val="none"/>
              </w:rPr>
            </w:pPr>
            <w:r>
              <w:rPr>
                <w:rFonts w:hint="eastAsia" w:cs="Times New Roman"/>
                <w:color w:val="000000"/>
                <w:szCs w:val="21"/>
                <w:u w:val="none"/>
                <w:lang w:eastAsia="zh-CN"/>
              </w:rPr>
              <w:t>项目建设将对所在海域水文动力条件、冲淤环境、声环境、大气环境、地表水环境、生态环境产生一定的影响。项目施工期及运营期产生的环境影响在采取污染防治措施及生态保护措施后，对环境的影响可以接受。在严格遵循建设项目“三同时”制度，认真落实本报告提出的各项环境保护对策措施、生态补偿措施、风险防范对策措施，切实落实工程的监理和跟踪监测的前提下，工程建设所造成的环境影响在可以接受的范围内。因此，从环境保护角度分析，本项目建设是可行的。</w:t>
            </w:r>
          </w:p>
          <w:p w14:paraId="76AF8FBD">
            <w:pPr>
              <w:bidi w:val="0"/>
              <w:rPr>
                <w:rFonts w:hint="default" w:ascii="Times New Roman" w:hAnsi="Times New Roman" w:cs="Times New Roman"/>
                <w:color w:val="000000"/>
                <w:u w:val="none"/>
                <w:lang w:eastAsia="zh-CN"/>
              </w:rPr>
            </w:pPr>
          </w:p>
          <w:p w14:paraId="2D4020FF">
            <w:pPr>
              <w:bidi w:val="0"/>
              <w:rPr>
                <w:rFonts w:hint="default" w:ascii="Times New Roman" w:hAnsi="Times New Roman" w:cs="Times New Roman"/>
                <w:color w:val="000000"/>
                <w:u w:val="none"/>
                <w:lang w:eastAsia="zh-CN"/>
              </w:rPr>
            </w:pPr>
          </w:p>
          <w:p w14:paraId="175A2CE7">
            <w:pPr>
              <w:bidi w:val="0"/>
              <w:jc w:val="right"/>
              <w:rPr>
                <w:rFonts w:hint="default" w:ascii="Times New Roman" w:hAnsi="Times New Roman" w:cs="Times New Roman"/>
                <w:b/>
                <w:bCs/>
                <w:color w:val="000000"/>
                <w:u w:val="none"/>
                <w:lang w:eastAsia="zh-CN"/>
              </w:rPr>
            </w:pPr>
          </w:p>
          <w:p w14:paraId="5534897C">
            <w:pPr>
              <w:bidi w:val="0"/>
              <w:jc w:val="right"/>
              <w:rPr>
                <w:rFonts w:hint="default" w:ascii="Times New Roman" w:hAnsi="Times New Roman" w:cs="Times New Roman"/>
                <w:b/>
                <w:bCs/>
                <w:color w:val="000000"/>
                <w:u w:val="none"/>
                <w:lang w:eastAsia="zh-CN"/>
              </w:rPr>
            </w:pPr>
          </w:p>
          <w:p w14:paraId="1B62B634">
            <w:pPr>
              <w:keepNext w:val="0"/>
              <w:keepLines w:val="0"/>
              <w:pageBreakBefore w:val="0"/>
              <w:widowControl w:val="0"/>
              <w:kinsoku/>
              <w:wordWrap/>
              <w:overflowPunct/>
              <w:topLinePunct w:val="0"/>
              <w:autoSpaceDE/>
              <w:autoSpaceDN/>
              <w:bidi w:val="0"/>
              <w:adjustRightInd/>
              <w:snapToGrid/>
              <w:jc w:val="right"/>
              <w:textAlignment w:val="auto"/>
              <w:rPr>
                <w:rFonts w:hint="default" w:ascii="Times New Roman" w:hAnsi="Times New Roman" w:eastAsia="宋体" w:cs="Times New Roman"/>
                <w:color w:val="000000"/>
                <w:u w:val="none"/>
                <w:lang w:val="en-US" w:eastAsia="zh-CN"/>
              </w:rPr>
            </w:pPr>
          </w:p>
        </w:tc>
      </w:tr>
    </w:tbl>
    <w:p w14:paraId="07EBEA82">
      <w:pPr>
        <w:pStyle w:val="2"/>
        <w:numPr>
          <w:ilvl w:val="0"/>
          <w:numId w:val="0"/>
        </w:numPr>
        <w:bidi w:val="0"/>
        <w:ind w:leftChars="0"/>
        <w:jc w:val="both"/>
        <w:outlineLvl w:val="9"/>
        <w:rPr>
          <w:rFonts w:hint="default" w:ascii="Times New Roman" w:hAnsi="Times New Roman" w:cs="Times New Roman"/>
          <w:color w:val="000000"/>
          <w:u w:val="none"/>
        </w:rPr>
        <w:sectPr>
          <w:pgSz w:w="11906" w:h="16838"/>
          <w:pgMar w:top="1701" w:right="1531" w:bottom="1701" w:left="1531" w:header="851" w:footer="1077" w:gutter="0"/>
          <w:pgNumType w:fmt="decimal"/>
          <w:cols w:space="720" w:num="1"/>
          <w:docGrid w:linePitch="312" w:charSpace="0"/>
        </w:sectPr>
      </w:pPr>
    </w:p>
    <w:p w14:paraId="16ED03D4">
      <w:pPr>
        <w:pStyle w:val="3"/>
        <w:keepNext/>
        <w:keepLines/>
        <w:pageBreakBefore w:val="0"/>
        <w:widowControl w:val="0"/>
        <w:numPr>
          <w:ilvl w:val="1"/>
          <w:numId w:val="0"/>
        </w:numPr>
        <w:kinsoku/>
        <w:wordWrap/>
        <w:overflowPunct/>
        <w:topLinePunct w:val="0"/>
        <w:autoSpaceDE/>
        <w:autoSpaceDN/>
        <w:bidi w:val="0"/>
        <w:adjustRightInd w:val="0"/>
        <w:snapToGrid w:val="0"/>
        <w:spacing w:before="0" w:beforeLines="0" w:line="240" w:lineRule="auto"/>
        <w:ind w:leftChars="0"/>
        <w:textAlignment w:val="auto"/>
        <w:rPr>
          <w:rFonts w:hint="default" w:ascii="Times New Roman" w:hAnsi="Times New Roman" w:eastAsia="宋体" w:cs="Times New Roman"/>
          <w:b/>
          <w:color w:val="000000"/>
          <w:u w:val="none"/>
          <w:lang w:val="en-US" w:eastAsia="zh-CN"/>
        </w:rPr>
      </w:pPr>
      <w:r>
        <w:rPr>
          <w:rFonts w:hint="eastAsia"/>
          <w:lang w:val="en-US" w:eastAsia="zh-CN"/>
        </w:rPr>
        <w:t>附件：</w:t>
      </w:r>
      <w:bookmarkStart w:id="708" w:name="_Toc20057"/>
      <w:r>
        <w:rPr>
          <w:rFonts w:hint="default" w:ascii="Times New Roman" w:hAnsi="Times New Roman" w:eastAsia="宋体" w:cs="Times New Roman"/>
          <w:b/>
          <w:color w:val="000000"/>
          <w:u w:val="none"/>
          <w:lang w:val="en-US" w:eastAsia="zh-CN"/>
        </w:rPr>
        <w:t>环评文件是否涉及国家秘密和商业机密等内容的说明报告</w:t>
      </w:r>
      <w:bookmarkEnd w:id="708"/>
    </w:p>
    <w:p w14:paraId="25604EBC">
      <w:pPr>
        <w:rPr>
          <w:rFonts w:hint="default"/>
          <w:lang w:val="en-US" w:eastAsia="zh-CN"/>
        </w:rPr>
      </w:pPr>
      <w:r>
        <w:rPr>
          <w:rFonts w:hint="default"/>
          <w:lang w:val="en-US" w:eastAsia="zh-CN"/>
        </w:rPr>
        <w:drawing>
          <wp:inline distT="0" distB="0" distL="114300" distR="114300">
            <wp:extent cx="5591175" cy="7903210"/>
            <wp:effectExtent l="0" t="0" r="9525" b="2540"/>
            <wp:docPr id="2" name="图片 2" descr="20260403_145041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20260403_145041_07"/>
                    <pic:cNvPicPr>
                      <a:picLocks noChangeAspect="1"/>
                    </pic:cNvPicPr>
                  </pic:nvPicPr>
                  <pic:blipFill>
                    <a:blip r:embed="rId184"/>
                    <a:stretch>
                      <a:fillRect/>
                    </a:stretch>
                  </pic:blipFill>
                  <pic:spPr>
                    <a:xfrm>
                      <a:off x="0" y="0"/>
                      <a:ext cx="5591175" cy="7903210"/>
                    </a:xfrm>
                    <a:prstGeom prst="rect">
                      <a:avLst/>
                    </a:prstGeom>
                  </pic:spPr>
                </pic:pic>
              </a:graphicData>
            </a:graphic>
          </wp:inline>
        </w:drawing>
      </w:r>
      <w:r>
        <w:rPr>
          <w:rFonts w:hint="default"/>
          <w:lang w:val="en-US" w:eastAsia="zh-CN"/>
        </w:rPr>
        <w:drawing>
          <wp:inline distT="0" distB="0" distL="114300" distR="114300">
            <wp:extent cx="5591175" cy="7903210"/>
            <wp:effectExtent l="0" t="0" r="9525" b="2540"/>
            <wp:docPr id="3" name="图片 3" descr="20260403_145041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20260403_145041_08"/>
                    <pic:cNvPicPr>
                      <a:picLocks noChangeAspect="1"/>
                    </pic:cNvPicPr>
                  </pic:nvPicPr>
                  <pic:blipFill>
                    <a:blip r:embed="rId185"/>
                    <a:stretch>
                      <a:fillRect/>
                    </a:stretch>
                  </pic:blipFill>
                  <pic:spPr>
                    <a:xfrm>
                      <a:off x="0" y="0"/>
                      <a:ext cx="5591175" cy="7903210"/>
                    </a:xfrm>
                    <a:prstGeom prst="rect">
                      <a:avLst/>
                    </a:prstGeom>
                  </pic:spPr>
                </pic:pic>
              </a:graphicData>
            </a:graphic>
          </wp:inline>
        </w:drawing>
      </w:r>
    </w:p>
    <w:sectPr>
      <w:headerReference r:id="rId9" w:type="default"/>
      <w:footerReference r:id="rId10" w:type="default"/>
      <w:pgSz w:w="11906" w:h="16838"/>
      <w:pgMar w:top="1701" w:right="1531" w:bottom="1701" w:left="1531" w:header="851" w:footer="992" w:gutter="0"/>
      <w:pgBorders>
        <w:top w:val="none" w:sz="0" w:space="0"/>
        <w:left w:val="none" w:sz="0" w:space="0"/>
        <w:bottom w:val="none" w:sz="0" w:space="0"/>
        <w:right w:val="none" w:sz="0" w:space="0"/>
      </w:pgBorders>
      <w:pgNumType w:fmt="decimal"/>
      <w:cols w:space="720" w:num="1"/>
      <w:docGrid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8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
    <w:panose1 w:val="02010609060101010101"/>
    <w:charset w:val="86"/>
    <w:family w:val="auto"/>
    <w:pitch w:val="default"/>
    <w:sig w:usb0="800002BF" w:usb1="38CF7CFA" w:usb2="00000016" w:usb3="00000000" w:csb0="00040001" w:csb1="00000000"/>
  </w:font>
  <w:font w:name="楷体_GB2312">
    <w:altName w:val="楷体"/>
    <w:panose1 w:val="02010609030101010101"/>
    <w:charset w:val="86"/>
    <w:family w:val="modern"/>
    <w:pitch w:val="default"/>
    <w:sig w:usb0="00000000" w:usb1="00000000" w:usb2="00000010" w:usb3="00000000" w:csb0="00040000" w:csb1="00000000"/>
  </w:font>
  <w:font w:name="CenturionOld">
    <w:altName w:val="Courier New"/>
    <w:panose1 w:val="00000000000000000000"/>
    <w:charset w:val="00"/>
    <w:family w:val="auto"/>
    <w:pitch w:val="default"/>
    <w:sig w:usb0="00000000" w:usb1="00000000" w:usb2="00000000" w:usb3="00000000" w:csb0="00000001" w:csb1="00000000"/>
  </w:font>
  <w:font w:name="仿宋_GB2312">
    <w:altName w:val="仿宋"/>
    <w:panose1 w:val="02010609030101010101"/>
    <w:charset w:val="86"/>
    <w:family w:val="modern"/>
    <w:pitch w:val="default"/>
    <w:sig w:usb0="00000000" w:usb1="00000000" w:usb2="00000000" w:usb3="00000000" w:csb0="00040000" w:csb1="00000000"/>
  </w:font>
  <w:font w:name="方正小标宋_GBK">
    <w:altName w:val="微软雅黑"/>
    <w:panose1 w:val="03000509000000000000"/>
    <w:charset w:val="86"/>
    <w:family w:val="script"/>
    <w:pitch w:val="default"/>
    <w:sig w:usb0="00000000" w:usb1="00000000" w:usb2="00000010" w:usb3="00000000" w:csb0="00040000" w:csb1="00000000"/>
  </w:font>
  <w:font w:name="Wingdings 2">
    <w:panose1 w:val="05020102010507070707"/>
    <w:charset w:val="02"/>
    <w:family w:val="auto"/>
    <w:pitch w:val="default"/>
    <w:sig w:usb0="00000000" w:usb1="00000000" w:usb2="00000000" w:usb3="00000000" w:csb0="80000000" w:csb1="00000000"/>
  </w:font>
  <w:font w:name="Cambria Math">
    <w:panose1 w:val="02040503050406030204"/>
    <w:charset w:val="00"/>
    <w:family w:val="auto"/>
    <w:pitch w:val="default"/>
    <w:sig w:usb0="E00006FF" w:usb1="420024FF" w:usb2="02000000" w:usb3="00000000" w:csb0="2000019F" w:csb1="00000000"/>
  </w:font>
  <w:font w:name="微软雅黑">
    <w:panose1 w:val="020B0503020204020204"/>
    <w:charset w:val="86"/>
    <w:family w:val="auto"/>
    <w:pitch w:val="default"/>
    <w:sig w:usb0="80000287" w:usb1="2ACF3C50" w:usb2="00000016" w:usb3="00000000" w:csb0="0004001F"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B4DFCF">
    <w:pPr>
      <w:pStyle w:val="16"/>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E04B6B">
    <w:pPr>
      <w:pStyle w:val="16"/>
      <w:framePr w:wrap="around" w:vAnchor="text" w:hAnchor="margin" w:xAlign="outside" w:y="1"/>
      <w:rPr>
        <w:rStyle w:val="24"/>
      </w:rPr>
    </w:pPr>
    <w:r>
      <w:rPr>
        <w:rStyle w:val="24"/>
      </w:rPr>
      <w:fldChar w:fldCharType="begin"/>
    </w:r>
    <w:r>
      <w:rPr>
        <w:rStyle w:val="24"/>
      </w:rPr>
      <w:instrText xml:space="preserve">PAGE  </w:instrText>
    </w:r>
    <w:r>
      <w:rPr>
        <w:rStyle w:val="24"/>
      </w:rPr>
      <w:fldChar w:fldCharType="end"/>
    </w:r>
  </w:p>
  <w:p w14:paraId="7BE9D0F8">
    <w:pPr>
      <w:pStyle w:val="16"/>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B3BBD6D">
    <w:pPr>
      <w:pStyle w:val="16"/>
      <w:ind w:right="360" w:firstLine="360"/>
      <w:jc w:val="center"/>
    </w:pPr>
    <w:r>
      <w:rPr>
        <w:sz w:val="18"/>
      </w:rPr>
      <mc:AlternateContent>
        <mc:Choice Requires="wps">
          <w:drawing>
            <wp:anchor distT="0" distB="0" distL="114300" distR="114300" simplePos="0" relativeHeight="251659264" behindDoc="0" locked="0" layoutInCell="1" allowOverlap="1">
              <wp:simplePos x="0" y="0"/>
              <wp:positionH relativeFrom="margin">
                <wp:align>outside</wp:align>
              </wp:positionH>
              <wp:positionV relativeFrom="paragraph">
                <wp:posOffset>0</wp:posOffset>
              </wp:positionV>
              <wp:extent cx="1828800" cy="1828800"/>
              <wp:effectExtent l="0" t="0" r="0" b="0"/>
              <wp:wrapNone/>
              <wp:docPr id="160" name="文本框 10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6DB85134">
                          <w:pPr>
                            <w:pStyle w:val="16"/>
                            <w:rPr>
                              <w:rStyle w:val="24"/>
                              <w:rFonts w:ascii="宋体" w:hAnsi="宋体"/>
                              <w:sz w:val="28"/>
                              <w:szCs w:val="28"/>
                            </w:rPr>
                          </w:pPr>
                          <w:r>
                            <w:rPr>
                              <w:rStyle w:val="24"/>
                              <w:rFonts w:hint="eastAsia" w:ascii="宋体" w:hAnsi="宋体"/>
                              <w:sz w:val="28"/>
                              <w:szCs w:val="28"/>
                            </w:rPr>
                            <w:t>—</w:t>
                          </w:r>
                          <w:r>
                            <w:rPr>
                              <w:rStyle w:val="24"/>
                              <w:rFonts w:hint="eastAsia" w:ascii="宋体" w:hAnsi="宋体"/>
                              <w:sz w:val="20"/>
                              <w:szCs w:val="20"/>
                            </w:rPr>
                            <w:t xml:space="preserve">  </w:t>
                          </w:r>
                          <w:r>
                            <w:rPr>
                              <w:rStyle w:val="24"/>
                              <w:rFonts w:ascii="宋体" w:hAnsi="宋体"/>
                              <w:sz w:val="26"/>
                              <w:szCs w:val="26"/>
                            </w:rPr>
                            <w:fldChar w:fldCharType="begin"/>
                          </w:r>
                          <w:r>
                            <w:rPr>
                              <w:rStyle w:val="24"/>
                              <w:rFonts w:ascii="宋体" w:hAnsi="宋体"/>
                              <w:sz w:val="26"/>
                              <w:szCs w:val="26"/>
                            </w:rPr>
                            <w:instrText xml:space="preserve">PAGE  </w:instrText>
                          </w:r>
                          <w:r>
                            <w:rPr>
                              <w:rStyle w:val="24"/>
                              <w:rFonts w:ascii="宋体" w:hAnsi="宋体"/>
                              <w:sz w:val="26"/>
                              <w:szCs w:val="26"/>
                            </w:rPr>
                            <w:fldChar w:fldCharType="separate"/>
                          </w:r>
                          <w:r>
                            <w:rPr>
                              <w:rStyle w:val="24"/>
                              <w:rFonts w:ascii="宋体" w:hAnsi="宋体"/>
                              <w:sz w:val="26"/>
                              <w:szCs w:val="26"/>
                            </w:rPr>
                            <w:t>22</w:t>
                          </w:r>
                          <w:r>
                            <w:rPr>
                              <w:rStyle w:val="24"/>
                              <w:rFonts w:ascii="宋体" w:hAnsi="宋体"/>
                              <w:sz w:val="26"/>
                              <w:szCs w:val="26"/>
                            </w:rPr>
                            <w:fldChar w:fldCharType="end"/>
                          </w:r>
                          <w:r>
                            <w:rPr>
                              <w:rStyle w:val="24"/>
                              <w:rFonts w:hint="eastAsia" w:ascii="宋体" w:hAnsi="宋体"/>
                              <w:sz w:val="20"/>
                              <w:szCs w:val="20"/>
                            </w:rPr>
                            <w:t xml:space="preserve">  </w:t>
                          </w:r>
                          <w:r>
                            <w:rPr>
                              <w:rStyle w:val="24"/>
                              <w:rFonts w:hint="eastAsia" w:ascii="宋体" w:hAnsi="宋体"/>
                              <w:sz w:val="28"/>
                              <w:szCs w:val="28"/>
                            </w:rPr>
                            <w:t>—</w:t>
                          </w:r>
                        </w:p>
                      </w:txbxContent>
                    </wps:txbx>
                    <wps:bodyPr vert="horz" wrap="none" lIns="0" tIns="0" rIns="0" bIns="0" anchor="t" anchorCtr="0" upright="0">
                      <a:spAutoFit/>
                    </wps:bodyPr>
                  </wps:wsp>
                </a:graphicData>
              </a:graphic>
            </wp:anchor>
          </w:drawing>
        </mc:Choice>
        <mc:Fallback>
          <w:pict>
            <v:shape id="文本框 1025" o:spid="_x0000_s1026" o:spt="202" type="#_x0000_t202" style="position:absolute;left:0pt;margin-top:0pt;height:144pt;width:144pt;mso-position-horizontal:outside;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M6pebnPAAAABQEAAA8AAAAAAAAA&#10;AQAgAAAAIgAAAGRycy9kb3ducmV2LnhtbFBLAQIUABQAAAAIAIdO4kCK6xgO4QEAAMMDAAAOAAAA&#10;AAAAAAEAIAAAAB4BAABkcnMvZTJvRG9jLnhtbFBLBQYAAAAABgAGAFkBAABxBQAAAAA=&#10;">
              <v:fill on="f" focussize="0,0"/>
              <v:stroke on="f"/>
              <v:imagedata o:title=""/>
              <o:lock v:ext="edit" aspectratio="f"/>
              <v:textbox inset="0mm,0mm,0mm,0mm" style="mso-fit-shape-to-text:t;">
                <w:txbxContent>
                  <w:p w14:paraId="6DB85134">
                    <w:pPr>
                      <w:pStyle w:val="16"/>
                      <w:rPr>
                        <w:rStyle w:val="24"/>
                        <w:rFonts w:ascii="宋体" w:hAnsi="宋体"/>
                        <w:sz w:val="28"/>
                        <w:szCs w:val="28"/>
                      </w:rPr>
                    </w:pPr>
                    <w:r>
                      <w:rPr>
                        <w:rStyle w:val="24"/>
                        <w:rFonts w:hint="eastAsia" w:ascii="宋体" w:hAnsi="宋体"/>
                        <w:sz w:val="28"/>
                        <w:szCs w:val="28"/>
                      </w:rPr>
                      <w:t>—</w:t>
                    </w:r>
                    <w:r>
                      <w:rPr>
                        <w:rStyle w:val="24"/>
                        <w:rFonts w:hint="eastAsia" w:ascii="宋体" w:hAnsi="宋体"/>
                        <w:sz w:val="20"/>
                        <w:szCs w:val="20"/>
                      </w:rPr>
                      <w:t xml:space="preserve">  </w:t>
                    </w:r>
                    <w:r>
                      <w:rPr>
                        <w:rStyle w:val="24"/>
                        <w:rFonts w:ascii="宋体" w:hAnsi="宋体"/>
                        <w:sz w:val="26"/>
                        <w:szCs w:val="26"/>
                      </w:rPr>
                      <w:fldChar w:fldCharType="begin"/>
                    </w:r>
                    <w:r>
                      <w:rPr>
                        <w:rStyle w:val="24"/>
                        <w:rFonts w:ascii="宋体" w:hAnsi="宋体"/>
                        <w:sz w:val="26"/>
                        <w:szCs w:val="26"/>
                      </w:rPr>
                      <w:instrText xml:space="preserve">PAGE  </w:instrText>
                    </w:r>
                    <w:r>
                      <w:rPr>
                        <w:rStyle w:val="24"/>
                        <w:rFonts w:ascii="宋体" w:hAnsi="宋体"/>
                        <w:sz w:val="26"/>
                        <w:szCs w:val="26"/>
                      </w:rPr>
                      <w:fldChar w:fldCharType="separate"/>
                    </w:r>
                    <w:r>
                      <w:rPr>
                        <w:rStyle w:val="24"/>
                        <w:rFonts w:ascii="宋体" w:hAnsi="宋体"/>
                        <w:sz w:val="26"/>
                        <w:szCs w:val="26"/>
                      </w:rPr>
                      <w:t>22</w:t>
                    </w:r>
                    <w:r>
                      <w:rPr>
                        <w:rStyle w:val="24"/>
                        <w:rFonts w:ascii="宋体" w:hAnsi="宋体"/>
                        <w:sz w:val="26"/>
                        <w:szCs w:val="26"/>
                      </w:rPr>
                      <w:fldChar w:fldCharType="end"/>
                    </w:r>
                    <w:r>
                      <w:rPr>
                        <w:rStyle w:val="24"/>
                        <w:rFonts w:hint="eastAsia" w:ascii="宋体" w:hAnsi="宋体"/>
                        <w:sz w:val="20"/>
                        <w:szCs w:val="20"/>
                      </w:rPr>
                      <w:t xml:space="preserve">  </w:t>
                    </w:r>
                    <w:r>
                      <w:rPr>
                        <w:rStyle w:val="24"/>
                        <w:rFonts w:hint="eastAsia" w:ascii="宋体" w:hAnsi="宋体"/>
                        <w:sz w:val="28"/>
                        <w:szCs w:val="28"/>
                      </w:rPr>
                      <w:t>—</w:t>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8C16798">
    <w:pPr>
      <w:keepNext w:val="0"/>
      <w:tabs>
        <w:tab w:val="center" w:pos="4422"/>
        <w:tab w:val="right" w:pos="8306"/>
      </w:tabs>
      <w:adjustRightInd/>
      <w:snapToGrid/>
      <w:ind w:firstLine="480" w:firstLineChars="200"/>
      <w:rPr>
        <w:rFonts w:ascii="Times New Roman" w:hAnsi="Times New Roman" w:eastAsia="宋体" w:cs="Times New Roman"/>
      </w:rPr>
    </w:pPr>
    <w:r>
      <w:rPr>
        <w:sz w:val="24"/>
      </w:rPr>
      <mc:AlternateContent>
        <mc:Choice Requires="wps">
          <w:drawing>
            <wp:anchor distT="0" distB="0" distL="114300" distR="114300" simplePos="0" relativeHeight="251660288" behindDoc="0" locked="0" layoutInCell="1" allowOverlap="1">
              <wp:simplePos x="0" y="0"/>
              <wp:positionH relativeFrom="margin">
                <wp:align>outside</wp:align>
              </wp:positionH>
              <wp:positionV relativeFrom="paragraph">
                <wp:posOffset>0</wp:posOffset>
              </wp:positionV>
              <wp:extent cx="1828800" cy="1828800"/>
              <wp:effectExtent l="0" t="0" r="0" b="0"/>
              <wp:wrapNone/>
              <wp:docPr id="16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txbx>
                      <w:txbxContent>
                        <w:p w14:paraId="7B7315E0">
                          <w:pPr>
                            <w:pStyle w:val="16"/>
                            <w:rPr>
                              <w:rFonts w:hint="eastAsia" w:ascii="宋体" w:hAnsi="宋体" w:eastAsia="宋体" w:cs="宋体"/>
                              <w:sz w:val="26"/>
                              <w:szCs w:val="26"/>
                            </w:rPr>
                          </w:pPr>
                          <w:r>
                            <w:rPr>
                              <w:rFonts w:hint="eastAsia" w:ascii="宋体" w:hAnsi="宋体" w:cs="宋体"/>
                              <w:sz w:val="26"/>
                              <w:szCs w:val="26"/>
                              <w:lang w:eastAsia="zh-CN"/>
                            </w:rPr>
                            <w:t>—</w:t>
                          </w:r>
                          <w:r>
                            <w:rPr>
                              <w:rFonts w:hint="eastAsia" w:ascii="宋体" w:hAnsi="宋体" w:cs="宋体"/>
                              <w:sz w:val="20"/>
                              <w:szCs w:val="20"/>
                              <w:lang w:val="en-US" w:eastAsia="zh-CN"/>
                            </w:rPr>
                            <w:t xml:space="preserve">  </w:t>
                          </w:r>
                          <w:r>
                            <w:rPr>
                              <w:rFonts w:hint="eastAsia" w:ascii="宋体" w:hAnsi="宋体" w:eastAsia="宋体" w:cs="宋体"/>
                              <w:sz w:val="26"/>
                              <w:szCs w:val="26"/>
                            </w:rPr>
                            <w:fldChar w:fldCharType="begin"/>
                          </w:r>
                          <w:r>
                            <w:rPr>
                              <w:rFonts w:hint="eastAsia" w:ascii="宋体" w:hAnsi="宋体" w:eastAsia="宋体" w:cs="宋体"/>
                              <w:sz w:val="26"/>
                              <w:szCs w:val="26"/>
                            </w:rPr>
                            <w:instrText xml:space="preserve"> PAGE  \* MERGEFORMAT </w:instrText>
                          </w:r>
                          <w:r>
                            <w:rPr>
                              <w:rFonts w:hint="eastAsia" w:ascii="宋体" w:hAnsi="宋体" w:eastAsia="宋体" w:cs="宋体"/>
                              <w:sz w:val="26"/>
                              <w:szCs w:val="26"/>
                            </w:rPr>
                            <w:fldChar w:fldCharType="separate"/>
                          </w:r>
                          <w:r>
                            <w:rPr>
                              <w:rFonts w:hint="eastAsia" w:ascii="宋体" w:hAnsi="宋体" w:eastAsia="宋体" w:cs="宋体"/>
                              <w:sz w:val="26"/>
                              <w:szCs w:val="26"/>
                            </w:rPr>
                            <w:t>3</w:t>
                          </w:r>
                          <w:r>
                            <w:rPr>
                              <w:rFonts w:hint="eastAsia" w:ascii="宋体" w:hAnsi="宋体" w:eastAsia="宋体" w:cs="宋体"/>
                              <w:sz w:val="26"/>
                              <w:szCs w:val="26"/>
                            </w:rPr>
                            <w:fldChar w:fldCharType="end"/>
                          </w:r>
                          <w:r>
                            <w:rPr>
                              <w:rFonts w:hint="eastAsia" w:ascii="宋体" w:hAnsi="宋体" w:cs="宋体"/>
                              <w:sz w:val="20"/>
                              <w:szCs w:val="20"/>
                              <w:lang w:val="en-US" w:eastAsia="zh-CN"/>
                            </w:rPr>
                            <w:t xml:space="preserve">  </w:t>
                          </w:r>
                          <w:r>
                            <w:rPr>
                              <w:rFonts w:hint="eastAsia" w:ascii="宋体" w:hAnsi="宋体" w:cs="宋体"/>
                              <w:sz w:val="26"/>
                              <w:szCs w:val="26"/>
                              <w:lang w:val="en-US" w:eastAsia="zh-CN"/>
                            </w:rPr>
                            <w:t>—</w:t>
                          </w:r>
                        </w:p>
                      </w:txbxContent>
                    </wps:txbx>
                    <wps:bodyPr vert="horz" wrap="none" lIns="0" tIns="0" rIns="0" bIns="0" anchor="t" anchorCtr="0" upright="0">
                      <a:spAutoFit/>
                    </wps:bodyPr>
                  </wps:wsp>
                </a:graphicData>
              </a:graphic>
            </wp:anchor>
          </w:drawing>
        </mc:Choice>
        <mc:Fallback>
          <w:pict>
            <v:shape id="文本框 1" o:spid="_x0000_s1026" o:spt="202" type="#_x0000_t202" style="position:absolute;left:0pt;margin-top:0pt;height:144pt;width:144pt;mso-position-horizontal:outside;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CzSVju0AAAAAUBAAAP&#10;AAAAAAAAAAEAIAAAACIAAABkcnMvZG93bnJldi54bWxQSwECFAAUAAAACACHTuJAzNZbm+cBAADJ&#10;AwAADgAAAAAAAAABACAAAAAfAQAAZHJzL2Uyb0RvYy54bWxQSwUGAAAAAAYABgBZAQAAeAUAAAAA&#10;">
              <v:fill on="f" focussize="0,0"/>
              <v:stroke on="f" weight="0.5pt"/>
              <v:imagedata o:title=""/>
              <o:lock v:ext="edit" aspectratio="f"/>
              <v:textbox inset="0mm,0mm,0mm,0mm" style="mso-fit-shape-to-text:t;">
                <w:txbxContent>
                  <w:p w14:paraId="7B7315E0">
                    <w:pPr>
                      <w:pStyle w:val="16"/>
                      <w:rPr>
                        <w:rFonts w:hint="eastAsia" w:ascii="宋体" w:hAnsi="宋体" w:eastAsia="宋体" w:cs="宋体"/>
                        <w:sz w:val="26"/>
                        <w:szCs w:val="26"/>
                      </w:rPr>
                    </w:pPr>
                    <w:r>
                      <w:rPr>
                        <w:rFonts w:hint="eastAsia" w:ascii="宋体" w:hAnsi="宋体" w:cs="宋体"/>
                        <w:sz w:val="26"/>
                        <w:szCs w:val="26"/>
                        <w:lang w:eastAsia="zh-CN"/>
                      </w:rPr>
                      <w:t>—</w:t>
                    </w:r>
                    <w:r>
                      <w:rPr>
                        <w:rFonts w:hint="eastAsia" w:ascii="宋体" w:hAnsi="宋体" w:cs="宋体"/>
                        <w:sz w:val="20"/>
                        <w:szCs w:val="20"/>
                        <w:lang w:val="en-US" w:eastAsia="zh-CN"/>
                      </w:rPr>
                      <w:t xml:space="preserve">  </w:t>
                    </w:r>
                    <w:r>
                      <w:rPr>
                        <w:rFonts w:hint="eastAsia" w:ascii="宋体" w:hAnsi="宋体" w:eastAsia="宋体" w:cs="宋体"/>
                        <w:sz w:val="26"/>
                        <w:szCs w:val="26"/>
                      </w:rPr>
                      <w:fldChar w:fldCharType="begin"/>
                    </w:r>
                    <w:r>
                      <w:rPr>
                        <w:rFonts w:hint="eastAsia" w:ascii="宋体" w:hAnsi="宋体" w:eastAsia="宋体" w:cs="宋体"/>
                        <w:sz w:val="26"/>
                        <w:szCs w:val="26"/>
                      </w:rPr>
                      <w:instrText xml:space="preserve"> PAGE  \* MERGEFORMAT </w:instrText>
                    </w:r>
                    <w:r>
                      <w:rPr>
                        <w:rFonts w:hint="eastAsia" w:ascii="宋体" w:hAnsi="宋体" w:eastAsia="宋体" w:cs="宋体"/>
                        <w:sz w:val="26"/>
                        <w:szCs w:val="26"/>
                      </w:rPr>
                      <w:fldChar w:fldCharType="separate"/>
                    </w:r>
                    <w:r>
                      <w:rPr>
                        <w:rFonts w:hint="eastAsia" w:ascii="宋体" w:hAnsi="宋体" w:eastAsia="宋体" w:cs="宋体"/>
                        <w:sz w:val="26"/>
                        <w:szCs w:val="26"/>
                      </w:rPr>
                      <w:t>3</w:t>
                    </w:r>
                    <w:r>
                      <w:rPr>
                        <w:rFonts w:hint="eastAsia" w:ascii="宋体" w:hAnsi="宋体" w:eastAsia="宋体" w:cs="宋体"/>
                        <w:sz w:val="26"/>
                        <w:szCs w:val="26"/>
                      </w:rPr>
                      <w:fldChar w:fldCharType="end"/>
                    </w:r>
                    <w:r>
                      <w:rPr>
                        <w:rFonts w:hint="eastAsia" w:ascii="宋体" w:hAnsi="宋体" w:cs="宋体"/>
                        <w:sz w:val="20"/>
                        <w:szCs w:val="20"/>
                        <w:lang w:val="en-US" w:eastAsia="zh-CN"/>
                      </w:rPr>
                      <w:t xml:space="preserve">  </w:t>
                    </w:r>
                    <w:r>
                      <w:rPr>
                        <w:rFonts w:hint="eastAsia" w:ascii="宋体" w:hAnsi="宋体" w:cs="宋体"/>
                        <w:sz w:val="26"/>
                        <w:szCs w:val="26"/>
                        <w:lang w:val="en-US" w:eastAsia="zh-CN"/>
                      </w:rPr>
                      <w:t>—</w:t>
                    </w:r>
                  </w:p>
                </w:txbxContent>
              </v:textbox>
            </v:shape>
          </w:pict>
        </mc:Fallback>
      </mc:AlternateContent>
    </w:r>
    <w:r>
      <w:rPr>
        <w:rFonts w:hint="eastAsia" w:cs="Times New Roman"/>
        <w:lang w:eastAsia="zh-CN"/>
      </w:rP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pPr>
      <w:r>
        <w:separator/>
      </w:r>
    </w:p>
  </w:footnote>
  <w:footnote w:type="continuationSeparator" w:id="1">
    <w:p>
      <w:pPr>
        <w:spacing w:line="36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0023D80">
    <w:pPr>
      <w:pStyle w:val="17"/>
      <w:pBdr>
        <w:bottom w:val="none" w:color="auto" w:sz="0" w:space="1"/>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B94FB2D">
    <w:pPr>
      <w:keepNext w:val="0"/>
      <w:adjustRightInd/>
      <w:snapToGrid/>
      <w:ind w:left="0" w:leftChars="0" w:firstLine="0" w:firstLineChars="0"/>
      <w:rPr>
        <w:rFonts w:ascii="Times New Roman" w:hAnsi="Times New Roman" w:eastAsia="宋体" w:cs="Times New Roman"/>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AF86197"/>
    <w:multiLevelType w:val="multilevel"/>
    <w:tmpl w:val="9AF86197"/>
    <w:lvl w:ilvl="0" w:tentative="0">
      <w:start w:val="1"/>
      <w:numFmt w:val="chineseCounting"/>
      <w:suff w:val="nothing"/>
      <w:lvlText w:val="第%1章 "/>
      <w:lvlJc w:val="left"/>
      <w:pPr>
        <w:tabs>
          <w:tab w:val="left" w:pos="0"/>
        </w:tabs>
        <w:ind w:left="425" w:hanging="425"/>
      </w:pPr>
      <w:rPr>
        <w:rFonts w:hint="eastAsia"/>
      </w:rPr>
    </w:lvl>
    <w:lvl w:ilvl="1" w:tentative="0">
      <w:start w:val="1"/>
      <w:numFmt w:val="decimal"/>
      <w:isLgl/>
      <w:lvlText w:val="%1.%2."/>
      <w:lvlJc w:val="left"/>
      <w:pPr>
        <w:tabs>
          <w:tab w:val="left" w:pos="420"/>
        </w:tabs>
        <w:ind w:left="567" w:hanging="567"/>
      </w:pPr>
      <w:rPr>
        <w:rFonts w:hint="eastAsia"/>
      </w:rPr>
    </w:lvl>
    <w:lvl w:ilvl="2" w:tentative="0">
      <w:start w:val="1"/>
      <w:numFmt w:val="decimal"/>
      <w:isLgl/>
      <w:lvlText w:val="%1.%2.%3."/>
      <w:lvlJc w:val="left"/>
      <w:pPr>
        <w:ind w:left="709" w:hanging="709"/>
      </w:pPr>
      <w:rPr>
        <w:rFonts w:hint="eastAsia"/>
      </w:rPr>
    </w:lvl>
    <w:lvl w:ilvl="3" w:tentative="0">
      <w:start w:val="1"/>
      <w:numFmt w:val="decimal"/>
      <w:isLgl/>
      <w:lvlText w:val="%1.%2.%3.%4."/>
      <w:lvlJc w:val="left"/>
      <w:pPr>
        <w:ind w:left="850" w:hanging="850"/>
      </w:pPr>
      <w:rPr>
        <w:rFonts w:hint="eastAsia"/>
      </w:rPr>
    </w:lvl>
    <w:lvl w:ilvl="4" w:tentative="0">
      <w:start w:val="1"/>
      <w:numFmt w:val="decimal"/>
      <w:pStyle w:val="6"/>
      <w:lvlText w:val="附图%5"/>
      <w:lvlJc w:val="left"/>
      <w:pPr>
        <w:tabs>
          <w:tab w:val="left" w:pos="420"/>
        </w:tabs>
        <w:ind w:left="991" w:hanging="991"/>
      </w:pPr>
      <w:rPr>
        <w:rFonts w:hint="eastAsia" w:ascii="Times New Roman" w:hAnsi="Times New Roman" w:eastAsia="宋体" w:cs="宋体"/>
        <w:sz w:val="32"/>
      </w:rPr>
    </w:lvl>
    <w:lvl w:ilvl="5" w:tentative="0">
      <w:start w:val="1"/>
      <w:numFmt w:val="decimal"/>
      <w:pStyle w:val="7"/>
      <w:lvlText w:val="附件%6"/>
      <w:lvlJc w:val="left"/>
      <w:pPr>
        <w:ind w:left="1134" w:hanging="1134"/>
      </w:pPr>
      <w:rPr>
        <w:rFonts w:hint="eastAsia" w:ascii="Times New Roman" w:hAnsi="Times New Roman" w:eastAsia="宋体" w:cs="宋体"/>
        <w:sz w:val="32"/>
      </w:rPr>
    </w:lvl>
    <w:lvl w:ilvl="6" w:tentative="0">
      <w:start w:val="1"/>
      <w:numFmt w:val="decimal"/>
      <w:isLgl/>
      <w:lvlText w:val="%1.%2.%3.%4.%5.%6.%7."/>
      <w:lvlJc w:val="left"/>
      <w:pPr>
        <w:ind w:left="1275" w:hanging="1275"/>
      </w:pPr>
      <w:rPr>
        <w:rFonts w:hint="eastAsia"/>
      </w:rPr>
    </w:lvl>
    <w:lvl w:ilvl="7" w:tentative="0">
      <w:start w:val="1"/>
      <w:numFmt w:val="decimal"/>
      <w:isLgl/>
      <w:lvlText w:val="%1.%2.%3.%4.%5.%6.%7.%8."/>
      <w:lvlJc w:val="left"/>
      <w:pPr>
        <w:ind w:left="1418" w:hanging="1418"/>
      </w:pPr>
      <w:rPr>
        <w:rFonts w:hint="eastAsia"/>
      </w:rPr>
    </w:lvl>
    <w:lvl w:ilvl="8" w:tentative="0">
      <w:start w:val="1"/>
      <w:numFmt w:val="decimal"/>
      <w:isLgl/>
      <w:lvlText w:val="%1.%2.%3.%4.%5.%6.%7.%8.%9."/>
      <w:lvlJc w:val="left"/>
      <w:pPr>
        <w:ind w:left="1558" w:hanging="1558"/>
      </w:pPr>
      <w:rPr>
        <w:rFonts w:hint="eastAsia"/>
      </w:rPr>
    </w:lvl>
  </w:abstractNum>
  <w:abstractNum w:abstractNumId="1">
    <w:nsid w:val="A0DB22D2"/>
    <w:multiLevelType w:val="singleLevel"/>
    <w:tmpl w:val="A0DB22D2"/>
    <w:lvl w:ilvl="0" w:tentative="0">
      <w:start w:val="1"/>
      <w:numFmt w:val="lowerLetter"/>
      <w:suff w:val="nothing"/>
      <w:lvlText w:val="%1）"/>
      <w:lvlJc w:val="left"/>
    </w:lvl>
  </w:abstractNum>
  <w:abstractNum w:abstractNumId="2">
    <w:nsid w:val="AAEC8E41"/>
    <w:multiLevelType w:val="singleLevel"/>
    <w:tmpl w:val="AAEC8E41"/>
    <w:lvl w:ilvl="0" w:tentative="0">
      <w:start w:val="1"/>
      <w:numFmt w:val="decimal"/>
      <w:suff w:val="nothing"/>
      <w:lvlText w:val="（%1）"/>
      <w:lvlJc w:val="left"/>
    </w:lvl>
  </w:abstractNum>
  <w:abstractNum w:abstractNumId="3">
    <w:nsid w:val="CBF45B16"/>
    <w:multiLevelType w:val="multilevel"/>
    <w:tmpl w:val="CBF45B16"/>
    <w:lvl w:ilvl="0" w:tentative="0">
      <w:start w:val="1"/>
      <w:numFmt w:val="chineseCounting"/>
      <w:pStyle w:val="2"/>
      <w:suff w:val="nothing"/>
      <w:lvlText w:val="%1、"/>
      <w:lvlJc w:val="left"/>
      <w:pPr>
        <w:tabs>
          <w:tab w:val="left" w:pos="420"/>
        </w:tabs>
        <w:ind w:left="425" w:hanging="425"/>
      </w:pPr>
      <w:rPr>
        <w:rFonts w:hint="eastAsia" w:ascii="Times New Roman" w:hAnsi="Times New Roman" w:eastAsia="黑体" w:cs="仿宋"/>
        <w:b w:val="0"/>
        <w:sz w:val="30"/>
        <w:szCs w:val="30"/>
      </w:rPr>
    </w:lvl>
    <w:lvl w:ilvl="1" w:tentative="0">
      <w:start w:val="1"/>
      <w:numFmt w:val="decimal"/>
      <w:pStyle w:val="3"/>
      <w:isLgl/>
      <w:lvlText w:val="%1.%2"/>
      <w:lvlJc w:val="left"/>
      <w:pPr>
        <w:tabs>
          <w:tab w:val="left" w:pos="420"/>
        </w:tabs>
        <w:ind w:left="567" w:hanging="567"/>
      </w:pPr>
      <w:rPr>
        <w:rFonts w:hint="eastAsia" w:ascii="Times New Roman" w:hAnsi="Times New Roman" w:eastAsia="宋体" w:cs="Times New Roman"/>
        <w:sz w:val="28"/>
        <w:szCs w:val="28"/>
      </w:rPr>
    </w:lvl>
    <w:lvl w:ilvl="2" w:tentative="0">
      <w:start w:val="1"/>
      <w:numFmt w:val="decimal"/>
      <w:pStyle w:val="4"/>
      <w:isLgl/>
      <w:lvlText w:val="%1.%2.%3"/>
      <w:lvlJc w:val="left"/>
      <w:pPr>
        <w:tabs>
          <w:tab w:val="left" w:pos="420"/>
        </w:tabs>
        <w:ind w:left="567" w:hanging="567"/>
      </w:pPr>
      <w:rPr>
        <w:rFonts w:hint="eastAsia" w:ascii="Times New Roman" w:hAnsi="Times New Roman" w:eastAsia="宋体" w:cs="仿宋"/>
        <w:sz w:val="24"/>
        <w:szCs w:val="24"/>
      </w:rPr>
    </w:lvl>
    <w:lvl w:ilvl="3" w:tentative="0">
      <w:start w:val="1"/>
      <w:numFmt w:val="decimal"/>
      <w:pStyle w:val="5"/>
      <w:isLgl/>
      <w:lvlText w:val="%1.%2.%3.%4"/>
      <w:lvlJc w:val="left"/>
      <w:pPr>
        <w:tabs>
          <w:tab w:val="left" w:pos="420"/>
        </w:tabs>
        <w:ind w:left="850" w:hanging="850"/>
      </w:pPr>
      <w:rPr>
        <w:rFonts w:hint="eastAsia" w:ascii="Times New Roman" w:hAnsi="Times New Roman" w:eastAsia="宋体" w:cs="仿宋"/>
      </w:rPr>
    </w:lvl>
    <w:lvl w:ilvl="4" w:tentative="0">
      <w:start w:val="1"/>
      <w:numFmt w:val="decimal"/>
      <w:isLgl/>
      <w:lvlText w:val="%1.%2.%3.%4.%5."/>
      <w:lvlJc w:val="left"/>
      <w:pPr>
        <w:ind w:left="991" w:hanging="991"/>
      </w:pPr>
      <w:rPr>
        <w:rFonts w:hint="eastAsia"/>
      </w:rPr>
    </w:lvl>
    <w:lvl w:ilvl="5" w:tentative="0">
      <w:start w:val="1"/>
      <w:numFmt w:val="decimal"/>
      <w:isLgl/>
      <w:lvlText w:val="%1.%2.%3.%4.%5.%6."/>
      <w:lvlJc w:val="left"/>
      <w:pPr>
        <w:ind w:left="1134" w:hanging="1134"/>
      </w:pPr>
      <w:rPr>
        <w:rFonts w:hint="eastAsia"/>
      </w:rPr>
    </w:lvl>
    <w:lvl w:ilvl="6" w:tentative="0">
      <w:start w:val="1"/>
      <w:numFmt w:val="decimal"/>
      <w:isLgl/>
      <w:lvlText w:val="%1.%2.%3.%4.%5.%6.%7."/>
      <w:lvlJc w:val="left"/>
      <w:pPr>
        <w:ind w:left="1275" w:hanging="1275"/>
      </w:pPr>
      <w:rPr>
        <w:rFonts w:hint="eastAsia"/>
      </w:rPr>
    </w:lvl>
    <w:lvl w:ilvl="7" w:tentative="0">
      <w:start w:val="1"/>
      <w:numFmt w:val="decimal"/>
      <w:isLgl/>
      <w:lvlText w:val="%1.%2.%3.%4.%5.%6.%7.%8."/>
      <w:lvlJc w:val="left"/>
      <w:pPr>
        <w:ind w:left="1418" w:hanging="1418"/>
      </w:pPr>
      <w:rPr>
        <w:rFonts w:hint="eastAsia"/>
      </w:rPr>
    </w:lvl>
    <w:lvl w:ilvl="8" w:tentative="0">
      <w:start w:val="1"/>
      <w:numFmt w:val="decimal"/>
      <w:isLgl/>
      <w:lvlText w:val="%1.%2.%3.%4.%5.%6.%7.%8.%9."/>
      <w:lvlJc w:val="left"/>
      <w:pPr>
        <w:ind w:left="1558" w:hanging="1558"/>
      </w:pPr>
      <w:rPr>
        <w:rFonts w:hint="eastAsia"/>
      </w:rPr>
    </w:lvl>
  </w:abstractNum>
  <w:abstractNum w:abstractNumId="4">
    <w:nsid w:val="D04B1347"/>
    <w:multiLevelType w:val="singleLevel"/>
    <w:tmpl w:val="D04B1347"/>
    <w:lvl w:ilvl="0" w:tentative="0">
      <w:start w:val="1"/>
      <w:numFmt w:val="decimal"/>
      <w:suff w:val="nothing"/>
      <w:lvlText w:val="（%1）"/>
      <w:lvlJc w:val="left"/>
    </w:lvl>
  </w:abstractNum>
  <w:abstractNum w:abstractNumId="5">
    <w:nsid w:val="DE169755"/>
    <w:multiLevelType w:val="singleLevel"/>
    <w:tmpl w:val="DE169755"/>
    <w:lvl w:ilvl="0" w:tentative="0">
      <w:start w:val="1"/>
      <w:numFmt w:val="decimal"/>
      <w:suff w:val="nothing"/>
      <w:lvlText w:val="（%1）"/>
      <w:lvlJc w:val="left"/>
    </w:lvl>
  </w:abstractNum>
  <w:abstractNum w:abstractNumId="6">
    <w:nsid w:val="0F000601"/>
    <w:multiLevelType w:val="singleLevel"/>
    <w:tmpl w:val="0F000601"/>
    <w:lvl w:ilvl="0" w:tentative="0">
      <w:start w:val="1"/>
      <w:numFmt w:val="decimal"/>
      <w:suff w:val="nothing"/>
      <w:lvlText w:val="（%1）"/>
      <w:lvlJc w:val="left"/>
    </w:lvl>
  </w:abstractNum>
  <w:abstractNum w:abstractNumId="7">
    <w:nsid w:val="147063B8"/>
    <w:multiLevelType w:val="singleLevel"/>
    <w:tmpl w:val="147063B8"/>
    <w:lvl w:ilvl="0" w:tentative="0">
      <w:start w:val="1"/>
      <w:numFmt w:val="decimal"/>
      <w:suff w:val="nothing"/>
      <w:lvlText w:val="（%1）"/>
      <w:lvlJc w:val="left"/>
    </w:lvl>
  </w:abstractNum>
  <w:abstractNum w:abstractNumId="8">
    <w:nsid w:val="158E81FB"/>
    <w:multiLevelType w:val="singleLevel"/>
    <w:tmpl w:val="158E81FB"/>
    <w:lvl w:ilvl="0" w:tentative="0">
      <w:start w:val="1"/>
      <w:numFmt w:val="decimal"/>
      <w:suff w:val="nothing"/>
      <w:lvlText w:val="（%1）"/>
      <w:lvlJc w:val="left"/>
    </w:lvl>
  </w:abstractNum>
  <w:abstractNum w:abstractNumId="9">
    <w:nsid w:val="53E4EFA4"/>
    <w:multiLevelType w:val="multilevel"/>
    <w:tmpl w:val="53E4EFA4"/>
    <w:lvl w:ilvl="0" w:tentative="0">
      <w:start w:val="1"/>
      <w:numFmt w:val="chineseCounting"/>
      <w:suff w:val="nothing"/>
      <w:lvlText w:val="第%1章 "/>
      <w:lvlJc w:val="left"/>
      <w:pPr>
        <w:ind w:left="432" w:hanging="432"/>
      </w:pPr>
      <w:rPr>
        <w:rFonts w:hint="eastAsia"/>
      </w:rPr>
    </w:lvl>
    <w:lvl w:ilvl="1" w:tentative="0">
      <w:start w:val="1"/>
      <w:numFmt w:val="decimal"/>
      <w:isLgl/>
      <w:lvlText w:val="%1.%2."/>
      <w:lvlJc w:val="left"/>
      <w:pPr>
        <w:ind w:left="575" w:hanging="575"/>
      </w:pPr>
      <w:rPr>
        <w:rFonts w:hint="eastAsia"/>
      </w:rPr>
    </w:lvl>
    <w:lvl w:ilvl="2" w:tentative="0">
      <w:start w:val="1"/>
      <w:numFmt w:val="decimal"/>
      <w:isLgl/>
      <w:lvlText w:val="%1.%2.%3."/>
      <w:lvlJc w:val="left"/>
      <w:pPr>
        <w:ind w:left="720" w:hanging="720"/>
      </w:pPr>
      <w:rPr>
        <w:rFonts w:hint="eastAsia"/>
      </w:rPr>
    </w:lvl>
    <w:lvl w:ilvl="3" w:tentative="0">
      <w:start w:val="1"/>
      <w:numFmt w:val="decimal"/>
      <w:isLgl/>
      <w:lvlText w:val="%1.%2.%3.%4."/>
      <w:lvlJc w:val="left"/>
      <w:pPr>
        <w:ind w:left="864" w:hanging="864"/>
      </w:pPr>
      <w:rPr>
        <w:rFonts w:hint="eastAsia"/>
      </w:rPr>
    </w:lvl>
    <w:lvl w:ilvl="4" w:tentative="0">
      <w:start w:val="1"/>
      <w:numFmt w:val="decimal"/>
      <w:isLgl/>
      <w:lvlText w:val="%1.%2.%3.%4.%5."/>
      <w:lvlJc w:val="left"/>
      <w:pPr>
        <w:ind w:left="1008" w:hanging="1008"/>
      </w:pPr>
      <w:rPr>
        <w:rFonts w:hint="eastAsia"/>
      </w:rPr>
    </w:lvl>
    <w:lvl w:ilvl="5" w:tentative="0">
      <w:start w:val="1"/>
      <w:numFmt w:val="decimal"/>
      <w:isLgl/>
      <w:lvlText w:val="%1.%2.%3.%4.%5.%6."/>
      <w:lvlJc w:val="left"/>
      <w:pPr>
        <w:ind w:left="1151" w:hanging="1151"/>
      </w:pPr>
      <w:rPr>
        <w:rFonts w:hint="eastAsia"/>
      </w:rPr>
    </w:lvl>
    <w:lvl w:ilvl="6" w:tentative="0">
      <w:start w:val="1"/>
      <w:numFmt w:val="decimal"/>
      <w:pStyle w:val="8"/>
      <w:isLgl/>
      <w:lvlText w:val="%1.%2.%3.%4.%5.%6.%7."/>
      <w:lvlJc w:val="left"/>
      <w:pPr>
        <w:ind w:left="1296" w:hanging="1296"/>
      </w:pPr>
      <w:rPr>
        <w:rFonts w:hint="eastAsia"/>
      </w:rPr>
    </w:lvl>
    <w:lvl w:ilvl="7" w:tentative="0">
      <w:start w:val="1"/>
      <w:numFmt w:val="decimal"/>
      <w:pStyle w:val="9"/>
      <w:isLgl/>
      <w:lvlText w:val="%1.%2.%3.%4.%5.%6.%7.%8."/>
      <w:lvlJc w:val="left"/>
      <w:pPr>
        <w:ind w:left="1440" w:hanging="1440"/>
      </w:pPr>
      <w:rPr>
        <w:rFonts w:hint="eastAsia"/>
      </w:rPr>
    </w:lvl>
    <w:lvl w:ilvl="8" w:tentative="0">
      <w:start w:val="1"/>
      <w:numFmt w:val="decimal"/>
      <w:pStyle w:val="10"/>
      <w:isLgl/>
      <w:lvlText w:val="%1.%2.%3.%4.%5.%6.%7.%8.%9."/>
      <w:lvlJc w:val="left"/>
      <w:pPr>
        <w:ind w:left="1583" w:hanging="1583"/>
      </w:pPr>
      <w:rPr>
        <w:rFonts w:hint="eastAsia"/>
      </w:rPr>
    </w:lvl>
  </w:abstractNum>
  <w:abstractNum w:abstractNumId="10">
    <w:nsid w:val="62E13D53"/>
    <w:multiLevelType w:val="singleLevel"/>
    <w:tmpl w:val="62E13D53"/>
    <w:lvl w:ilvl="0" w:tentative="0">
      <w:start w:val="1"/>
      <w:numFmt w:val="upperLetter"/>
      <w:lvlText w:val="%1."/>
      <w:lvlJc w:val="left"/>
      <w:pPr>
        <w:tabs>
          <w:tab w:val="left" w:pos="312"/>
        </w:tabs>
      </w:pPr>
    </w:lvl>
  </w:abstractNum>
  <w:abstractNum w:abstractNumId="11">
    <w:nsid w:val="652B6E5A"/>
    <w:multiLevelType w:val="singleLevel"/>
    <w:tmpl w:val="652B6E5A"/>
    <w:lvl w:ilvl="0" w:tentative="0">
      <w:start w:val="1"/>
      <w:numFmt w:val="decimal"/>
      <w:suff w:val="nothing"/>
      <w:lvlText w:val="（%1）"/>
      <w:lvlJc w:val="left"/>
    </w:lvl>
  </w:abstractNum>
  <w:abstractNum w:abstractNumId="12">
    <w:nsid w:val="6893584D"/>
    <w:multiLevelType w:val="singleLevel"/>
    <w:tmpl w:val="6893584D"/>
    <w:lvl w:ilvl="0" w:tentative="0">
      <w:start w:val="1"/>
      <w:numFmt w:val="upperLetter"/>
      <w:lvlText w:val="%1."/>
      <w:lvlJc w:val="left"/>
      <w:pPr>
        <w:tabs>
          <w:tab w:val="left" w:pos="312"/>
        </w:tabs>
      </w:pPr>
    </w:lvl>
  </w:abstractNum>
  <w:num w:numId="1">
    <w:abstractNumId w:val="3"/>
  </w:num>
  <w:num w:numId="2">
    <w:abstractNumId w:val="0"/>
  </w:num>
  <w:num w:numId="3">
    <w:abstractNumId w:val="9"/>
  </w:num>
  <w:num w:numId="4">
    <w:abstractNumId w:val="8"/>
  </w:num>
  <w:num w:numId="5">
    <w:abstractNumId w:val="4"/>
  </w:num>
  <w:num w:numId="6">
    <w:abstractNumId w:val="1"/>
  </w:num>
  <w:num w:numId="7">
    <w:abstractNumId w:val="12"/>
  </w:num>
  <w:num w:numId="8">
    <w:abstractNumId w:val="10"/>
  </w:num>
  <w:num w:numId="9">
    <w:abstractNumId w:val="6"/>
  </w:num>
  <w:num w:numId="10">
    <w:abstractNumId w:val="2"/>
  </w:num>
  <w:num w:numId="11">
    <w:abstractNumId w:val="7"/>
  </w:num>
  <w:num w:numId="12">
    <w:abstractNumId w:val="5"/>
  </w:num>
  <w:num w:numId="13">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hyphenationZone w:val="360"/>
  <w:doNotHyphenateCaps/>
  <w:drawingGridHorizontalSpacing w:val="105"/>
  <w:drawingGridVerticalSpacing w:val="156"/>
  <w:displayHorizontalDrawingGridEvery w:val="1"/>
  <w:displayVerticalDrawingGridEvery w:val="1"/>
  <w:noPunctuationKerning w:val="1"/>
  <w:characterSpacingControl w:val="compressPunctuation"/>
  <w:noLineBreaksAfter w:lang="zh-CN" w:val="$([{£¥·‘“〈《「『【〔〖〝﹙﹛﹝＄（．［｛￡￥"/>
  <w:noLineBreaksBefore w:lang="zh-CN" w:val="!%),.:;&gt;?]}¢¨°·ˇˉ―‖’”…‰′″›℃∶、。〃〉》」』】〕〗〞︶︺︾﹀﹄﹚﹜﹞！＂％＇），．：；？］｀｜｝～￠"/>
  <w:doNotValidateAgainstSchema/>
  <w:doNotDemarcateInvalidXml/>
  <w:hdrShapeDefaults>
    <o:shapelayout v:ext="edit">
      <o:idmap v:ext="edit" data="3"/>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TE4N2NmM2M3Yzc4ZDM3ZmRjNGVlNzcxYzU1MDAwNTkifQ=="/>
  </w:docVars>
  <w:rsids>
    <w:rsidRoot w:val="00172A27"/>
    <w:rsid w:val="00001CED"/>
    <w:rsid w:val="00001E67"/>
    <w:rsid w:val="00003CD8"/>
    <w:rsid w:val="00014965"/>
    <w:rsid w:val="0001523A"/>
    <w:rsid w:val="00016ECB"/>
    <w:rsid w:val="000269F6"/>
    <w:rsid w:val="00031939"/>
    <w:rsid w:val="00032D25"/>
    <w:rsid w:val="000428C1"/>
    <w:rsid w:val="0005219D"/>
    <w:rsid w:val="0005568F"/>
    <w:rsid w:val="0006153D"/>
    <w:rsid w:val="00061B1F"/>
    <w:rsid w:val="000664DB"/>
    <w:rsid w:val="0007127D"/>
    <w:rsid w:val="00071AE5"/>
    <w:rsid w:val="00074783"/>
    <w:rsid w:val="000801E0"/>
    <w:rsid w:val="00082A29"/>
    <w:rsid w:val="0008331D"/>
    <w:rsid w:val="00083C18"/>
    <w:rsid w:val="00092899"/>
    <w:rsid w:val="000A178E"/>
    <w:rsid w:val="000A1FDC"/>
    <w:rsid w:val="000A557E"/>
    <w:rsid w:val="000B058F"/>
    <w:rsid w:val="000B693F"/>
    <w:rsid w:val="000C09AC"/>
    <w:rsid w:val="000C0A63"/>
    <w:rsid w:val="000C437E"/>
    <w:rsid w:val="000D7B12"/>
    <w:rsid w:val="000E5F16"/>
    <w:rsid w:val="000F4452"/>
    <w:rsid w:val="000F6DA1"/>
    <w:rsid w:val="000F701B"/>
    <w:rsid w:val="001056A0"/>
    <w:rsid w:val="00115279"/>
    <w:rsid w:val="00117459"/>
    <w:rsid w:val="0011749A"/>
    <w:rsid w:val="00127A68"/>
    <w:rsid w:val="00140B13"/>
    <w:rsid w:val="00141B68"/>
    <w:rsid w:val="001466DA"/>
    <w:rsid w:val="00154DE1"/>
    <w:rsid w:val="00155B40"/>
    <w:rsid w:val="00157435"/>
    <w:rsid w:val="00163EEA"/>
    <w:rsid w:val="00167A07"/>
    <w:rsid w:val="0017046A"/>
    <w:rsid w:val="001704A3"/>
    <w:rsid w:val="0017504D"/>
    <w:rsid w:val="00177422"/>
    <w:rsid w:val="00184F10"/>
    <w:rsid w:val="00185546"/>
    <w:rsid w:val="0019146B"/>
    <w:rsid w:val="00194398"/>
    <w:rsid w:val="001A7D2A"/>
    <w:rsid w:val="001B574C"/>
    <w:rsid w:val="001C0AF9"/>
    <w:rsid w:val="001C155A"/>
    <w:rsid w:val="001C48C0"/>
    <w:rsid w:val="001D6726"/>
    <w:rsid w:val="001E777E"/>
    <w:rsid w:val="001F3347"/>
    <w:rsid w:val="001F4440"/>
    <w:rsid w:val="001F69E4"/>
    <w:rsid w:val="00206A65"/>
    <w:rsid w:val="00212D31"/>
    <w:rsid w:val="002130C7"/>
    <w:rsid w:val="00213CF6"/>
    <w:rsid w:val="002218A8"/>
    <w:rsid w:val="0022306D"/>
    <w:rsid w:val="00226574"/>
    <w:rsid w:val="002278EC"/>
    <w:rsid w:val="002357C7"/>
    <w:rsid w:val="002367C4"/>
    <w:rsid w:val="0025679E"/>
    <w:rsid w:val="00260C68"/>
    <w:rsid w:val="002648B0"/>
    <w:rsid w:val="00275271"/>
    <w:rsid w:val="0027535E"/>
    <w:rsid w:val="00275AA6"/>
    <w:rsid w:val="002807D5"/>
    <w:rsid w:val="00282CCD"/>
    <w:rsid w:val="002A168C"/>
    <w:rsid w:val="002A2C48"/>
    <w:rsid w:val="002A3EED"/>
    <w:rsid w:val="002A4A39"/>
    <w:rsid w:val="002A5A17"/>
    <w:rsid w:val="002A6425"/>
    <w:rsid w:val="002B49E2"/>
    <w:rsid w:val="002B7B00"/>
    <w:rsid w:val="002B7C44"/>
    <w:rsid w:val="002C1388"/>
    <w:rsid w:val="002C3C6A"/>
    <w:rsid w:val="002D42DB"/>
    <w:rsid w:val="002E1F3A"/>
    <w:rsid w:val="002E298A"/>
    <w:rsid w:val="002F02A4"/>
    <w:rsid w:val="002F272B"/>
    <w:rsid w:val="002F7C6D"/>
    <w:rsid w:val="003027E4"/>
    <w:rsid w:val="0030332C"/>
    <w:rsid w:val="00312296"/>
    <w:rsid w:val="0031340E"/>
    <w:rsid w:val="00316464"/>
    <w:rsid w:val="0032073A"/>
    <w:rsid w:val="00321D8E"/>
    <w:rsid w:val="00334996"/>
    <w:rsid w:val="00336969"/>
    <w:rsid w:val="00336C52"/>
    <w:rsid w:val="00341B3E"/>
    <w:rsid w:val="00341B42"/>
    <w:rsid w:val="00345154"/>
    <w:rsid w:val="0034560E"/>
    <w:rsid w:val="00350523"/>
    <w:rsid w:val="00352975"/>
    <w:rsid w:val="00356868"/>
    <w:rsid w:val="0036485B"/>
    <w:rsid w:val="00373B0D"/>
    <w:rsid w:val="00376988"/>
    <w:rsid w:val="00381A72"/>
    <w:rsid w:val="003A1948"/>
    <w:rsid w:val="003B152A"/>
    <w:rsid w:val="003B2F97"/>
    <w:rsid w:val="003B545B"/>
    <w:rsid w:val="003C4A10"/>
    <w:rsid w:val="003C4D39"/>
    <w:rsid w:val="003D3DD7"/>
    <w:rsid w:val="003D3EE9"/>
    <w:rsid w:val="003E7681"/>
    <w:rsid w:val="003F0809"/>
    <w:rsid w:val="003F611C"/>
    <w:rsid w:val="003F755C"/>
    <w:rsid w:val="00406F01"/>
    <w:rsid w:val="00411B36"/>
    <w:rsid w:val="004121D7"/>
    <w:rsid w:val="00416D50"/>
    <w:rsid w:val="00417772"/>
    <w:rsid w:val="00420E6A"/>
    <w:rsid w:val="00433CA9"/>
    <w:rsid w:val="0043521D"/>
    <w:rsid w:val="00442024"/>
    <w:rsid w:val="0044254C"/>
    <w:rsid w:val="00443F6A"/>
    <w:rsid w:val="00450A17"/>
    <w:rsid w:val="00466321"/>
    <w:rsid w:val="004672AF"/>
    <w:rsid w:val="004727B0"/>
    <w:rsid w:val="00480247"/>
    <w:rsid w:val="0048081D"/>
    <w:rsid w:val="0048117E"/>
    <w:rsid w:val="004855F6"/>
    <w:rsid w:val="00486F0C"/>
    <w:rsid w:val="00494670"/>
    <w:rsid w:val="004A0EB4"/>
    <w:rsid w:val="004A3823"/>
    <w:rsid w:val="004A59BB"/>
    <w:rsid w:val="004B43A3"/>
    <w:rsid w:val="004B4C49"/>
    <w:rsid w:val="004B58A5"/>
    <w:rsid w:val="004B63D9"/>
    <w:rsid w:val="004C0882"/>
    <w:rsid w:val="004C55BE"/>
    <w:rsid w:val="004E5B30"/>
    <w:rsid w:val="004F0779"/>
    <w:rsid w:val="004F1230"/>
    <w:rsid w:val="004F173F"/>
    <w:rsid w:val="004F177C"/>
    <w:rsid w:val="004F2DCE"/>
    <w:rsid w:val="005039CB"/>
    <w:rsid w:val="0050558F"/>
    <w:rsid w:val="005057E0"/>
    <w:rsid w:val="00506286"/>
    <w:rsid w:val="00510813"/>
    <w:rsid w:val="00511DE0"/>
    <w:rsid w:val="00517F02"/>
    <w:rsid w:val="005234B8"/>
    <w:rsid w:val="00524547"/>
    <w:rsid w:val="005258A2"/>
    <w:rsid w:val="00530F7C"/>
    <w:rsid w:val="00534567"/>
    <w:rsid w:val="00534F43"/>
    <w:rsid w:val="00535A84"/>
    <w:rsid w:val="00536889"/>
    <w:rsid w:val="00542E07"/>
    <w:rsid w:val="00547C6C"/>
    <w:rsid w:val="00554A7B"/>
    <w:rsid w:val="0055572C"/>
    <w:rsid w:val="0056064F"/>
    <w:rsid w:val="00561B84"/>
    <w:rsid w:val="005714C6"/>
    <w:rsid w:val="00571D98"/>
    <w:rsid w:val="005720AE"/>
    <w:rsid w:val="0058030D"/>
    <w:rsid w:val="00582045"/>
    <w:rsid w:val="00585719"/>
    <w:rsid w:val="00590AE3"/>
    <w:rsid w:val="005918F1"/>
    <w:rsid w:val="005A06B7"/>
    <w:rsid w:val="005A1759"/>
    <w:rsid w:val="005D0369"/>
    <w:rsid w:val="005D53FE"/>
    <w:rsid w:val="005D7A0F"/>
    <w:rsid w:val="005E0438"/>
    <w:rsid w:val="005E1791"/>
    <w:rsid w:val="005E2CE6"/>
    <w:rsid w:val="005E6324"/>
    <w:rsid w:val="005F228B"/>
    <w:rsid w:val="005F29CD"/>
    <w:rsid w:val="005F4DFB"/>
    <w:rsid w:val="005F6CC0"/>
    <w:rsid w:val="00603E5B"/>
    <w:rsid w:val="00604BC8"/>
    <w:rsid w:val="00615B4C"/>
    <w:rsid w:val="00615B5D"/>
    <w:rsid w:val="0062146F"/>
    <w:rsid w:val="006343AF"/>
    <w:rsid w:val="0063634A"/>
    <w:rsid w:val="0064250D"/>
    <w:rsid w:val="006535EB"/>
    <w:rsid w:val="00663016"/>
    <w:rsid w:val="00674605"/>
    <w:rsid w:val="006748B8"/>
    <w:rsid w:val="0068535B"/>
    <w:rsid w:val="0068736E"/>
    <w:rsid w:val="0069290A"/>
    <w:rsid w:val="00697032"/>
    <w:rsid w:val="006975AC"/>
    <w:rsid w:val="006A15FB"/>
    <w:rsid w:val="006A72BF"/>
    <w:rsid w:val="006B332A"/>
    <w:rsid w:val="006B33BD"/>
    <w:rsid w:val="006C3F75"/>
    <w:rsid w:val="006D170E"/>
    <w:rsid w:val="006E06AF"/>
    <w:rsid w:val="006F1789"/>
    <w:rsid w:val="00706C5D"/>
    <w:rsid w:val="007118E6"/>
    <w:rsid w:val="007225C9"/>
    <w:rsid w:val="00735CD7"/>
    <w:rsid w:val="00754034"/>
    <w:rsid w:val="00754BF1"/>
    <w:rsid w:val="00755A30"/>
    <w:rsid w:val="00755E1C"/>
    <w:rsid w:val="00756556"/>
    <w:rsid w:val="0076132B"/>
    <w:rsid w:val="007623AE"/>
    <w:rsid w:val="00770B19"/>
    <w:rsid w:val="00774FA0"/>
    <w:rsid w:val="00776620"/>
    <w:rsid w:val="00777B6D"/>
    <w:rsid w:val="00784855"/>
    <w:rsid w:val="00784F39"/>
    <w:rsid w:val="0078545C"/>
    <w:rsid w:val="007906C4"/>
    <w:rsid w:val="007940EA"/>
    <w:rsid w:val="007967E8"/>
    <w:rsid w:val="007A63F2"/>
    <w:rsid w:val="007B68DE"/>
    <w:rsid w:val="007C1857"/>
    <w:rsid w:val="007C514F"/>
    <w:rsid w:val="007D0F95"/>
    <w:rsid w:val="007D7ECB"/>
    <w:rsid w:val="007E25A1"/>
    <w:rsid w:val="007E4BD2"/>
    <w:rsid w:val="007E7145"/>
    <w:rsid w:val="007F3916"/>
    <w:rsid w:val="00801179"/>
    <w:rsid w:val="00802479"/>
    <w:rsid w:val="00805372"/>
    <w:rsid w:val="00805B7B"/>
    <w:rsid w:val="0081293E"/>
    <w:rsid w:val="00814FFB"/>
    <w:rsid w:val="00820568"/>
    <w:rsid w:val="00831A80"/>
    <w:rsid w:val="008332C8"/>
    <w:rsid w:val="00833743"/>
    <w:rsid w:val="008340A4"/>
    <w:rsid w:val="00836799"/>
    <w:rsid w:val="00837028"/>
    <w:rsid w:val="00837131"/>
    <w:rsid w:val="00845F57"/>
    <w:rsid w:val="008521E0"/>
    <w:rsid w:val="008525B0"/>
    <w:rsid w:val="00867CBC"/>
    <w:rsid w:val="00876C30"/>
    <w:rsid w:val="00877017"/>
    <w:rsid w:val="008773C0"/>
    <w:rsid w:val="00880364"/>
    <w:rsid w:val="00886C4C"/>
    <w:rsid w:val="0088711C"/>
    <w:rsid w:val="00892ECF"/>
    <w:rsid w:val="00892F06"/>
    <w:rsid w:val="00894285"/>
    <w:rsid w:val="008A40AE"/>
    <w:rsid w:val="008A4E19"/>
    <w:rsid w:val="008A67C5"/>
    <w:rsid w:val="008B22E1"/>
    <w:rsid w:val="008B3C78"/>
    <w:rsid w:val="008B4AE9"/>
    <w:rsid w:val="008C30AD"/>
    <w:rsid w:val="008D068E"/>
    <w:rsid w:val="008D0F7A"/>
    <w:rsid w:val="008D63BE"/>
    <w:rsid w:val="008E0CFF"/>
    <w:rsid w:val="008E5D6B"/>
    <w:rsid w:val="008E689B"/>
    <w:rsid w:val="008E76F0"/>
    <w:rsid w:val="008F15FE"/>
    <w:rsid w:val="008F2A94"/>
    <w:rsid w:val="008F5187"/>
    <w:rsid w:val="008F709C"/>
    <w:rsid w:val="0090312B"/>
    <w:rsid w:val="00904961"/>
    <w:rsid w:val="0091736D"/>
    <w:rsid w:val="00931001"/>
    <w:rsid w:val="00931863"/>
    <w:rsid w:val="00933524"/>
    <w:rsid w:val="0094278D"/>
    <w:rsid w:val="0095308A"/>
    <w:rsid w:val="00955AEE"/>
    <w:rsid w:val="00956F14"/>
    <w:rsid w:val="00960920"/>
    <w:rsid w:val="009620FD"/>
    <w:rsid w:val="0096247A"/>
    <w:rsid w:val="00965F4B"/>
    <w:rsid w:val="00970F8A"/>
    <w:rsid w:val="00971FB5"/>
    <w:rsid w:val="00972D2A"/>
    <w:rsid w:val="00975CC5"/>
    <w:rsid w:val="00976328"/>
    <w:rsid w:val="00976B4E"/>
    <w:rsid w:val="00984458"/>
    <w:rsid w:val="00985283"/>
    <w:rsid w:val="00987322"/>
    <w:rsid w:val="009A0F3B"/>
    <w:rsid w:val="009A72C7"/>
    <w:rsid w:val="009B0897"/>
    <w:rsid w:val="009D0852"/>
    <w:rsid w:val="009D1FBF"/>
    <w:rsid w:val="009E399C"/>
    <w:rsid w:val="009E43C1"/>
    <w:rsid w:val="009E7E95"/>
    <w:rsid w:val="009F116F"/>
    <w:rsid w:val="009F329E"/>
    <w:rsid w:val="009F7ED3"/>
    <w:rsid w:val="00A03607"/>
    <w:rsid w:val="00A047FF"/>
    <w:rsid w:val="00A04FEF"/>
    <w:rsid w:val="00A122CD"/>
    <w:rsid w:val="00A12A32"/>
    <w:rsid w:val="00A14248"/>
    <w:rsid w:val="00A14947"/>
    <w:rsid w:val="00A23DC5"/>
    <w:rsid w:val="00A34028"/>
    <w:rsid w:val="00A35568"/>
    <w:rsid w:val="00A37056"/>
    <w:rsid w:val="00A42231"/>
    <w:rsid w:val="00A4358F"/>
    <w:rsid w:val="00A46F67"/>
    <w:rsid w:val="00A54AA1"/>
    <w:rsid w:val="00A568FF"/>
    <w:rsid w:val="00A61496"/>
    <w:rsid w:val="00A61833"/>
    <w:rsid w:val="00A624C6"/>
    <w:rsid w:val="00A63CEC"/>
    <w:rsid w:val="00A7031E"/>
    <w:rsid w:val="00A728B1"/>
    <w:rsid w:val="00A763DE"/>
    <w:rsid w:val="00A803D6"/>
    <w:rsid w:val="00A81282"/>
    <w:rsid w:val="00A8713F"/>
    <w:rsid w:val="00A91167"/>
    <w:rsid w:val="00A9171C"/>
    <w:rsid w:val="00A92FFD"/>
    <w:rsid w:val="00A95975"/>
    <w:rsid w:val="00A9708D"/>
    <w:rsid w:val="00AA2C17"/>
    <w:rsid w:val="00AA4172"/>
    <w:rsid w:val="00AB1914"/>
    <w:rsid w:val="00AB5330"/>
    <w:rsid w:val="00AB7747"/>
    <w:rsid w:val="00AC2532"/>
    <w:rsid w:val="00AD1507"/>
    <w:rsid w:val="00AD5A70"/>
    <w:rsid w:val="00AD738B"/>
    <w:rsid w:val="00AE1BF4"/>
    <w:rsid w:val="00AE5D97"/>
    <w:rsid w:val="00AE6794"/>
    <w:rsid w:val="00B01110"/>
    <w:rsid w:val="00B02262"/>
    <w:rsid w:val="00B03CEC"/>
    <w:rsid w:val="00B1209F"/>
    <w:rsid w:val="00B12AD0"/>
    <w:rsid w:val="00B24F30"/>
    <w:rsid w:val="00B31ABF"/>
    <w:rsid w:val="00B335AE"/>
    <w:rsid w:val="00B37CE1"/>
    <w:rsid w:val="00B40ACF"/>
    <w:rsid w:val="00B44E51"/>
    <w:rsid w:val="00B46BAA"/>
    <w:rsid w:val="00B50B5F"/>
    <w:rsid w:val="00B54128"/>
    <w:rsid w:val="00B55826"/>
    <w:rsid w:val="00B60426"/>
    <w:rsid w:val="00B622DD"/>
    <w:rsid w:val="00B63522"/>
    <w:rsid w:val="00B76F1D"/>
    <w:rsid w:val="00B86200"/>
    <w:rsid w:val="00B92A19"/>
    <w:rsid w:val="00B9544C"/>
    <w:rsid w:val="00BA29E9"/>
    <w:rsid w:val="00BB3618"/>
    <w:rsid w:val="00BC0C9E"/>
    <w:rsid w:val="00BC32DC"/>
    <w:rsid w:val="00BD1B51"/>
    <w:rsid w:val="00BD47F6"/>
    <w:rsid w:val="00BE0E94"/>
    <w:rsid w:val="00BE312D"/>
    <w:rsid w:val="00BE3FCA"/>
    <w:rsid w:val="00BF7C2D"/>
    <w:rsid w:val="00C05719"/>
    <w:rsid w:val="00C10578"/>
    <w:rsid w:val="00C17D62"/>
    <w:rsid w:val="00C21FDC"/>
    <w:rsid w:val="00C24EE7"/>
    <w:rsid w:val="00C2596A"/>
    <w:rsid w:val="00C271BE"/>
    <w:rsid w:val="00C27425"/>
    <w:rsid w:val="00C328FE"/>
    <w:rsid w:val="00C33A05"/>
    <w:rsid w:val="00C42500"/>
    <w:rsid w:val="00C4409D"/>
    <w:rsid w:val="00C455BE"/>
    <w:rsid w:val="00C51E5F"/>
    <w:rsid w:val="00C61E4B"/>
    <w:rsid w:val="00C62E3A"/>
    <w:rsid w:val="00C64503"/>
    <w:rsid w:val="00C64A1F"/>
    <w:rsid w:val="00C64BFF"/>
    <w:rsid w:val="00C763C9"/>
    <w:rsid w:val="00C80057"/>
    <w:rsid w:val="00C82C79"/>
    <w:rsid w:val="00C84753"/>
    <w:rsid w:val="00C91611"/>
    <w:rsid w:val="00CA3585"/>
    <w:rsid w:val="00CA3D5A"/>
    <w:rsid w:val="00CA4C7C"/>
    <w:rsid w:val="00CB0183"/>
    <w:rsid w:val="00CB1EA3"/>
    <w:rsid w:val="00CB552C"/>
    <w:rsid w:val="00CB6A9E"/>
    <w:rsid w:val="00CC6181"/>
    <w:rsid w:val="00CD2BCD"/>
    <w:rsid w:val="00CD36AA"/>
    <w:rsid w:val="00CD3791"/>
    <w:rsid w:val="00CD65B0"/>
    <w:rsid w:val="00CE02CD"/>
    <w:rsid w:val="00CE10E9"/>
    <w:rsid w:val="00D0072E"/>
    <w:rsid w:val="00D15727"/>
    <w:rsid w:val="00D16332"/>
    <w:rsid w:val="00D24972"/>
    <w:rsid w:val="00D2515E"/>
    <w:rsid w:val="00D308ED"/>
    <w:rsid w:val="00D35B34"/>
    <w:rsid w:val="00D56178"/>
    <w:rsid w:val="00D56CF0"/>
    <w:rsid w:val="00D56F5C"/>
    <w:rsid w:val="00D704B1"/>
    <w:rsid w:val="00D70B63"/>
    <w:rsid w:val="00D72B92"/>
    <w:rsid w:val="00D72ED4"/>
    <w:rsid w:val="00D73F61"/>
    <w:rsid w:val="00D754C0"/>
    <w:rsid w:val="00D776A2"/>
    <w:rsid w:val="00D801C4"/>
    <w:rsid w:val="00D90836"/>
    <w:rsid w:val="00D95896"/>
    <w:rsid w:val="00D95CC6"/>
    <w:rsid w:val="00DA2DA3"/>
    <w:rsid w:val="00DA6615"/>
    <w:rsid w:val="00DA76AE"/>
    <w:rsid w:val="00DB181E"/>
    <w:rsid w:val="00DB1C7A"/>
    <w:rsid w:val="00DB2983"/>
    <w:rsid w:val="00DB343D"/>
    <w:rsid w:val="00DB5579"/>
    <w:rsid w:val="00DB5CFE"/>
    <w:rsid w:val="00DC72A6"/>
    <w:rsid w:val="00DD2113"/>
    <w:rsid w:val="00DD265E"/>
    <w:rsid w:val="00DF1930"/>
    <w:rsid w:val="00DF514A"/>
    <w:rsid w:val="00E0358D"/>
    <w:rsid w:val="00E06327"/>
    <w:rsid w:val="00E2064B"/>
    <w:rsid w:val="00E25239"/>
    <w:rsid w:val="00E265B1"/>
    <w:rsid w:val="00E275B0"/>
    <w:rsid w:val="00E32D5A"/>
    <w:rsid w:val="00E412D0"/>
    <w:rsid w:val="00E47CDB"/>
    <w:rsid w:val="00E566BC"/>
    <w:rsid w:val="00E60982"/>
    <w:rsid w:val="00E60C8D"/>
    <w:rsid w:val="00E6162F"/>
    <w:rsid w:val="00E6311B"/>
    <w:rsid w:val="00E65D97"/>
    <w:rsid w:val="00E67EFD"/>
    <w:rsid w:val="00E702DC"/>
    <w:rsid w:val="00E71FFB"/>
    <w:rsid w:val="00E76D1D"/>
    <w:rsid w:val="00E806F8"/>
    <w:rsid w:val="00E87752"/>
    <w:rsid w:val="00E8793B"/>
    <w:rsid w:val="00E90F81"/>
    <w:rsid w:val="00E91A6D"/>
    <w:rsid w:val="00E9242D"/>
    <w:rsid w:val="00EB041C"/>
    <w:rsid w:val="00EC5874"/>
    <w:rsid w:val="00ED192D"/>
    <w:rsid w:val="00ED30B4"/>
    <w:rsid w:val="00ED31F5"/>
    <w:rsid w:val="00EF2759"/>
    <w:rsid w:val="00EF45EB"/>
    <w:rsid w:val="00EF5099"/>
    <w:rsid w:val="00EF5E33"/>
    <w:rsid w:val="00F00075"/>
    <w:rsid w:val="00F07822"/>
    <w:rsid w:val="00F15C95"/>
    <w:rsid w:val="00F22985"/>
    <w:rsid w:val="00F241AB"/>
    <w:rsid w:val="00F31382"/>
    <w:rsid w:val="00F330FD"/>
    <w:rsid w:val="00F35829"/>
    <w:rsid w:val="00F42868"/>
    <w:rsid w:val="00F44F67"/>
    <w:rsid w:val="00F465A7"/>
    <w:rsid w:val="00F50B7C"/>
    <w:rsid w:val="00F5202D"/>
    <w:rsid w:val="00F52CF6"/>
    <w:rsid w:val="00F54496"/>
    <w:rsid w:val="00F61097"/>
    <w:rsid w:val="00F74345"/>
    <w:rsid w:val="00F74441"/>
    <w:rsid w:val="00F77F30"/>
    <w:rsid w:val="00F82589"/>
    <w:rsid w:val="00F82B19"/>
    <w:rsid w:val="00F90AA7"/>
    <w:rsid w:val="00F9212D"/>
    <w:rsid w:val="00FA301A"/>
    <w:rsid w:val="00FA406A"/>
    <w:rsid w:val="00FA5CB6"/>
    <w:rsid w:val="00FC66AC"/>
    <w:rsid w:val="00FD18F4"/>
    <w:rsid w:val="00FD74B4"/>
    <w:rsid w:val="00FE39C1"/>
    <w:rsid w:val="00FF6FCE"/>
    <w:rsid w:val="00FF7518"/>
    <w:rsid w:val="00FF7FD8"/>
    <w:rsid w:val="01042CD0"/>
    <w:rsid w:val="010A301A"/>
    <w:rsid w:val="011B17C4"/>
    <w:rsid w:val="01282E62"/>
    <w:rsid w:val="013465D2"/>
    <w:rsid w:val="013B7FED"/>
    <w:rsid w:val="013E61E2"/>
    <w:rsid w:val="014A6999"/>
    <w:rsid w:val="016033C0"/>
    <w:rsid w:val="01604B84"/>
    <w:rsid w:val="01761E20"/>
    <w:rsid w:val="018A2A8A"/>
    <w:rsid w:val="01A7300D"/>
    <w:rsid w:val="01A754AE"/>
    <w:rsid w:val="01B44990"/>
    <w:rsid w:val="01BF64F7"/>
    <w:rsid w:val="01C52551"/>
    <w:rsid w:val="02025461"/>
    <w:rsid w:val="020467A0"/>
    <w:rsid w:val="0213766F"/>
    <w:rsid w:val="021B23D1"/>
    <w:rsid w:val="021D56A7"/>
    <w:rsid w:val="022B3571"/>
    <w:rsid w:val="02305E9A"/>
    <w:rsid w:val="02421AD8"/>
    <w:rsid w:val="024737BC"/>
    <w:rsid w:val="02581012"/>
    <w:rsid w:val="025A3170"/>
    <w:rsid w:val="026278F3"/>
    <w:rsid w:val="0270686F"/>
    <w:rsid w:val="029039CF"/>
    <w:rsid w:val="02A837E9"/>
    <w:rsid w:val="02AC112D"/>
    <w:rsid w:val="02B24167"/>
    <w:rsid w:val="02B96008"/>
    <w:rsid w:val="02BA21E0"/>
    <w:rsid w:val="02C85AE0"/>
    <w:rsid w:val="02F93B2C"/>
    <w:rsid w:val="02FC4FF1"/>
    <w:rsid w:val="03244B1B"/>
    <w:rsid w:val="032937A1"/>
    <w:rsid w:val="0358041E"/>
    <w:rsid w:val="03612DD8"/>
    <w:rsid w:val="0362027B"/>
    <w:rsid w:val="036E30C9"/>
    <w:rsid w:val="0380795B"/>
    <w:rsid w:val="0390324B"/>
    <w:rsid w:val="03B66504"/>
    <w:rsid w:val="03D85B6B"/>
    <w:rsid w:val="03E12431"/>
    <w:rsid w:val="03FC5FE6"/>
    <w:rsid w:val="04050048"/>
    <w:rsid w:val="04071455"/>
    <w:rsid w:val="040B1E30"/>
    <w:rsid w:val="0413475F"/>
    <w:rsid w:val="04180F6C"/>
    <w:rsid w:val="041F054D"/>
    <w:rsid w:val="0446055E"/>
    <w:rsid w:val="04671EF4"/>
    <w:rsid w:val="0469766A"/>
    <w:rsid w:val="04697766"/>
    <w:rsid w:val="046E5030"/>
    <w:rsid w:val="04731D7A"/>
    <w:rsid w:val="04784101"/>
    <w:rsid w:val="048F57A0"/>
    <w:rsid w:val="04910D1F"/>
    <w:rsid w:val="04A06C15"/>
    <w:rsid w:val="04A3244F"/>
    <w:rsid w:val="04A36599"/>
    <w:rsid w:val="04A86794"/>
    <w:rsid w:val="04B769D7"/>
    <w:rsid w:val="04BE64F9"/>
    <w:rsid w:val="04D23811"/>
    <w:rsid w:val="04D37589"/>
    <w:rsid w:val="04F45324"/>
    <w:rsid w:val="04F95927"/>
    <w:rsid w:val="04F973C6"/>
    <w:rsid w:val="05057A56"/>
    <w:rsid w:val="050D6CCC"/>
    <w:rsid w:val="0515545E"/>
    <w:rsid w:val="05235E1B"/>
    <w:rsid w:val="0548177D"/>
    <w:rsid w:val="056D7096"/>
    <w:rsid w:val="056F72B2"/>
    <w:rsid w:val="05733455"/>
    <w:rsid w:val="05742AC8"/>
    <w:rsid w:val="057A67B9"/>
    <w:rsid w:val="057E03BB"/>
    <w:rsid w:val="0586479B"/>
    <w:rsid w:val="059211F2"/>
    <w:rsid w:val="0599432F"/>
    <w:rsid w:val="05997890"/>
    <w:rsid w:val="059B1E55"/>
    <w:rsid w:val="05B11678"/>
    <w:rsid w:val="05BE091E"/>
    <w:rsid w:val="05C869C2"/>
    <w:rsid w:val="05CA7B12"/>
    <w:rsid w:val="05CE0055"/>
    <w:rsid w:val="05D9472B"/>
    <w:rsid w:val="05DE7F94"/>
    <w:rsid w:val="05E32F0D"/>
    <w:rsid w:val="05E77A9C"/>
    <w:rsid w:val="05F11132"/>
    <w:rsid w:val="05F167AE"/>
    <w:rsid w:val="05F6312E"/>
    <w:rsid w:val="060A6FDB"/>
    <w:rsid w:val="060D2627"/>
    <w:rsid w:val="06150F68"/>
    <w:rsid w:val="061946E8"/>
    <w:rsid w:val="061B005D"/>
    <w:rsid w:val="061C296C"/>
    <w:rsid w:val="062333D5"/>
    <w:rsid w:val="062C0578"/>
    <w:rsid w:val="062F2CB2"/>
    <w:rsid w:val="06352F05"/>
    <w:rsid w:val="063E7D85"/>
    <w:rsid w:val="064512A9"/>
    <w:rsid w:val="064600AD"/>
    <w:rsid w:val="066628CD"/>
    <w:rsid w:val="066648C1"/>
    <w:rsid w:val="06677CB4"/>
    <w:rsid w:val="066B0EE6"/>
    <w:rsid w:val="0675462B"/>
    <w:rsid w:val="06794363"/>
    <w:rsid w:val="06917E08"/>
    <w:rsid w:val="069C70A2"/>
    <w:rsid w:val="06A07511"/>
    <w:rsid w:val="06B141BC"/>
    <w:rsid w:val="06B9739A"/>
    <w:rsid w:val="06BA398F"/>
    <w:rsid w:val="06E45A7E"/>
    <w:rsid w:val="06F814E9"/>
    <w:rsid w:val="06F832D7"/>
    <w:rsid w:val="070875E0"/>
    <w:rsid w:val="07233E87"/>
    <w:rsid w:val="07293586"/>
    <w:rsid w:val="07295285"/>
    <w:rsid w:val="07342561"/>
    <w:rsid w:val="07416A2C"/>
    <w:rsid w:val="074552EB"/>
    <w:rsid w:val="075361E3"/>
    <w:rsid w:val="07770C56"/>
    <w:rsid w:val="077E5E77"/>
    <w:rsid w:val="078608E3"/>
    <w:rsid w:val="079B25E0"/>
    <w:rsid w:val="07AF1BE8"/>
    <w:rsid w:val="07B12161"/>
    <w:rsid w:val="07B56CCA"/>
    <w:rsid w:val="07BA09C8"/>
    <w:rsid w:val="07CC279A"/>
    <w:rsid w:val="07CF563B"/>
    <w:rsid w:val="07D6536C"/>
    <w:rsid w:val="07DD49A7"/>
    <w:rsid w:val="07E63FC9"/>
    <w:rsid w:val="07EA70C4"/>
    <w:rsid w:val="080C0DE8"/>
    <w:rsid w:val="0821518D"/>
    <w:rsid w:val="08242608"/>
    <w:rsid w:val="082E23BE"/>
    <w:rsid w:val="083640B7"/>
    <w:rsid w:val="083F4F95"/>
    <w:rsid w:val="0845670F"/>
    <w:rsid w:val="084A5DB4"/>
    <w:rsid w:val="08504AD9"/>
    <w:rsid w:val="0854453D"/>
    <w:rsid w:val="085A5FF7"/>
    <w:rsid w:val="085B1D6F"/>
    <w:rsid w:val="08626E0F"/>
    <w:rsid w:val="0864692C"/>
    <w:rsid w:val="088C0960"/>
    <w:rsid w:val="08A32F70"/>
    <w:rsid w:val="08AA0216"/>
    <w:rsid w:val="08B9073E"/>
    <w:rsid w:val="08BC0C7D"/>
    <w:rsid w:val="08C41F22"/>
    <w:rsid w:val="08C515D0"/>
    <w:rsid w:val="08C616D3"/>
    <w:rsid w:val="08C711B3"/>
    <w:rsid w:val="08EC6A0E"/>
    <w:rsid w:val="08EE76BA"/>
    <w:rsid w:val="090D2828"/>
    <w:rsid w:val="092217DD"/>
    <w:rsid w:val="092A0EA6"/>
    <w:rsid w:val="092E2FE0"/>
    <w:rsid w:val="0933751F"/>
    <w:rsid w:val="09353CDF"/>
    <w:rsid w:val="093A7294"/>
    <w:rsid w:val="094840A2"/>
    <w:rsid w:val="09614E25"/>
    <w:rsid w:val="096209E5"/>
    <w:rsid w:val="09641007"/>
    <w:rsid w:val="0966060F"/>
    <w:rsid w:val="096C5609"/>
    <w:rsid w:val="097C3D4B"/>
    <w:rsid w:val="097F3F71"/>
    <w:rsid w:val="0990515B"/>
    <w:rsid w:val="099866AB"/>
    <w:rsid w:val="09A71886"/>
    <w:rsid w:val="09B776D8"/>
    <w:rsid w:val="09CB7B9E"/>
    <w:rsid w:val="09CC5CCF"/>
    <w:rsid w:val="09CF031F"/>
    <w:rsid w:val="0A075D0B"/>
    <w:rsid w:val="0A0C0E96"/>
    <w:rsid w:val="0A0F1B20"/>
    <w:rsid w:val="0A284A31"/>
    <w:rsid w:val="0A31466E"/>
    <w:rsid w:val="0A424F95"/>
    <w:rsid w:val="0A4B3996"/>
    <w:rsid w:val="0A4F76B2"/>
    <w:rsid w:val="0A5236B5"/>
    <w:rsid w:val="0A5B7E05"/>
    <w:rsid w:val="0A6754AA"/>
    <w:rsid w:val="0A77305F"/>
    <w:rsid w:val="0A814E68"/>
    <w:rsid w:val="0A8D139E"/>
    <w:rsid w:val="0AA23C86"/>
    <w:rsid w:val="0AAA2B3A"/>
    <w:rsid w:val="0AB3004B"/>
    <w:rsid w:val="0ABE2142"/>
    <w:rsid w:val="0ABF451B"/>
    <w:rsid w:val="0AC8357C"/>
    <w:rsid w:val="0ACF04A9"/>
    <w:rsid w:val="0ADE55D5"/>
    <w:rsid w:val="0AE272E2"/>
    <w:rsid w:val="0AE918F5"/>
    <w:rsid w:val="0B082D3B"/>
    <w:rsid w:val="0B0A1691"/>
    <w:rsid w:val="0B0B7B1D"/>
    <w:rsid w:val="0B1D3EE4"/>
    <w:rsid w:val="0B1E62EF"/>
    <w:rsid w:val="0B3B7875"/>
    <w:rsid w:val="0B445836"/>
    <w:rsid w:val="0B4C784F"/>
    <w:rsid w:val="0B626709"/>
    <w:rsid w:val="0B725406"/>
    <w:rsid w:val="0B7849E6"/>
    <w:rsid w:val="0B7B600C"/>
    <w:rsid w:val="0B853BF7"/>
    <w:rsid w:val="0B854C3D"/>
    <w:rsid w:val="0B896BF3"/>
    <w:rsid w:val="0B8D0492"/>
    <w:rsid w:val="0BB76345"/>
    <w:rsid w:val="0BC3085D"/>
    <w:rsid w:val="0BD27BF6"/>
    <w:rsid w:val="0BD65B2F"/>
    <w:rsid w:val="0BE63462"/>
    <w:rsid w:val="0C046842"/>
    <w:rsid w:val="0C0E05D4"/>
    <w:rsid w:val="0C1877D8"/>
    <w:rsid w:val="0C3013F3"/>
    <w:rsid w:val="0C4B5C57"/>
    <w:rsid w:val="0C5A3C63"/>
    <w:rsid w:val="0C7339D8"/>
    <w:rsid w:val="0CA753FB"/>
    <w:rsid w:val="0CB503D3"/>
    <w:rsid w:val="0CBA2B69"/>
    <w:rsid w:val="0CBA3C17"/>
    <w:rsid w:val="0CC04897"/>
    <w:rsid w:val="0CDD2D53"/>
    <w:rsid w:val="0CE42333"/>
    <w:rsid w:val="0CEE6D0E"/>
    <w:rsid w:val="0D1505EF"/>
    <w:rsid w:val="0D162FD0"/>
    <w:rsid w:val="0D28364F"/>
    <w:rsid w:val="0D392F32"/>
    <w:rsid w:val="0D3A63F7"/>
    <w:rsid w:val="0D3F756A"/>
    <w:rsid w:val="0D474EC2"/>
    <w:rsid w:val="0D502BC3"/>
    <w:rsid w:val="0D5773A6"/>
    <w:rsid w:val="0D740D68"/>
    <w:rsid w:val="0D75767F"/>
    <w:rsid w:val="0D9A50E8"/>
    <w:rsid w:val="0DA4381E"/>
    <w:rsid w:val="0DC543C9"/>
    <w:rsid w:val="0DCE4176"/>
    <w:rsid w:val="0DE40111"/>
    <w:rsid w:val="0DEA3313"/>
    <w:rsid w:val="0DEA6DC9"/>
    <w:rsid w:val="0DEF65C6"/>
    <w:rsid w:val="0E085321"/>
    <w:rsid w:val="0E110D06"/>
    <w:rsid w:val="0E1E1875"/>
    <w:rsid w:val="0E4806A0"/>
    <w:rsid w:val="0E4863B7"/>
    <w:rsid w:val="0E5E1C72"/>
    <w:rsid w:val="0E643BC1"/>
    <w:rsid w:val="0E6F5C1D"/>
    <w:rsid w:val="0E7E661C"/>
    <w:rsid w:val="0E860C38"/>
    <w:rsid w:val="0E97118F"/>
    <w:rsid w:val="0EA94A62"/>
    <w:rsid w:val="0EB126E9"/>
    <w:rsid w:val="0EBC0BD9"/>
    <w:rsid w:val="0EBE4726"/>
    <w:rsid w:val="0EC33362"/>
    <w:rsid w:val="0ECA14D0"/>
    <w:rsid w:val="0ECC307F"/>
    <w:rsid w:val="0ED23EEC"/>
    <w:rsid w:val="0F0A2FDD"/>
    <w:rsid w:val="0F114F36"/>
    <w:rsid w:val="0F13775A"/>
    <w:rsid w:val="0F195B3C"/>
    <w:rsid w:val="0F3D2C2B"/>
    <w:rsid w:val="0F501F02"/>
    <w:rsid w:val="0F5F59DF"/>
    <w:rsid w:val="0F640675"/>
    <w:rsid w:val="0F713C63"/>
    <w:rsid w:val="0F7E59F1"/>
    <w:rsid w:val="0F881EB1"/>
    <w:rsid w:val="0F8C4F58"/>
    <w:rsid w:val="0F9A112B"/>
    <w:rsid w:val="0F9E3A5D"/>
    <w:rsid w:val="0FA61B22"/>
    <w:rsid w:val="0FAB30BC"/>
    <w:rsid w:val="0FB029A1"/>
    <w:rsid w:val="0FC1070A"/>
    <w:rsid w:val="0FD7617F"/>
    <w:rsid w:val="0FE04BDF"/>
    <w:rsid w:val="0FEB55C0"/>
    <w:rsid w:val="0FEE0B17"/>
    <w:rsid w:val="0FFB693A"/>
    <w:rsid w:val="10014FAA"/>
    <w:rsid w:val="10167D23"/>
    <w:rsid w:val="10263F9E"/>
    <w:rsid w:val="102853F9"/>
    <w:rsid w:val="103807A6"/>
    <w:rsid w:val="10484987"/>
    <w:rsid w:val="104A6951"/>
    <w:rsid w:val="105F0476"/>
    <w:rsid w:val="10667503"/>
    <w:rsid w:val="106D2F64"/>
    <w:rsid w:val="107740FB"/>
    <w:rsid w:val="1079735A"/>
    <w:rsid w:val="108F2828"/>
    <w:rsid w:val="10977B66"/>
    <w:rsid w:val="109B79FF"/>
    <w:rsid w:val="10A1358B"/>
    <w:rsid w:val="10AA5642"/>
    <w:rsid w:val="10AE35A2"/>
    <w:rsid w:val="10B06776"/>
    <w:rsid w:val="10B63710"/>
    <w:rsid w:val="10B93A57"/>
    <w:rsid w:val="10C219BE"/>
    <w:rsid w:val="10C32DA7"/>
    <w:rsid w:val="10DB57FB"/>
    <w:rsid w:val="11052A4F"/>
    <w:rsid w:val="11186EE2"/>
    <w:rsid w:val="111923AE"/>
    <w:rsid w:val="111C2F7A"/>
    <w:rsid w:val="1120181A"/>
    <w:rsid w:val="113013DE"/>
    <w:rsid w:val="113A733B"/>
    <w:rsid w:val="11457119"/>
    <w:rsid w:val="114809B7"/>
    <w:rsid w:val="114C494B"/>
    <w:rsid w:val="115C4155"/>
    <w:rsid w:val="115C58E2"/>
    <w:rsid w:val="1160041C"/>
    <w:rsid w:val="11603F53"/>
    <w:rsid w:val="1164141F"/>
    <w:rsid w:val="11664E2B"/>
    <w:rsid w:val="117A6C2B"/>
    <w:rsid w:val="117B2B3A"/>
    <w:rsid w:val="11812D9A"/>
    <w:rsid w:val="11880A5B"/>
    <w:rsid w:val="118934A9"/>
    <w:rsid w:val="118C11EC"/>
    <w:rsid w:val="11934328"/>
    <w:rsid w:val="11987B90"/>
    <w:rsid w:val="11AA381A"/>
    <w:rsid w:val="11C36677"/>
    <w:rsid w:val="11DD4A08"/>
    <w:rsid w:val="11E36E54"/>
    <w:rsid w:val="11F92342"/>
    <w:rsid w:val="11FF72B9"/>
    <w:rsid w:val="12256206"/>
    <w:rsid w:val="122B06C2"/>
    <w:rsid w:val="12323C81"/>
    <w:rsid w:val="1235718D"/>
    <w:rsid w:val="12397BA2"/>
    <w:rsid w:val="127072E9"/>
    <w:rsid w:val="12771554"/>
    <w:rsid w:val="12922832"/>
    <w:rsid w:val="12951E49"/>
    <w:rsid w:val="129C545E"/>
    <w:rsid w:val="12A12A75"/>
    <w:rsid w:val="12AB744F"/>
    <w:rsid w:val="12AF41F6"/>
    <w:rsid w:val="12C91640"/>
    <w:rsid w:val="12CE1628"/>
    <w:rsid w:val="12D715EE"/>
    <w:rsid w:val="12E9234C"/>
    <w:rsid w:val="1300260E"/>
    <w:rsid w:val="13141499"/>
    <w:rsid w:val="13230FEF"/>
    <w:rsid w:val="13626EF5"/>
    <w:rsid w:val="13633E6A"/>
    <w:rsid w:val="136A06FB"/>
    <w:rsid w:val="13737F6D"/>
    <w:rsid w:val="13767A5D"/>
    <w:rsid w:val="137B32C6"/>
    <w:rsid w:val="138A3509"/>
    <w:rsid w:val="13951726"/>
    <w:rsid w:val="139A1F90"/>
    <w:rsid w:val="139C49F3"/>
    <w:rsid w:val="139D4FEA"/>
    <w:rsid w:val="13A15717"/>
    <w:rsid w:val="13AC269B"/>
    <w:rsid w:val="13AF2F6F"/>
    <w:rsid w:val="13BD568C"/>
    <w:rsid w:val="13CE50DF"/>
    <w:rsid w:val="13DD1E96"/>
    <w:rsid w:val="13E0569F"/>
    <w:rsid w:val="13F87FFA"/>
    <w:rsid w:val="13FA243C"/>
    <w:rsid w:val="14080AD8"/>
    <w:rsid w:val="141D612B"/>
    <w:rsid w:val="14217D71"/>
    <w:rsid w:val="14396509"/>
    <w:rsid w:val="1447165C"/>
    <w:rsid w:val="14504752"/>
    <w:rsid w:val="14524026"/>
    <w:rsid w:val="146830F9"/>
    <w:rsid w:val="146D5DCC"/>
    <w:rsid w:val="14815CAB"/>
    <w:rsid w:val="14931F0C"/>
    <w:rsid w:val="14956609"/>
    <w:rsid w:val="1499527A"/>
    <w:rsid w:val="14A12681"/>
    <w:rsid w:val="14AA34BF"/>
    <w:rsid w:val="14C10F7B"/>
    <w:rsid w:val="14C330CF"/>
    <w:rsid w:val="14D514F5"/>
    <w:rsid w:val="14ED4787"/>
    <w:rsid w:val="14EF3F6B"/>
    <w:rsid w:val="150F022F"/>
    <w:rsid w:val="15252A28"/>
    <w:rsid w:val="15270BBD"/>
    <w:rsid w:val="152910C2"/>
    <w:rsid w:val="153C3A6A"/>
    <w:rsid w:val="15475E12"/>
    <w:rsid w:val="15751669"/>
    <w:rsid w:val="15757C09"/>
    <w:rsid w:val="157B5474"/>
    <w:rsid w:val="158D22A9"/>
    <w:rsid w:val="159D5A9C"/>
    <w:rsid w:val="15AA1230"/>
    <w:rsid w:val="15C838E2"/>
    <w:rsid w:val="15D364DB"/>
    <w:rsid w:val="15D44DB6"/>
    <w:rsid w:val="15D6294B"/>
    <w:rsid w:val="15D83621"/>
    <w:rsid w:val="15F11704"/>
    <w:rsid w:val="15F40B64"/>
    <w:rsid w:val="15F90397"/>
    <w:rsid w:val="160378EB"/>
    <w:rsid w:val="160B6B83"/>
    <w:rsid w:val="162E1060"/>
    <w:rsid w:val="162F54F7"/>
    <w:rsid w:val="16374FA7"/>
    <w:rsid w:val="16391252"/>
    <w:rsid w:val="16433426"/>
    <w:rsid w:val="165E1E54"/>
    <w:rsid w:val="166741BF"/>
    <w:rsid w:val="16690618"/>
    <w:rsid w:val="1683496B"/>
    <w:rsid w:val="168B3245"/>
    <w:rsid w:val="16927B48"/>
    <w:rsid w:val="16937591"/>
    <w:rsid w:val="16A94649"/>
    <w:rsid w:val="16AA5EC3"/>
    <w:rsid w:val="16B5089D"/>
    <w:rsid w:val="16BF34C9"/>
    <w:rsid w:val="16C11CDD"/>
    <w:rsid w:val="16C60CFC"/>
    <w:rsid w:val="16D547A7"/>
    <w:rsid w:val="16D60496"/>
    <w:rsid w:val="16E41182"/>
    <w:rsid w:val="16E80C72"/>
    <w:rsid w:val="17056F55"/>
    <w:rsid w:val="17271AD2"/>
    <w:rsid w:val="172F3FDF"/>
    <w:rsid w:val="172F4452"/>
    <w:rsid w:val="17334634"/>
    <w:rsid w:val="17606A5A"/>
    <w:rsid w:val="17626CD9"/>
    <w:rsid w:val="17646F46"/>
    <w:rsid w:val="1764733E"/>
    <w:rsid w:val="17650515"/>
    <w:rsid w:val="17656782"/>
    <w:rsid w:val="176627F5"/>
    <w:rsid w:val="17735226"/>
    <w:rsid w:val="177B7D38"/>
    <w:rsid w:val="17A27073"/>
    <w:rsid w:val="17AF79E2"/>
    <w:rsid w:val="17AF7AFB"/>
    <w:rsid w:val="17B07FF5"/>
    <w:rsid w:val="17BC3B81"/>
    <w:rsid w:val="17DE12A6"/>
    <w:rsid w:val="17E372BA"/>
    <w:rsid w:val="17EC74BB"/>
    <w:rsid w:val="17F82C3B"/>
    <w:rsid w:val="18002D4F"/>
    <w:rsid w:val="180725A6"/>
    <w:rsid w:val="18095344"/>
    <w:rsid w:val="181B6E25"/>
    <w:rsid w:val="18215FDC"/>
    <w:rsid w:val="18296D8D"/>
    <w:rsid w:val="182C5BA7"/>
    <w:rsid w:val="18366258"/>
    <w:rsid w:val="1837761B"/>
    <w:rsid w:val="18397732"/>
    <w:rsid w:val="18426B32"/>
    <w:rsid w:val="18457731"/>
    <w:rsid w:val="185D03D3"/>
    <w:rsid w:val="185F31B6"/>
    <w:rsid w:val="18635DD7"/>
    <w:rsid w:val="18673C09"/>
    <w:rsid w:val="186877C1"/>
    <w:rsid w:val="187044DE"/>
    <w:rsid w:val="18755AC0"/>
    <w:rsid w:val="188E66C6"/>
    <w:rsid w:val="18910E95"/>
    <w:rsid w:val="18B33704"/>
    <w:rsid w:val="18B45859"/>
    <w:rsid w:val="18C256F0"/>
    <w:rsid w:val="18C56AA7"/>
    <w:rsid w:val="18C8311B"/>
    <w:rsid w:val="18CC35B7"/>
    <w:rsid w:val="18E34870"/>
    <w:rsid w:val="18E84F59"/>
    <w:rsid w:val="18F0644B"/>
    <w:rsid w:val="18F33042"/>
    <w:rsid w:val="18F36E6F"/>
    <w:rsid w:val="19033B41"/>
    <w:rsid w:val="19062F7F"/>
    <w:rsid w:val="190A7862"/>
    <w:rsid w:val="192F173E"/>
    <w:rsid w:val="192F2B88"/>
    <w:rsid w:val="19587F7D"/>
    <w:rsid w:val="1987771E"/>
    <w:rsid w:val="19905D7B"/>
    <w:rsid w:val="19AC71F3"/>
    <w:rsid w:val="19B0024B"/>
    <w:rsid w:val="19B738A3"/>
    <w:rsid w:val="19D8411C"/>
    <w:rsid w:val="19E842F0"/>
    <w:rsid w:val="19EB3DD4"/>
    <w:rsid w:val="1A0A6F2E"/>
    <w:rsid w:val="1A0B2C8E"/>
    <w:rsid w:val="1A1C66C0"/>
    <w:rsid w:val="1A2434B7"/>
    <w:rsid w:val="1A314190"/>
    <w:rsid w:val="1A37580C"/>
    <w:rsid w:val="1A3A17E5"/>
    <w:rsid w:val="1A42393B"/>
    <w:rsid w:val="1A530DDD"/>
    <w:rsid w:val="1A5A2114"/>
    <w:rsid w:val="1A5E29B4"/>
    <w:rsid w:val="1A816CBA"/>
    <w:rsid w:val="1A907227"/>
    <w:rsid w:val="1AAC0629"/>
    <w:rsid w:val="1AB654D4"/>
    <w:rsid w:val="1AC50F79"/>
    <w:rsid w:val="1ADA4E93"/>
    <w:rsid w:val="1ADB4428"/>
    <w:rsid w:val="1AE130E7"/>
    <w:rsid w:val="1AE2139F"/>
    <w:rsid w:val="1AE55FFC"/>
    <w:rsid w:val="1AE83727"/>
    <w:rsid w:val="1AEC6857"/>
    <w:rsid w:val="1AF75928"/>
    <w:rsid w:val="1B046F80"/>
    <w:rsid w:val="1B08431F"/>
    <w:rsid w:val="1B2304CB"/>
    <w:rsid w:val="1B232D26"/>
    <w:rsid w:val="1B28788F"/>
    <w:rsid w:val="1B2B07C0"/>
    <w:rsid w:val="1B3267B5"/>
    <w:rsid w:val="1B5302B4"/>
    <w:rsid w:val="1B5B0EE8"/>
    <w:rsid w:val="1B677CEE"/>
    <w:rsid w:val="1B7D1A47"/>
    <w:rsid w:val="1B870B64"/>
    <w:rsid w:val="1B8C2745"/>
    <w:rsid w:val="1B8C2A8D"/>
    <w:rsid w:val="1B977779"/>
    <w:rsid w:val="1BA15893"/>
    <w:rsid w:val="1BA809D0"/>
    <w:rsid w:val="1BAC114F"/>
    <w:rsid w:val="1BAF64F0"/>
    <w:rsid w:val="1BB42D3A"/>
    <w:rsid w:val="1BB870C9"/>
    <w:rsid w:val="1BC25DC8"/>
    <w:rsid w:val="1BCF2401"/>
    <w:rsid w:val="1BE23FA7"/>
    <w:rsid w:val="1BE47CAC"/>
    <w:rsid w:val="1BE57151"/>
    <w:rsid w:val="1BED070E"/>
    <w:rsid w:val="1BF055D8"/>
    <w:rsid w:val="1C12741C"/>
    <w:rsid w:val="1C197B20"/>
    <w:rsid w:val="1C1F10A4"/>
    <w:rsid w:val="1C230C59"/>
    <w:rsid w:val="1C2E35CB"/>
    <w:rsid w:val="1C31288F"/>
    <w:rsid w:val="1C3B4119"/>
    <w:rsid w:val="1C3E77AF"/>
    <w:rsid w:val="1C4921B3"/>
    <w:rsid w:val="1C5E7925"/>
    <w:rsid w:val="1C744B38"/>
    <w:rsid w:val="1C7623D0"/>
    <w:rsid w:val="1C7F02FF"/>
    <w:rsid w:val="1C826BE9"/>
    <w:rsid w:val="1C887FC8"/>
    <w:rsid w:val="1C9F75A3"/>
    <w:rsid w:val="1CAB1A37"/>
    <w:rsid w:val="1CAB4C1C"/>
    <w:rsid w:val="1CAB69CA"/>
    <w:rsid w:val="1CAC259A"/>
    <w:rsid w:val="1CAD683D"/>
    <w:rsid w:val="1CC94F57"/>
    <w:rsid w:val="1CD37CCF"/>
    <w:rsid w:val="1CD557F5"/>
    <w:rsid w:val="1CED1E4C"/>
    <w:rsid w:val="1CEF73E9"/>
    <w:rsid w:val="1CF16E6C"/>
    <w:rsid w:val="1CFC273E"/>
    <w:rsid w:val="1CFF1291"/>
    <w:rsid w:val="1D0953DA"/>
    <w:rsid w:val="1D1170D1"/>
    <w:rsid w:val="1D1248C6"/>
    <w:rsid w:val="1D2D4A96"/>
    <w:rsid w:val="1D315AE5"/>
    <w:rsid w:val="1D3958CF"/>
    <w:rsid w:val="1D5A3500"/>
    <w:rsid w:val="1D5C4168"/>
    <w:rsid w:val="1D5F6196"/>
    <w:rsid w:val="1D6132A5"/>
    <w:rsid w:val="1D6A0633"/>
    <w:rsid w:val="1D841230"/>
    <w:rsid w:val="1D8E56D5"/>
    <w:rsid w:val="1D9C27C4"/>
    <w:rsid w:val="1D9D7AD1"/>
    <w:rsid w:val="1D9E4958"/>
    <w:rsid w:val="1DA653E3"/>
    <w:rsid w:val="1DA8386E"/>
    <w:rsid w:val="1DAC415E"/>
    <w:rsid w:val="1DB56A9B"/>
    <w:rsid w:val="1DB8365E"/>
    <w:rsid w:val="1DD66894"/>
    <w:rsid w:val="1DDC649F"/>
    <w:rsid w:val="1DFE5427"/>
    <w:rsid w:val="1E091925"/>
    <w:rsid w:val="1E0A7F5F"/>
    <w:rsid w:val="1E495751"/>
    <w:rsid w:val="1E657BD3"/>
    <w:rsid w:val="1E6857C4"/>
    <w:rsid w:val="1E7A43DA"/>
    <w:rsid w:val="1E84571A"/>
    <w:rsid w:val="1EAA7B96"/>
    <w:rsid w:val="1EB277FE"/>
    <w:rsid w:val="1ED02F2B"/>
    <w:rsid w:val="1ED449E3"/>
    <w:rsid w:val="1ED5100B"/>
    <w:rsid w:val="1EDB069C"/>
    <w:rsid w:val="1EE0164A"/>
    <w:rsid w:val="1EE6229A"/>
    <w:rsid w:val="1EE87318"/>
    <w:rsid w:val="1EF07BE9"/>
    <w:rsid w:val="1F02479C"/>
    <w:rsid w:val="1F160C3D"/>
    <w:rsid w:val="1F17055B"/>
    <w:rsid w:val="1F330EF8"/>
    <w:rsid w:val="1F465D64"/>
    <w:rsid w:val="1F480F29"/>
    <w:rsid w:val="1F4A192D"/>
    <w:rsid w:val="1F567B8D"/>
    <w:rsid w:val="1F606B81"/>
    <w:rsid w:val="1F6727DD"/>
    <w:rsid w:val="1F8C0CAA"/>
    <w:rsid w:val="1F8E4B4F"/>
    <w:rsid w:val="1FA05B0C"/>
    <w:rsid w:val="1FA3607E"/>
    <w:rsid w:val="1FB265BC"/>
    <w:rsid w:val="1FB511D4"/>
    <w:rsid w:val="1FB87A1E"/>
    <w:rsid w:val="1FC539B8"/>
    <w:rsid w:val="1FD75D28"/>
    <w:rsid w:val="1FE7539E"/>
    <w:rsid w:val="1FF40688"/>
    <w:rsid w:val="1FFD7E5B"/>
    <w:rsid w:val="1FFE2FE5"/>
    <w:rsid w:val="20015F6A"/>
    <w:rsid w:val="20024275"/>
    <w:rsid w:val="200811D8"/>
    <w:rsid w:val="200C5D79"/>
    <w:rsid w:val="20456B7D"/>
    <w:rsid w:val="204A6367"/>
    <w:rsid w:val="204C531E"/>
    <w:rsid w:val="204D1ECB"/>
    <w:rsid w:val="20515153"/>
    <w:rsid w:val="206764D6"/>
    <w:rsid w:val="20745CAF"/>
    <w:rsid w:val="207D02E1"/>
    <w:rsid w:val="207F6E8A"/>
    <w:rsid w:val="208204C4"/>
    <w:rsid w:val="20963CB8"/>
    <w:rsid w:val="209E0186"/>
    <w:rsid w:val="20A2364A"/>
    <w:rsid w:val="20A23ACC"/>
    <w:rsid w:val="20A316FD"/>
    <w:rsid w:val="20A35C0A"/>
    <w:rsid w:val="20B07FB6"/>
    <w:rsid w:val="20BD1B70"/>
    <w:rsid w:val="20CA763A"/>
    <w:rsid w:val="20D44015"/>
    <w:rsid w:val="20DA0DBE"/>
    <w:rsid w:val="20E424AA"/>
    <w:rsid w:val="210D7225"/>
    <w:rsid w:val="213B74B1"/>
    <w:rsid w:val="2150290B"/>
    <w:rsid w:val="215A2310"/>
    <w:rsid w:val="21725BDF"/>
    <w:rsid w:val="217267F7"/>
    <w:rsid w:val="217E05B8"/>
    <w:rsid w:val="218C527E"/>
    <w:rsid w:val="219715AE"/>
    <w:rsid w:val="21996C78"/>
    <w:rsid w:val="21B87D67"/>
    <w:rsid w:val="21CB71C6"/>
    <w:rsid w:val="21D4251F"/>
    <w:rsid w:val="21D818E3"/>
    <w:rsid w:val="21DE318A"/>
    <w:rsid w:val="21E02496"/>
    <w:rsid w:val="21E1189F"/>
    <w:rsid w:val="21EF5B80"/>
    <w:rsid w:val="220646A2"/>
    <w:rsid w:val="22071330"/>
    <w:rsid w:val="220B2304"/>
    <w:rsid w:val="22105FB5"/>
    <w:rsid w:val="22276F6E"/>
    <w:rsid w:val="222A0F63"/>
    <w:rsid w:val="22491560"/>
    <w:rsid w:val="22573150"/>
    <w:rsid w:val="22576990"/>
    <w:rsid w:val="22611BFB"/>
    <w:rsid w:val="228428BE"/>
    <w:rsid w:val="22864750"/>
    <w:rsid w:val="228E097A"/>
    <w:rsid w:val="22990EAA"/>
    <w:rsid w:val="229C4EAB"/>
    <w:rsid w:val="229F1542"/>
    <w:rsid w:val="22BA6228"/>
    <w:rsid w:val="22D05E25"/>
    <w:rsid w:val="22E0185E"/>
    <w:rsid w:val="22E24CFC"/>
    <w:rsid w:val="23030E94"/>
    <w:rsid w:val="230350D2"/>
    <w:rsid w:val="23052BAC"/>
    <w:rsid w:val="23057D7F"/>
    <w:rsid w:val="230C593D"/>
    <w:rsid w:val="23165F67"/>
    <w:rsid w:val="232817FD"/>
    <w:rsid w:val="23296BD8"/>
    <w:rsid w:val="23353491"/>
    <w:rsid w:val="23387465"/>
    <w:rsid w:val="235F050E"/>
    <w:rsid w:val="236850F7"/>
    <w:rsid w:val="23701DC1"/>
    <w:rsid w:val="2372243C"/>
    <w:rsid w:val="237D596B"/>
    <w:rsid w:val="2384329D"/>
    <w:rsid w:val="238C6E29"/>
    <w:rsid w:val="23992644"/>
    <w:rsid w:val="239D1610"/>
    <w:rsid w:val="23AB5501"/>
    <w:rsid w:val="23AB72AF"/>
    <w:rsid w:val="23B45131"/>
    <w:rsid w:val="23B84419"/>
    <w:rsid w:val="23B9008F"/>
    <w:rsid w:val="23E6478B"/>
    <w:rsid w:val="23FE7B75"/>
    <w:rsid w:val="24021599"/>
    <w:rsid w:val="2412732E"/>
    <w:rsid w:val="241D458E"/>
    <w:rsid w:val="24267923"/>
    <w:rsid w:val="246456B0"/>
    <w:rsid w:val="2480724D"/>
    <w:rsid w:val="24836B99"/>
    <w:rsid w:val="24850235"/>
    <w:rsid w:val="24A10D95"/>
    <w:rsid w:val="24A537D3"/>
    <w:rsid w:val="24A75516"/>
    <w:rsid w:val="24AA4111"/>
    <w:rsid w:val="24B81340"/>
    <w:rsid w:val="24B91EA0"/>
    <w:rsid w:val="24BD77E9"/>
    <w:rsid w:val="24BE5D23"/>
    <w:rsid w:val="24C041E3"/>
    <w:rsid w:val="24C25BA5"/>
    <w:rsid w:val="24CA7555"/>
    <w:rsid w:val="24D46CDA"/>
    <w:rsid w:val="24D62023"/>
    <w:rsid w:val="24D70266"/>
    <w:rsid w:val="24DE608A"/>
    <w:rsid w:val="24FC103D"/>
    <w:rsid w:val="250F6699"/>
    <w:rsid w:val="25102EC3"/>
    <w:rsid w:val="2511121B"/>
    <w:rsid w:val="251247E7"/>
    <w:rsid w:val="251A3FD8"/>
    <w:rsid w:val="25227A2A"/>
    <w:rsid w:val="252D53FE"/>
    <w:rsid w:val="253439FF"/>
    <w:rsid w:val="25535E50"/>
    <w:rsid w:val="255827A8"/>
    <w:rsid w:val="25583467"/>
    <w:rsid w:val="255C2755"/>
    <w:rsid w:val="25742484"/>
    <w:rsid w:val="25910727"/>
    <w:rsid w:val="259676C3"/>
    <w:rsid w:val="2599737A"/>
    <w:rsid w:val="259D64C2"/>
    <w:rsid w:val="25A56A2E"/>
    <w:rsid w:val="25AB06B0"/>
    <w:rsid w:val="25AE708F"/>
    <w:rsid w:val="25C2583D"/>
    <w:rsid w:val="25D92B54"/>
    <w:rsid w:val="25DB557C"/>
    <w:rsid w:val="25DC317C"/>
    <w:rsid w:val="25DE1FA0"/>
    <w:rsid w:val="25E51252"/>
    <w:rsid w:val="25EC2D81"/>
    <w:rsid w:val="260B15F0"/>
    <w:rsid w:val="262D66A1"/>
    <w:rsid w:val="26333491"/>
    <w:rsid w:val="26383EF4"/>
    <w:rsid w:val="26450B30"/>
    <w:rsid w:val="264528BD"/>
    <w:rsid w:val="26496572"/>
    <w:rsid w:val="266D6106"/>
    <w:rsid w:val="268873DC"/>
    <w:rsid w:val="2693339F"/>
    <w:rsid w:val="269B6B4E"/>
    <w:rsid w:val="26CF6A37"/>
    <w:rsid w:val="26D3378E"/>
    <w:rsid w:val="26DE4357"/>
    <w:rsid w:val="26DF753D"/>
    <w:rsid w:val="26E74AA2"/>
    <w:rsid w:val="26F927DC"/>
    <w:rsid w:val="26F93445"/>
    <w:rsid w:val="272C6959"/>
    <w:rsid w:val="272F533E"/>
    <w:rsid w:val="273F0696"/>
    <w:rsid w:val="274A23DA"/>
    <w:rsid w:val="274B163F"/>
    <w:rsid w:val="276F4A98"/>
    <w:rsid w:val="277D2A6E"/>
    <w:rsid w:val="278A6545"/>
    <w:rsid w:val="27934C2A"/>
    <w:rsid w:val="279D33B3"/>
    <w:rsid w:val="27AE01C7"/>
    <w:rsid w:val="27D15DD1"/>
    <w:rsid w:val="27E2170E"/>
    <w:rsid w:val="27E40FE2"/>
    <w:rsid w:val="27F14DAB"/>
    <w:rsid w:val="280576EE"/>
    <w:rsid w:val="280D0539"/>
    <w:rsid w:val="280E2503"/>
    <w:rsid w:val="281D58BD"/>
    <w:rsid w:val="28241872"/>
    <w:rsid w:val="282615FA"/>
    <w:rsid w:val="282B2071"/>
    <w:rsid w:val="28341D7A"/>
    <w:rsid w:val="283F28CF"/>
    <w:rsid w:val="28476603"/>
    <w:rsid w:val="285E0D94"/>
    <w:rsid w:val="285E77B1"/>
    <w:rsid w:val="2862727C"/>
    <w:rsid w:val="286363AA"/>
    <w:rsid w:val="286F69EB"/>
    <w:rsid w:val="287F5629"/>
    <w:rsid w:val="28896707"/>
    <w:rsid w:val="288D1C4D"/>
    <w:rsid w:val="28940FA3"/>
    <w:rsid w:val="28A76295"/>
    <w:rsid w:val="28B05368"/>
    <w:rsid w:val="28B379E1"/>
    <w:rsid w:val="28B77D1C"/>
    <w:rsid w:val="28BF793E"/>
    <w:rsid w:val="28CF3A40"/>
    <w:rsid w:val="28DB232D"/>
    <w:rsid w:val="28DB7E1D"/>
    <w:rsid w:val="28ED2118"/>
    <w:rsid w:val="28FB2A87"/>
    <w:rsid w:val="290B5423"/>
    <w:rsid w:val="29112096"/>
    <w:rsid w:val="2919115F"/>
    <w:rsid w:val="291B51CA"/>
    <w:rsid w:val="29206EB8"/>
    <w:rsid w:val="293D4B6D"/>
    <w:rsid w:val="29514455"/>
    <w:rsid w:val="29600B3C"/>
    <w:rsid w:val="296A16BD"/>
    <w:rsid w:val="296F240F"/>
    <w:rsid w:val="29705256"/>
    <w:rsid w:val="298F1421"/>
    <w:rsid w:val="29916564"/>
    <w:rsid w:val="29934A6D"/>
    <w:rsid w:val="29A0362E"/>
    <w:rsid w:val="29A11E99"/>
    <w:rsid w:val="29C610A0"/>
    <w:rsid w:val="29C72969"/>
    <w:rsid w:val="29C7407A"/>
    <w:rsid w:val="29E325E0"/>
    <w:rsid w:val="29E70F85"/>
    <w:rsid w:val="29EE439A"/>
    <w:rsid w:val="29EE5D3F"/>
    <w:rsid w:val="29F16942"/>
    <w:rsid w:val="29F574D6"/>
    <w:rsid w:val="2A164E9E"/>
    <w:rsid w:val="2A2162A3"/>
    <w:rsid w:val="2A452503"/>
    <w:rsid w:val="2A554419"/>
    <w:rsid w:val="2A555272"/>
    <w:rsid w:val="2A5D780E"/>
    <w:rsid w:val="2A686F95"/>
    <w:rsid w:val="2A7C433D"/>
    <w:rsid w:val="2A9104FA"/>
    <w:rsid w:val="2A9230F9"/>
    <w:rsid w:val="2AAE4C19"/>
    <w:rsid w:val="2ABC0F42"/>
    <w:rsid w:val="2AC15E47"/>
    <w:rsid w:val="2ACD4D26"/>
    <w:rsid w:val="2AF829C5"/>
    <w:rsid w:val="2B1464F1"/>
    <w:rsid w:val="2B1E30EF"/>
    <w:rsid w:val="2B326787"/>
    <w:rsid w:val="2B381E74"/>
    <w:rsid w:val="2B3947B2"/>
    <w:rsid w:val="2B6E5792"/>
    <w:rsid w:val="2B79489D"/>
    <w:rsid w:val="2B7A3C88"/>
    <w:rsid w:val="2B813FB6"/>
    <w:rsid w:val="2BA936A8"/>
    <w:rsid w:val="2BB844E7"/>
    <w:rsid w:val="2BBA0936"/>
    <w:rsid w:val="2BBD2276"/>
    <w:rsid w:val="2BCC7AD7"/>
    <w:rsid w:val="2BD450D3"/>
    <w:rsid w:val="2BE0788D"/>
    <w:rsid w:val="2BE55E77"/>
    <w:rsid w:val="2BF11E95"/>
    <w:rsid w:val="2BF722C9"/>
    <w:rsid w:val="2C0811C5"/>
    <w:rsid w:val="2C0C3529"/>
    <w:rsid w:val="2C1F083A"/>
    <w:rsid w:val="2C315A5A"/>
    <w:rsid w:val="2C362555"/>
    <w:rsid w:val="2C385CE4"/>
    <w:rsid w:val="2C4A3636"/>
    <w:rsid w:val="2C570C55"/>
    <w:rsid w:val="2C5A33EB"/>
    <w:rsid w:val="2C6872B8"/>
    <w:rsid w:val="2C7A7A8D"/>
    <w:rsid w:val="2C7C0ED5"/>
    <w:rsid w:val="2C7C6F8E"/>
    <w:rsid w:val="2C923702"/>
    <w:rsid w:val="2C975494"/>
    <w:rsid w:val="2C9A31A5"/>
    <w:rsid w:val="2C9D5C03"/>
    <w:rsid w:val="2CB505CF"/>
    <w:rsid w:val="2CBB5E40"/>
    <w:rsid w:val="2CC118F2"/>
    <w:rsid w:val="2CC633AC"/>
    <w:rsid w:val="2CCB1DF5"/>
    <w:rsid w:val="2CD76CC4"/>
    <w:rsid w:val="2CE03757"/>
    <w:rsid w:val="2CE7056B"/>
    <w:rsid w:val="2D031F0A"/>
    <w:rsid w:val="2D046DD3"/>
    <w:rsid w:val="2D0C1CA8"/>
    <w:rsid w:val="2D0F26F1"/>
    <w:rsid w:val="2D102BA4"/>
    <w:rsid w:val="2D250D2A"/>
    <w:rsid w:val="2D2A0470"/>
    <w:rsid w:val="2D32474E"/>
    <w:rsid w:val="2D3C5CF2"/>
    <w:rsid w:val="2D3E529D"/>
    <w:rsid w:val="2D470F42"/>
    <w:rsid w:val="2D477732"/>
    <w:rsid w:val="2D4F1DC6"/>
    <w:rsid w:val="2D510B0C"/>
    <w:rsid w:val="2D64477B"/>
    <w:rsid w:val="2D711C62"/>
    <w:rsid w:val="2D7F389A"/>
    <w:rsid w:val="2D8C0151"/>
    <w:rsid w:val="2D9C172F"/>
    <w:rsid w:val="2D9E56F5"/>
    <w:rsid w:val="2DA366E8"/>
    <w:rsid w:val="2DB843CB"/>
    <w:rsid w:val="2DBF47B5"/>
    <w:rsid w:val="2DC0289C"/>
    <w:rsid w:val="2DCF68B5"/>
    <w:rsid w:val="2DF262C6"/>
    <w:rsid w:val="2DF4707F"/>
    <w:rsid w:val="2DF80288"/>
    <w:rsid w:val="2DFD6AFB"/>
    <w:rsid w:val="2E010C19"/>
    <w:rsid w:val="2E017038"/>
    <w:rsid w:val="2E037958"/>
    <w:rsid w:val="2E110657"/>
    <w:rsid w:val="2E344345"/>
    <w:rsid w:val="2E556795"/>
    <w:rsid w:val="2E5E79C7"/>
    <w:rsid w:val="2E665C92"/>
    <w:rsid w:val="2E667F96"/>
    <w:rsid w:val="2E8226AB"/>
    <w:rsid w:val="2E831903"/>
    <w:rsid w:val="2E8601C5"/>
    <w:rsid w:val="2E985ABF"/>
    <w:rsid w:val="2EAF324E"/>
    <w:rsid w:val="2EBE2575"/>
    <w:rsid w:val="2EC40BBE"/>
    <w:rsid w:val="2EC4391B"/>
    <w:rsid w:val="2ED43C69"/>
    <w:rsid w:val="2EDF69A7"/>
    <w:rsid w:val="2EE0663A"/>
    <w:rsid w:val="2EE50A4E"/>
    <w:rsid w:val="2F1523C9"/>
    <w:rsid w:val="2F17756B"/>
    <w:rsid w:val="2F193558"/>
    <w:rsid w:val="2F412EC1"/>
    <w:rsid w:val="2F4D5ED7"/>
    <w:rsid w:val="2F646C14"/>
    <w:rsid w:val="2F7F668A"/>
    <w:rsid w:val="2F8216A9"/>
    <w:rsid w:val="2F832C79"/>
    <w:rsid w:val="2F872012"/>
    <w:rsid w:val="2F984A49"/>
    <w:rsid w:val="2F9D4288"/>
    <w:rsid w:val="2F9F1F01"/>
    <w:rsid w:val="2FB961FD"/>
    <w:rsid w:val="2FC15045"/>
    <w:rsid w:val="2FC31341"/>
    <w:rsid w:val="2FD50947"/>
    <w:rsid w:val="2FE74788"/>
    <w:rsid w:val="2FEF2D58"/>
    <w:rsid w:val="3010521E"/>
    <w:rsid w:val="301306B6"/>
    <w:rsid w:val="30182785"/>
    <w:rsid w:val="304757EF"/>
    <w:rsid w:val="304B42F4"/>
    <w:rsid w:val="30560A0F"/>
    <w:rsid w:val="30580BC9"/>
    <w:rsid w:val="30590237"/>
    <w:rsid w:val="305E51FB"/>
    <w:rsid w:val="307D6477"/>
    <w:rsid w:val="30A734F4"/>
    <w:rsid w:val="30B8125D"/>
    <w:rsid w:val="30BC4595"/>
    <w:rsid w:val="30BE670D"/>
    <w:rsid w:val="30C71598"/>
    <w:rsid w:val="30E67C8D"/>
    <w:rsid w:val="30F24D44"/>
    <w:rsid w:val="30F54260"/>
    <w:rsid w:val="30FD381E"/>
    <w:rsid w:val="31016BFD"/>
    <w:rsid w:val="310C15C8"/>
    <w:rsid w:val="3119173B"/>
    <w:rsid w:val="311E2ED7"/>
    <w:rsid w:val="311F31F4"/>
    <w:rsid w:val="31333467"/>
    <w:rsid w:val="314174A5"/>
    <w:rsid w:val="315C449C"/>
    <w:rsid w:val="317645E1"/>
    <w:rsid w:val="317A1F50"/>
    <w:rsid w:val="318B0405"/>
    <w:rsid w:val="31A240F4"/>
    <w:rsid w:val="31A54247"/>
    <w:rsid w:val="31AA6DF8"/>
    <w:rsid w:val="31AE5F62"/>
    <w:rsid w:val="31B82709"/>
    <w:rsid w:val="31D4319A"/>
    <w:rsid w:val="31DD02C2"/>
    <w:rsid w:val="31E50DBD"/>
    <w:rsid w:val="31F57B01"/>
    <w:rsid w:val="31FF75DF"/>
    <w:rsid w:val="320A7B25"/>
    <w:rsid w:val="320D7387"/>
    <w:rsid w:val="32193F7E"/>
    <w:rsid w:val="323B584B"/>
    <w:rsid w:val="32400B34"/>
    <w:rsid w:val="32515A9C"/>
    <w:rsid w:val="325658B7"/>
    <w:rsid w:val="32677589"/>
    <w:rsid w:val="326920C0"/>
    <w:rsid w:val="3271353A"/>
    <w:rsid w:val="3277750F"/>
    <w:rsid w:val="328B4E7C"/>
    <w:rsid w:val="328B5189"/>
    <w:rsid w:val="32985699"/>
    <w:rsid w:val="329E6876"/>
    <w:rsid w:val="32B06690"/>
    <w:rsid w:val="32B76B39"/>
    <w:rsid w:val="32BF5DE3"/>
    <w:rsid w:val="32C16E3E"/>
    <w:rsid w:val="32C539E7"/>
    <w:rsid w:val="32D4010C"/>
    <w:rsid w:val="32D560F7"/>
    <w:rsid w:val="32D63C1D"/>
    <w:rsid w:val="32DC4592"/>
    <w:rsid w:val="32EE71B8"/>
    <w:rsid w:val="32F91FA4"/>
    <w:rsid w:val="32FC6E75"/>
    <w:rsid w:val="330D3AE3"/>
    <w:rsid w:val="33171638"/>
    <w:rsid w:val="331B765D"/>
    <w:rsid w:val="33432FE2"/>
    <w:rsid w:val="334845CF"/>
    <w:rsid w:val="334B201D"/>
    <w:rsid w:val="33627CC8"/>
    <w:rsid w:val="33677190"/>
    <w:rsid w:val="33723946"/>
    <w:rsid w:val="3382409E"/>
    <w:rsid w:val="338545A6"/>
    <w:rsid w:val="338F7BFF"/>
    <w:rsid w:val="3394419D"/>
    <w:rsid w:val="33995F9F"/>
    <w:rsid w:val="339E473B"/>
    <w:rsid w:val="33AB50A9"/>
    <w:rsid w:val="33B94149"/>
    <w:rsid w:val="33BF2903"/>
    <w:rsid w:val="33C030A8"/>
    <w:rsid w:val="33C30645"/>
    <w:rsid w:val="33D934D4"/>
    <w:rsid w:val="33E5680D"/>
    <w:rsid w:val="33FD6420"/>
    <w:rsid w:val="33FE2F6A"/>
    <w:rsid w:val="33FF2461"/>
    <w:rsid w:val="34056007"/>
    <w:rsid w:val="34151E15"/>
    <w:rsid w:val="341A2FE3"/>
    <w:rsid w:val="34324477"/>
    <w:rsid w:val="343310A6"/>
    <w:rsid w:val="34377663"/>
    <w:rsid w:val="343D03F7"/>
    <w:rsid w:val="34403A44"/>
    <w:rsid w:val="34545741"/>
    <w:rsid w:val="3470751F"/>
    <w:rsid w:val="34780144"/>
    <w:rsid w:val="34863603"/>
    <w:rsid w:val="3487718C"/>
    <w:rsid w:val="348875A1"/>
    <w:rsid w:val="34931DC5"/>
    <w:rsid w:val="34A277E4"/>
    <w:rsid w:val="34A337DF"/>
    <w:rsid w:val="34A66FC9"/>
    <w:rsid w:val="34AB6505"/>
    <w:rsid w:val="34B639E6"/>
    <w:rsid w:val="34BC5CBA"/>
    <w:rsid w:val="34CF6622"/>
    <w:rsid w:val="34D445AD"/>
    <w:rsid w:val="34DD3449"/>
    <w:rsid w:val="34E0311E"/>
    <w:rsid w:val="34E52CBC"/>
    <w:rsid w:val="34FC2127"/>
    <w:rsid w:val="35056B8C"/>
    <w:rsid w:val="35104BA6"/>
    <w:rsid w:val="35167E5A"/>
    <w:rsid w:val="352E24A8"/>
    <w:rsid w:val="35315E8C"/>
    <w:rsid w:val="35343820"/>
    <w:rsid w:val="353749FC"/>
    <w:rsid w:val="35531555"/>
    <w:rsid w:val="3554278A"/>
    <w:rsid w:val="35883BBA"/>
    <w:rsid w:val="358E3180"/>
    <w:rsid w:val="359953B3"/>
    <w:rsid w:val="359D5AD9"/>
    <w:rsid w:val="359F0C3E"/>
    <w:rsid w:val="35A26038"/>
    <w:rsid w:val="35AB3AF1"/>
    <w:rsid w:val="35B931B8"/>
    <w:rsid w:val="35C21987"/>
    <w:rsid w:val="35C73F57"/>
    <w:rsid w:val="35CF32D1"/>
    <w:rsid w:val="35DC779C"/>
    <w:rsid w:val="35DE3514"/>
    <w:rsid w:val="35E551B8"/>
    <w:rsid w:val="35F25212"/>
    <w:rsid w:val="36074A7F"/>
    <w:rsid w:val="3608233F"/>
    <w:rsid w:val="36163239"/>
    <w:rsid w:val="36163AE0"/>
    <w:rsid w:val="36183408"/>
    <w:rsid w:val="361A2073"/>
    <w:rsid w:val="361E78C5"/>
    <w:rsid w:val="36413AA3"/>
    <w:rsid w:val="364759D6"/>
    <w:rsid w:val="36483084"/>
    <w:rsid w:val="364945B4"/>
    <w:rsid w:val="36494E6A"/>
    <w:rsid w:val="364E7B5E"/>
    <w:rsid w:val="365612FD"/>
    <w:rsid w:val="36581AFE"/>
    <w:rsid w:val="36767BF1"/>
    <w:rsid w:val="367C65E9"/>
    <w:rsid w:val="36923549"/>
    <w:rsid w:val="36B75FBF"/>
    <w:rsid w:val="36C22E36"/>
    <w:rsid w:val="36DF23A2"/>
    <w:rsid w:val="36ED3E82"/>
    <w:rsid w:val="36F30635"/>
    <w:rsid w:val="36F87D39"/>
    <w:rsid w:val="36FB4891"/>
    <w:rsid w:val="36FF3E66"/>
    <w:rsid w:val="37057E33"/>
    <w:rsid w:val="37270EEB"/>
    <w:rsid w:val="372D45F3"/>
    <w:rsid w:val="37316379"/>
    <w:rsid w:val="374B4762"/>
    <w:rsid w:val="37536A0F"/>
    <w:rsid w:val="375D66BB"/>
    <w:rsid w:val="3761337D"/>
    <w:rsid w:val="378325C5"/>
    <w:rsid w:val="37995CB2"/>
    <w:rsid w:val="37DB0C38"/>
    <w:rsid w:val="37DD3685"/>
    <w:rsid w:val="37DE5A4E"/>
    <w:rsid w:val="37E162FD"/>
    <w:rsid w:val="37E87ED1"/>
    <w:rsid w:val="37F840FE"/>
    <w:rsid w:val="38112D75"/>
    <w:rsid w:val="3828316D"/>
    <w:rsid w:val="38415FDC"/>
    <w:rsid w:val="3851753C"/>
    <w:rsid w:val="38550995"/>
    <w:rsid w:val="385B1B22"/>
    <w:rsid w:val="38627D1B"/>
    <w:rsid w:val="387016D7"/>
    <w:rsid w:val="388E685F"/>
    <w:rsid w:val="38994452"/>
    <w:rsid w:val="389B01DE"/>
    <w:rsid w:val="38BE7FB3"/>
    <w:rsid w:val="38C70CF9"/>
    <w:rsid w:val="38DA238F"/>
    <w:rsid w:val="38E2156D"/>
    <w:rsid w:val="38ED2DBE"/>
    <w:rsid w:val="38F12CD3"/>
    <w:rsid w:val="38F94775"/>
    <w:rsid w:val="39025B73"/>
    <w:rsid w:val="390842F2"/>
    <w:rsid w:val="391A5710"/>
    <w:rsid w:val="39227C2E"/>
    <w:rsid w:val="392971ED"/>
    <w:rsid w:val="392E47B3"/>
    <w:rsid w:val="393950DD"/>
    <w:rsid w:val="393D67A4"/>
    <w:rsid w:val="394F3735"/>
    <w:rsid w:val="395A0970"/>
    <w:rsid w:val="39600800"/>
    <w:rsid w:val="39735976"/>
    <w:rsid w:val="397B6935"/>
    <w:rsid w:val="3982568B"/>
    <w:rsid w:val="39981C2C"/>
    <w:rsid w:val="39A658E8"/>
    <w:rsid w:val="39AB06BE"/>
    <w:rsid w:val="39AE0E16"/>
    <w:rsid w:val="39B06F76"/>
    <w:rsid w:val="39B14CB1"/>
    <w:rsid w:val="39BC2B67"/>
    <w:rsid w:val="39C00947"/>
    <w:rsid w:val="39C12F31"/>
    <w:rsid w:val="39DE4884"/>
    <w:rsid w:val="39E20D21"/>
    <w:rsid w:val="39E902D8"/>
    <w:rsid w:val="39EF3F42"/>
    <w:rsid w:val="39F026DD"/>
    <w:rsid w:val="3A0E3EE6"/>
    <w:rsid w:val="3A296D28"/>
    <w:rsid w:val="3A3B0383"/>
    <w:rsid w:val="3A563FC1"/>
    <w:rsid w:val="3A5D6B06"/>
    <w:rsid w:val="3A5D72F5"/>
    <w:rsid w:val="3A805AD1"/>
    <w:rsid w:val="3A8B7897"/>
    <w:rsid w:val="3AB75F50"/>
    <w:rsid w:val="3ACC7CDD"/>
    <w:rsid w:val="3ACE625C"/>
    <w:rsid w:val="3AE126DC"/>
    <w:rsid w:val="3AE41424"/>
    <w:rsid w:val="3AEE41FA"/>
    <w:rsid w:val="3AEF3BEB"/>
    <w:rsid w:val="3AF367DE"/>
    <w:rsid w:val="3AFA6966"/>
    <w:rsid w:val="3AFC18E5"/>
    <w:rsid w:val="3B033777"/>
    <w:rsid w:val="3B2149C1"/>
    <w:rsid w:val="3B220A43"/>
    <w:rsid w:val="3B3763D1"/>
    <w:rsid w:val="3B6209B3"/>
    <w:rsid w:val="3B63349D"/>
    <w:rsid w:val="3B644E9E"/>
    <w:rsid w:val="3B9052B1"/>
    <w:rsid w:val="3B96470C"/>
    <w:rsid w:val="3BB31D50"/>
    <w:rsid w:val="3BD168E4"/>
    <w:rsid w:val="3BDE6D2D"/>
    <w:rsid w:val="3BE34A0C"/>
    <w:rsid w:val="3BED0FD1"/>
    <w:rsid w:val="3BF06B27"/>
    <w:rsid w:val="3C0D72A2"/>
    <w:rsid w:val="3C101F4E"/>
    <w:rsid w:val="3C1F3773"/>
    <w:rsid w:val="3C364C65"/>
    <w:rsid w:val="3C3C0F95"/>
    <w:rsid w:val="3C4E4BA9"/>
    <w:rsid w:val="3C5A3000"/>
    <w:rsid w:val="3C5E23EB"/>
    <w:rsid w:val="3C634773"/>
    <w:rsid w:val="3C6721A1"/>
    <w:rsid w:val="3C9236A7"/>
    <w:rsid w:val="3CA1603F"/>
    <w:rsid w:val="3CA24510"/>
    <w:rsid w:val="3CB57CA9"/>
    <w:rsid w:val="3CC82828"/>
    <w:rsid w:val="3CCA4A24"/>
    <w:rsid w:val="3CD53C84"/>
    <w:rsid w:val="3CDA245A"/>
    <w:rsid w:val="3CDD46A6"/>
    <w:rsid w:val="3CE07B72"/>
    <w:rsid w:val="3CE91595"/>
    <w:rsid w:val="3CEE0A37"/>
    <w:rsid w:val="3CFC24D2"/>
    <w:rsid w:val="3D097605"/>
    <w:rsid w:val="3D264276"/>
    <w:rsid w:val="3D291AEA"/>
    <w:rsid w:val="3D2C1DB3"/>
    <w:rsid w:val="3D2E524C"/>
    <w:rsid w:val="3D324146"/>
    <w:rsid w:val="3D347912"/>
    <w:rsid w:val="3D3A30E3"/>
    <w:rsid w:val="3D477BF1"/>
    <w:rsid w:val="3D4A33DE"/>
    <w:rsid w:val="3D4B5297"/>
    <w:rsid w:val="3D516F70"/>
    <w:rsid w:val="3D6C0C66"/>
    <w:rsid w:val="3D914C69"/>
    <w:rsid w:val="3D962926"/>
    <w:rsid w:val="3D9A2A79"/>
    <w:rsid w:val="3D9C7111"/>
    <w:rsid w:val="3DA401CB"/>
    <w:rsid w:val="3DB4741A"/>
    <w:rsid w:val="3DC52B07"/>
    <w:rsid w:val="3DCC18ED"/>
    <w:rsid w:val="3DD63F7A"/>
    <w:rsid w:val="3DE32814"/>
    <w:rsid w:val="3DF53DC1"/>
    <w:rsid w:val="3E10166D"/>
    <w:rsid w:val="3E126C05"/>
    <w:rsid w:val="3E2C62E0"/>
    <w:rsid w:val="3E3216C0"/>
    <w:rsid w:val="3E37547E"/>
    <w:rsid w:val="3E647BA0"/>
    <w:rsid w:val="3E650AD9"/>
    <w:rsid w:val="3E6C3C86"/>
    <w:rsid w:val="3E76169E"/>
    <w:rsid w:val="3E950E30"/>
    <w:rsid w:val="3E962478"/>
    <w:rsid w:val="3EBC016B"/>
    <w:rsid w:val="3EC6033A"/>
    <w:rsid w:val="3ED951C1"/>
    <w:rsid w:val="3F016461"/>
    <w:rsid w:val="3F042695"/>
    <w:rsid w:val="3F091E21"/>
    <w:rsid w:val="3F0F4D56"/>
    <w:rsid w:val="3F106304"/>
    <w:rsid w:val="3F396A1E"/>
    <w:rsid w:val="3F3A11D8"/>
    <w:rsid w:val="3F4F401E"/>
    <w:rsid w:val="3F577E93"/>
    <w:rsid w:val="3F5C56DB"/>
    <w:rsid w:val="3F660E74"/>
    <w:rsid w:val="3F7F666B"/>
    <w:rsid w:val="3F834D31"/>
    <w:rsid w:val="3F886E96"/>
    <w:rsid w:val="3F9F5A84"/>
    <w:rsid w:val="3FB948C7"/>
    <w:rsid w:val="3FBA775F"/>
    <w:rsid w:val="3FD5399A"/>
    <w:rsid w:val="3FDE7321"/>
    <w:rsid w:val="3FEE422F"/>
    <w:rsid w:val="3FF34060"/>
    <w:rsid w:val="400021D1"/>
    <w:rsid w:val="400C5122"/>
    <w:rsid w:val="40155124"/>
    <w:rsid w:val="402406BD"/>
    <w:rsid w:val="40297A82"/>
    <w:rsid w:val="40381A73"/>
    <w:rsid w:val="40512E9E"/>
    <w:rsid w:val="405B30C4"/>
    <w:rsid w:val="405D07A9"/>
    <w:rsid w:val="40724826"/>
    <w:rsid w:val="40773589"/>
    <w:rsid w:val="407A6407"/>
    <w:rsid w:val="4082766F"/>
    <w:rsid w:val="408D495F"/>
    <w:rsid w:val="408D6263"/>
    <w:rsid w:val="40953369"/>
    <w:rsid w:val="40A02F12"/>
    <w:rsid w:val="40A551B8"/>
    <w:rsid w:val="40B84C0B"/>
    <w:rsid w:val="40C91191"/>
    <w:rsid w:val="40CB5BCD"/>
    <w:rsid w:val="40D24B37"/>
    <w:rsid w:val="40FA2D4C"/>
    <w:rsid w:val="410344D6"/>
    <w:rsid w:val="41047658"/>
    <w:rsid w:val="410858E9"/>
    <w:rsid w:val="41124699"/>
    <w:rsid w:val="411501CF"/>
    <w:rsid w:val="41276645"/>
    <w:rsid w:val="412C03D2"/>
    <w:rsid w:val="4143032E"/>
    <w:rsid w:val="416A1FFE"/>
    <w:rsid w:val="417230D7"/>
    <w:rsid w:val="417B430D"/>
    <w:rsid w:val="4185518C"/>
    <w:rsid w:val="41994E84"/>
    <w:rsid w:val="41B34E4F"/>
    <w:rsid w:val="41B768A4"/>
    <w:rsid w:val="41C73BAC"/>
    <w:rsid w:val="41D36062"/>
    <w:rsid w:val="41EA25D3"/>
    <w:rsid w:val="42004812"/>
    <w:rsid w:val="42030507"/>
    <w:rsid w:val="42157286"/>
    <w:rsid w:val="421A0B83"/>
    <w:rsid w:val="423000C9"/>
    <w:rsid w:val="423105CF"/>
    <w:rsid w:val="42366486"/>
    <w:rsid w:val="423A3BCC"/>
    <w:rsid w:val="4291310D"/>
    <w:rsid w:val="42A96697"/>
    <w:rsid w:val="42B81A6C"/>
    <w:rsid w:val="42CE6931"/>
    <w:rsid w:val="42DA32B5"/>
    <w:rsid w:val="42E023B9"/>
    <w:rsid w:val="42E36523"/>
    <w:rsid w:val="42E77431"/>
    <w:rsid w:val="42FF2D1C"/>
    <w:rsid w:val="431104DE"/>
    <w:rsid w:val="431B19E5"/>
    <w:rsid w:val="432B1D63"/>
    <w:rsid w:val="4330566B"/>
    <w:rsid w:val="433379C8"/>
    <w:rsid w:val="433A6FE6"/>
    <w:rsid w:val="4350713C"/>
    <w:rsid w:val="43587F49"/>
    <w:rsid w:val="435A582F"/>
    <w:rsid w:val="4364501E"/>
    <w:rsid w:val="436653E0"/>
    <w:rsid w:val="43687141"/>
    <w:rsid w:val="436F39FE"/>
    <w:rsid w:val="43733135"/>
    <w:rsid w:val="43814080"/>
    <w:rsid w:val="438C6E78"/>
    <w:rsid w:val="438D20D6"/>
    <w:rsid w:val="438F22F2"/>
    <w:rsid w:val="4397230F"/>
    <w:rsid w:val="439E42E3"/>
    <w:rsid w:val="43B63A98"/>
    <w:rsid w:val="43B7412D"/>
    <w:rsid w:val="43CC34EB"/>
    <w:rsid w:val="43D939E7"/>
    <w:rsid w:val="43DE2113"/>
    <w:rsid w:val="43EA650E"/>
    <w:rsid w:val="43F72CBA"/>
    <w:rsid w:val="43FA3C0F"/>
    <w:rsid w:val="4408136C"/>
    <w:rsid w:val="44116432"/>
    <w:rsid w:val="44150A49"/>
    <w:rsid w:val="443720C6"/>
    <w:rsid w:val="443864E5"/>
    <w:rsid w:val="443E6E07"/>
    <w:rsid w:val="44413AFF"/>
    <w:rsid w:val="445A2900"/>
    <w:rsid w:val="445E4103"/>
    <w:rsid w:val="446B0A37"/>
    <w:rsid w:val="449417AB"/>
    <w:rsid w:val="449B0C14"/>
    <w:rsid w:val="44A27907"/>
    <w:rsid w:val="44CB332F"/>
    <w:rsid w:val="44CD14E0"/>
    <w:rsid w:val="44DC2A36"/>
    <w:rsid w:val="44EB606E"/>
    <w:rsid w:val="44F06329"/>
    <w:rsid w:val="450C3078"/>
    <w:rsid w:val="450E5498"/>
    <w:rsid w:val="451731DD"/>
    <w:rsid w:val="452B3D68"/>
    <w:rsid w:val="45521E30"/>
    <w:rsid w:val="455D61DB"/>
    <w:rsid w:val="45620CA4"/>
    <w:rsid w:val="456352E7"/>
    <w:rsid w:val="45763769"/>
    <w:rsid w:val="4579549F"/>
    <w:rsid w:val="457E617A"/>
    <w:rsid w:val="45847185"/>
    <w:rsid w:val="458946E9"/>
    <w:rsid w:val="45947D5B"/>
    <w:rsid w:val="45A8769B"/>
    <w:rsid w:val="45AF0A29"/>
    <w:rsid w:val="45D2246D"/>
    <w:rsid w:val="45D77461"/>
    <w:rsid w:val="45E43226"/>
    <w:rsid w:val="45FF1144"/>
    <w:rsid w:val="46166C6B"/>
    <w:rsid w:val="462B2EA4"/>
    <w:rsid w:val="464E3D9E"/>
    <w:rsid w:val="464F1F38"/>
    <w:rsid w:val="46511508"/>
    <w:rsid w:val="4651318A"/>
    <w:rsid w:val="4654749E"/>
    <w:rsid w:val="46767CB1"/>
    <w:rsid w:val="46790A87"/>
    <w:rsid w:val="46821188"/>
    <w:rsid w:val="4691012F"/>
    <w:rsid w:val="469443CD"/>
    <w:rsid w:val="469460F7"/>
    <w:rsid w:val="46B972B8"/>
    <w:rsid w:val="46C01107"/>
    <w:rsid w:val="46D66D7F"/>
    <w:rsid w:val="46D955A7"/>
    <w:rsid w:val="46DD1482"/>
    <w:rsid w:val="46DE6ABE"/>
    <w:rsid w:val="46E93AC7"/>
    <w:rsid w:val="46EE5581"/>
    <w:rsid w:val="47133957"/>
    <w:rsid w:val="47215957"/>
    <w:rsid w:val="47347391"/>
    <w:rsid w:val="473F1D7C"/>
    <w:rsid w:val="474E436B"/>
    <w:rsid w:val="47516ED4"/>
    <w:rsid w:val="475A7839"/>
    <w:rsid w:val="4779329E"/>
    <w:rsid w:val="477D5F84"/>
    <w:rsid w:val="47A07E0C"/>
    <w:rsid w:val="47A35812"/>
    <w:rsid w:val="47A71502"/>
    <w:rsid w:val="47AB49AC"/>
    <w:rsid w:val="47C00B3A"/>
    <w:rsid w:val="47C7286F"/>
    <w:rsid w:val="47E44F96"/>
    <w:rsid w:val="47EA7AF7"/>
    <w:rsid w:val="48074937"/>
    <w:rsid w:val="48270D4B"/>
    <w:rsid w:val="482C1EA1"/>
    <w:rsid w:val="48310174"/>
    <w:rsid w:val="48396CD0"/>
    <w:rsid w:val="484C4BC1"/>
    <w:rsid w:val="4870272E"/>
    <w:rsid w:val="48983AA4"/>
    <w:rsid w:val="48991FF7"/>
    <w:rsid w:val="489D66D4"/>
    <w:rsid w:val="48BD764A"/>
    <w:rsid w:val="48C057A4"/>
    <w:rsid w:val="48CB20B8"/>
    <w:rsid w:val="48CC4717"/>
    <w:rsid w:val="48DB1B35"/>
    <w:rsid w:val="48E94BB7"/>
    <w:rsid w:val="48F475D7"/>
    <w:rsid w:val="48F604AC"/>
    <w:rsid w:val="49061CFC"/>
    <w:rsid w:val="490966A2"/>
    <w:rsid w:val="4910358D"/>
    <w:rsid w:val="49225914"/>
    <w:rsid w:val="492360B3"/>
    <w:rsid w:val="493059DD"/>
    <w:rsid w:val="49374FBE"/>
    <w:rsid w:val="493D634C"/>
    <w:rsid w:val="494B6CBB"/>
    <w:rsid w:val="49573364"/>
    <w:rsid w:val="495F0239"/>
    <w:rsid w:val="496E27A5"/>
    <w:rsid w:val="49805836"/>
    <w:rsid w:val="49890195"/>
    <w:rsid w:val="49946279"/>
    <w:rsid w:val="49A114BD"/>
    <w:rsid w:val="49B41DAE"/>
    <w:rsid w:val="49C6349E"/>
    <w:rsid w:val="49CF218D"/>
    <w:rsid w:val="49D67BA3"/>
    <w:rsid w:val="49D7054F"/>
    <w:rsid w:val="49D813F7"/>
    <w:rsid w:val="49DC7715"/>
    <w:rsid w:val="49EF7646"/>
    <w:rsid w:val="49F12DDA"/>
    <w:rsid w:val="49F7474D"/>
    <w:rsid w:val="49FD6207"/>
    <w:rsid w:val="4A023139"/>
    <w:rsid w:val="4A0F4AF0"/>
    <w:rsid w:val="4A111CB3"/>
    <w:rsid w:val="4A1436E9"/>
    <w:rsid w:val="4A1A7938"/>
    <w:rsid w:val="4A1B49FB"/>
    <w:rsid w:val="4A273992"/>
    <w:rsid w:val="4A34702F"/>
    <w:rsid w:val="4A372FCC"/>
    <w:rsid w:val="4A401F9E"/>
    <w:rsid w:val="4A4662CE"/>
    <w:rsid w:val="4A48139F"/>
    <w:rsid w:val="4A4A0C99"/>
    <w:rsid w:val="4A556A39"/>
    <w:rsid w:val="4A5B2F2E"/>
    <w:rsid w:val="4A5E5EA3"/>
    <w:rsid w:val="4A5F0163"/>
    <w:rsid w:val="4A6749EC"/>
    <w:rsid w:val="4A7B576F"/>
    <w:rsid w:val="4A802F3C"/>
    <w:rsid w:val="4AA61031"/>
    <w:rsid w:val="4AA73856"/>
    <w:rsid w:val="4AA74182"/>
    <w:rsid w:val="4AB4208E"/>
    <w:rsid w:val="4ABB62CA"/>
    <w:rsid w:val="4AC8224B"/>
    <w:rsid w:val="4AEC0F52"/>
    <w:rsid w:val="4AF3760A"/>
    <w:rsid w:val="4AF40D20"/>
    <w:rsid w:val="4B071660"/>
    <w:rsid w:val="4B0D380C"/>
    <w:rsid w:val="4B124866"/>
    <w:rsid w:val="4B143B2C"/>
    <w:rsid w:val="4B1B4A28"/>
    <w:rsid w:val="4B271062"/>
    <w:rsid w:val="4B280F44"/>
    <w:rsid w:val="4B3C4B0D"/>
    <w:rsid w:val="4B41730E"/>
    <w:rsid w:val="4B4D498D"/>
    <w:rsid w:val="4B4E4840"/>
    <w:rsid w:val="4B5118F6"/>
    <w:rsid w:val="4B554E70"/>
    <w:rsid w:val="4B773D97"/>
    <w:rsid w:val="4B774FCB"/>
    <w:rsid w:val="4B875A6F"/>
    <w:rsid w:val="4B884AB8"/>
    <w:rsid w:val="4B9B0554"/>
    <w:rsid w:val="4BAA2A65"/>
    <w:rsid w:val="4BAF1783"/>
    <w:rsid w:val="4BB9229E"/>
    <w:rsid w:val="4BBB192F"/>
    <w:rsid w:val="4BBC4955"/>
    <w:rsid w:val="4BBE3B56"/>
    <w:rsid w:val="4BC15012"/>
    <w:rsid w:val="4BCD7E5B"/>
    <w:rsid w:val="4BCF79B5"/>
    <w:rsid w:val="4BD305F9"/>
    <w:rsid w:val="4BDF36EB"/>
    <w:rsid w:val="4BE75FE8"/>
    <w:rsid w:val="4BEB59CE"/>
    <w:rsid w:val="4BF54CBC"/>
    <w:rsid w:val="4BFC13F7"/>
    <w:rsid w:val="4C035C11"/>
    <w:rsid w:val="4C0D2006"/>
    <w:rsid w:val="4C172533"/>
    <w:rsid w:val="4C1B0BC7"/>
    <w:rsid w:val="4C1E4532"/>
    <w:rsid w:val="4C27798C"/>
    <w:rsid w:val="4C2A705C"/>
    <w:rsid w:val="4C332E77"/>
    <w:rsid w:val="4C3B6F1A"/>
    <w:rsid w:val="4C4579F1"/>
    <w:rsid w:val="4C4A0649"/>
    <w:rsid w:val="4C4A2F91"/>
    <w:rsid w:val="4C621D61"/>
    <w:rsid w:val="4C702DC9"/>
    <w:rsid w:val="4C9E5C65"/>
    <w:rsid w:val="4C9F1C5E"/>
    <w:rsid w:val="4CA03FAD"/>
    <w:rsid w:val="4CAB5C84"/>
    <w:rsid w:val="4CAD0866"/>
    <w:rsid w:val="4CBB7CB4"/>
    <w:rsid w:val="4CC358E9"/>
    <w:rsid w:val="4CCB7DC2"/>
    <w:rsid w:val="4CD55219"/>
    <w:rsid w:val="4CDA3565"/>
    <w:rsid w:val="4CE470D3"/>
    <w:rsid w:val="4D007DBC"/>
    <w:rsid w:val="4D135D42"/>
    <w:rsid w:val="4D1A70D0"/>
    <w:rsid w:val="4D1D4E8D"/>
    <w:rsid w:val="4D297313"/>
    <w:rsid w:val="4D2C71A7"/>
    <w:rsid w:val="4D351894"/>
    <w:rsid w:val="4D3B12D7"/>
    <w:rsid w:val="4D3F08E5"/>
    <w:rsid w:val="4D52686A"/>
    <w:rsid w:val="4D644EC2"/>
    <w:rsid w:val="4D7560B4"/>
    <w:rsid w:val="4D7D04DB"/>
    <w:rsid w:val="4D864324"/>
    <w:rsid w:val="4D8F3791"/>
    <w:rsid w:val="4D9365BB"/>
    <w:rsid w:val="4DA361E2"/>
    <w:rsid w:val="4DAC7935"/>
    <w:rsid w:val="4DAF5F89"/>
    <w:rsid w:val="4DB31C3B"/>
    <w:rsid w:val="4DCA465A"/>
    <w:rsid w:val="4DDE00FE"/>
    <w:rsid w:val="4DEA4CF4"/>
    <w:rsid w:val="4DEC4FB0"/>
    <w:rsid w:val="4DED6593"/>
    <w:rsid w:val="4DFA1A5F"/>
    <w:rsid w:val="4DFF7D4B"/>
    <w:rsid w:val="4E031912"/>
    <w:rsid w:val="4E075D8A"/>
    <w:rsid w:val="4E10402F"/>
    <w:rsid w:val="4E1565F0"/>
    <w:rsid w:val="4E1A4EAE"/>
    <w:rsid w:val="4E2841C6"/>
    <w:rsid w:val="4E2E27C6"/>
    <w:rsid w:val="4E4F2DA9"/>
    <w:rsid w:val="4E50267E"/>
    <w:rsid w:val="4E994F3D"/>
    <w:rsid w:val="4E9E76E9"/>
    <w:rsid w:val="4EAA4B56"/>
    <w:rsid w:val="4EDF1907"/>
    <w:rsid w:val="4EE2777A"/>
    <w:rsid w:val="4EF84613"/>
    <w:rsid w:val="4F045593"/>
    <w:rsid w:val="4F1640E0"/>
    <w:rsid w:val="4F1D2EA8"/>
    <w:rsid w:val="4F1E6113"/>
    <w:rsid w:val="4F294AAC"/>
    <w:rsid w:val="4F391364"/>
    <w:rsid w:val="4F39428D"/>
    <w:rsid w:val="4F435445"/>
    <w:rsid w:val="4F49112E"/>
    <w:rsid w:val="4F500FE5"/>
    <w:rsid w:val="4F511CD2"/>
    <w:rsid w:val="4F554DBC"/>
    <w:rsid w:val="4F5B752C"/>
    <w:rsid w:val="4F6C70F5"/>
    <w:rsid w:val="4F6D306B"/>
    <w:rsid w:val="4F74608D"/>
    <w:rsid w:val="4F8213EF"/>
    <w:rsid w:val="4F845A1B"/>
    <w:rsid w:val="4F8B6063"/>
    <w:rsid w:val="4F98311B"/>
    <w:rsid w:val="4F9842DC"/>
    <w:rsid w:val="4F9C1977"/>
    <w:rsid w:val="4FA14F67"/>
    <w:rsid w:val="4FA910EA"/>
    <w:rsid w:val="4FA9473B"/>
    <w:rsid w:val="4FB2064E"/>
    <w:rsid w:val="4FBE5489"/>
    <w:rsid w:val="4FC62A8C"/>
    <w:rsid w:val="4FE13ED5"/>
    <w:rsid w:val="4FE20F0D"/>
    <w:rsid w:val="4FF1067B"/>
    <w:rsid w:val="5002770D"/>
    <w:rsid w:val="500951DA"/>
    <w:rsid w:val="500B4155"/>
    <w:rsid w:val="501B08AF"/>
    <w:rsid w:val="5022293F"/>
    <w:rsid w:val="502618E8"/>
    <w:rsid w:val="50285660"/>
    <w:rsid w:val="502C1003"/>
    <w:rsid w:val="50364A2A"/>
    <w:rsid w:val="50504C4B"/>
    <w:rsid w:val="50681F00"/>
    <w:rsid w:val="506B1A13"/>
    <w:rsid w:val="50773AE1"/>
    <w:rsid w:val="50840257"/>
    <w:rsid w:val="508475BC"/>
    <w:rsid w:val="50850BBB"/>
    <w:rsid w:val="50870052"/>
    <w:rsid w:val="50910AC7"/>
    <w:rsid w:val="509C6E7C"/>
    <w:rsid w:val="50B03BC6"/>
    <w:rsid w:val="50BB2978"/>
    <w:rsid w:val="50BD18BF"/>
    <w:rsid w:val="50C03AEB"/>
    <w:rsid w:val="50DB0841"/>
    <w:rsid w:val="50F06140"/>
    <w:rsid w:val="510540CB"/>
    <w:rsid w:val="510D2AA8"/>
    <w:rsid w:val="51234079"/>
    <w:rsid w:val="51292FA8"/>
    <w:rsid w:val="513007CB"/>
    <w:rsid w:val="513822D8"/>
    <w:rsid w:val="51476670"/>
    <w:rsid w:val="51543E3D"/>
    <w:rsid w:val="5162104E"/>
    <w:rsid w:val="517D688B"/>
    <w:rsid w:val="517E430A"/>
    <w:rsid w:val="519A3008"/>
    <w:rsid w:val="51A36C20"/>
    <w:rsid w:val="51A72608"/>
    <w:rsid w:val="51AF64DA"/>
    <w:rsid w:val="51B918F9"/>
    <w:rsid w:val="51D55684"/>
    <w:rsid w:val="51E07A37"/>
    <w:rsid w:val="51EF2B0F"/>
    <w:rsid w:val="51F53C68"/>
    <w:rsid w:val="52060934"/>
    <w:rsid w:val="52081D18"/>
    <w:rsid w:val="52124FDC"/>
    <w:rsid w:val="521C5DB3"/>
    <w:rsid w:val="52291B63"/>
    <w:rsid w:val="5233653E"/>
    <w:rsid w:val="523429E2"/>
    <w:rsid w:val="523A2CF5"/>
    <w:rsid w:val="524175D7"/>
    <w:rsid w:val="524677A3"/>
    <w:rsid w:val="52524C16"/>
    <w:rsid w:val="5253273C"/>
    <w:rsid w:val="52552958"/>
    <w:rsid w:val="52572AAC"/>
    <w:rsid w:val="525A3ACB"/>
    <w:rsid w:val="52614E59"/>
    <w:rsid w:val="52833022"/>
    <w:rsid w:val="529046E2"/>
    <w:rsid w:val="52B6450D"/>
    <w:rsid w:val="52B81D6A"/>
    <w:rsid w:val="52C03A11"/>
    <w:rsid w:val="52C50C70"/>
    <w:rsid w:val="52D024F7"/>
    <w:rsid w:val="52D059D1"/>
    <w:rsid w:val="52D1382D"/>
    <w:rsid w:val="52D26989"/>
    <w:rsid w:val="52D54DF6"/>
    <w:rsid w:val="52DB51E3"/>
    <w:rsid w:val="52EA74AC"/>
    <w:rsid w:val="52EE2CA3"/>
    <w:rsid w:val="52FA33FC"/>
    <w:rsid w:val="52FE67F8"/>
    <w:rsid w:val="53092962"/>
    <w:rsid w:val="530A54F1"/>
    <w:rsid w:val="53297EF6"/>
    <w:rsid w:val="53323C6E"/>
    <w:rsid w:val="53360094"/>
    <w:rsid w:val="534D2688"/>
    <w:rsid w:val="5353074B"/>
    <w:rsid w:val="53530CCD"/>
    <w:rsid w:val="53A026D3"/>
    <w:rsid w:val="53A039CC"/>
    <w:rsid w:val="53A1505A"/>
    <w:rsid w:val="53A452EA"/>
    <w:rsid w:val="53A63CFD"/>
    <w:rsid w:val="53E43F94"/>
    <w:rsid w:val="53E74F7A"/>
    <w:rsid w:val="54063E08"/>
    <w:rsid w:val="54170D06"/>
    <w:rsid w:val="54184853"/>
    <w:rsid w:val="541850AA"/>
    <w:rsid w:val="54332825"/>
    <w:rsid w:val="543437E8"/>
    <w:rsid w:val="54370568"/>
    <w:rsid w:val="5437318B"/>
    <w:rsid w:val="54445CB1"/>
    <w:rsid w:val="54556C40"/>
    <w:rsid w:val="5463310B"/>
    <w:rsid w:val="546C06D4"/>
    <w:rsid w:val="547370C6"/>
    <w:rsid w:val="547F7F80"/>
    <w:rsid w:val="5481023F"/>
    <w:rsid w:val="54841126"/>
    <w:rsid w:val="548B2661"/>
    <w:rsid w:val="548F2152"/>
    <w:rsid w:val="5491738D"/>
    <w:rsid w:val="54923C5F"/>
    <w:rsid w:val="54A43723"/>
    <w:rsid w:val="54AB2C84"/>
    <w:rsid w:val="54B42E21"/>
    <w:rsid w:val="54CA4DEC"/>
    <w:rsid w:val="54CC5F23"/>
    <w:rsid w:val="54D93171"/>
    <w:rsid w:val="54DD6F5B"/>
    <w:rsid w:val="54E344BE"/>
    <w:rsid w:val="54E55BD0"/>
    <w:rsid w:val="54EB32F8"/>
    <w:rsid w:val="54F24120"/>
    <w:rsid w:val="55153D79"/>
    <w:rsid w:val="551F491B"/>
    <w:rsid w:val="553040D3"/>
    <w:rsid w:val="55357DC1"/>
    <w:rsid w:val="5574290E"/>
    <w:rsid w:val="557725CE"/>
    <w:rsid w:val="557D01FC"/>
    <w:rsid w:val="55807CEC"/>
    <w:rsid w:val="55883949"/>
    <w:rsid w:val="558A0B6B"/>
    <w:rsid w:val="558C6691"/>
    <w:rsid w:val="55935C72"/>
    <w:rsid w:val="559B174B"/>
    <w:rsid w:val="55A90C60"/>
    <w:rsid w:val="55BA2D92"/>
    <w:rsid w:val="55C7591B"/>
    <w:rsid w:val="55CE0CF4"/>
    <w:rsid w:val="55EE3E3C"/>
    <w:rsid w:val="5634515D"/>
    <w:rsid w:val="56365BE8"/>
    <w:rsid w:val="565603C4"/>
    <w:rsid w:val="565D7406"/>
    <w:rsid w:val="56614179"/>
    <w:rsid w:val="56770926"/>
    <w:rsid w:val="56835CE6"/>
    <w:rsid w:val="5696728B"/>
    <w:rsid w:val="569A2E41"/>
    <w:rsid w:val="569D42CB"/>
    <w:rsid w:val="56B22A9C"/>
    <w:rsid w:val="56E2080F"/>
    <w:rsid w:val="56F02C50"/>
    <w:rsid w:val="56F049FE"/>
    <w:rsid w:val="571A4D1F"/>
    <w:rsid w:val="571B5979"/>
    <w:rsid w:val="571F23A3"/>
    <w:rsid w:val="57236B81"/>
    <w:rsid w:val="57314BC2"/>
    <w:rsid w:val="57446FA4"/>
    <w:rsid w:val="574A2360"/>
    <w:rsid w:val="5757180A"/>
    <w:rsid w:val="575F721C"/>
    <w:rsid w:val="57682085"/>
    <w:rsid w:val="577D569A"/>
    <w:rsid w:val="57825F9E"/>
    <w:rsid w:val="578F4217"/>
    <w:rsid w:val="579637F7"/>
    <w:rsid w:val="579C1CF8"/>
    <w:rsid w:val="57A74484"/>
    <w:rsid w:val="57AB7FB2"/>
    <w:rsid w:val="57B65265"/>
    <w:rsid w:val="57B72A76"/>
    <w:rsid w:val="57C17724"/>
    <w:rsid w:val="57CF0AB7"/>
    <w:rsid w:val="57DB15FA"/>
    <w:rsid w:val="57E11DBA"/>
    <w:rsid w:val="57F4051E"/>
    <w:rsid w:val="57FC5D21"/>
    <w:rsid w:val="580011E2"/>
    <w:rsid w:val="58142897"/>
    <w:rsid w:val="5815415D"/>
    <w:rsid w:val="58197E1A"/>
    <w:rsid w:val="58262129"/>
    <w:rsid w:val="58322750"/>
    <w:rsid w:val="583C29E5"/>
    <w:rsid w:val="584661BD"/>
    <w:rsid w:val="584908DF"/>
    <w:rsid w:val="58684638"/>
    <w:rsid w:val="586C27AA"/>
    <w:rsid w:val="5873085A"/>
    <w:rsid w:val="5875677A"/>
    <w:rsid w:val="58873140"/>
    <w:rsid w:val="589760B9"/>
    <w:rsid w:val="58A91308"/>
    <w:rsid w:val="58BE09D9"/>
    <w:rsid w:val="58DD7CCA"/>
    <w:rsid w:val="58DF1A4B"/>
    <w:rsid w:val="58F2531C"/>
    <w:rsid w:val="58F46A27"/>
    <w:rsid w:val="58F55615"/>
    <w:rsid w:val="59095571"/>
    <w:rsid w:val="596651E2"/>
    <w:rsid w:val="597E01B2"/>
    <w:rsid w:val="597F3D8D"/>
    <w:rsid w:val="598B16FF"/>
    <w:rsid w:val="59901778"/>
    <w:rsid w:val="59B85CA7"/>
    <w:rsid w:val="59BB3361"/>
    <w:rsid w:val="59BC506B"/>
    <w:rsid w:val="59C86EA5"/>
    <w:rsid w:val="59E433C2"/>
    <w:rsid w:val="59EC70D0"/>
    <w:rsid w:val="59F44805"/>
    <w:rsid w:val="5A0315C2"/>
    <w:rsid w:val="5A0F3C36"/>
    <w:rsid w:val="5A1629CD"/>
    <w:rsid w:val="5A217302"/>
    <w:rsid w:val="5A281DE6"/>
    <w:rsid w:val="5A373D95"/>
    <w:rsid w:val="5A381AA8"/>
    <w:rsid w:val="5A3B00EE"/>
    <w:rsid w:val="5A3B0E83"/>
    <w:rsid w:val="5A3C747D"/>
    <w:rsid w:val="5A441991"/>
    <w:rsid w:val="5A491AF7"/>
    <w:rsid w:val="5A565065"/>
    <w:rsid w:val="5A89319F"/>
    <w:rsid w:val="5ABE2233"/>
    <w:rsid w:val="5AEE74A6"/>
    <w:rsid w:val="5AF812E0"/>
    <w:rsid w:val="5B1B5524"/>
    <w:rsid w:val="5B1C3B16"/>
    <w:rsid w:val="5B1F4DA6"/>
    <w:rsid w:val="5B220A96"/>
    <w:rsid w:val="5B276D18"/>
    <w:rsid w:val="5B2F691A"/>
    <w:rsid w:val="5B3F181D"/>
    <w:rsid w:val="5B3F5F54"/>
    <w:rsid w:val="5B43241F"/>
    <w:rsid w:val="5B455E3A"/>
    <w:rsid w:val="5B4A6DD2"/>
    <w:rsid w:val="5B4F7685"/>
    <w:rsid w:val="5B500161"/>
    <w:rsid w:val="5B5419FF"/>
    <w:rsid w:val="5B550093"/>
    <w:rsid w:val="5B594D76"/>
    <w:rsid w:val="5B5D0CF2"/>
    <w:rsid w:val="5B6108B9"/>
    <w:rsid w:val="5B647718"/>
    <w:rsid w:val="5B7A6F8C"/>
    <w:rsid w:val="5B94004E"/>
    <w:rsid w:val="5B981D1C"/>
    <w:rsid w:val="5BAF6C35"/>
    <w:rsid w:val="5BBF0F6C"/>
    <w:rsid w:val="5BCA7726"/>
    <w:rsid w:val="5BD37744"/>
    <w:rsid w:val="5BD507F8"/>
    <w:rsid w:val="5BD743DE"/>
    <w:rsid w:val="5BDF5D95"/>
    <w:rsid w:val="5BE2700B"/>
    <w:rsid w:val="5BE65D89"/>
    <w:rsid w:val="5BEC1E60"/>
    <w:rsid w:val="5BED7025"/>
    <w:rsid w:val="5C137D95"/>
    <w:rsid w:val="5C174599"/>
    <w:rsid w:val="5C1A62CE"/>
    <w:rsid w:val="5C277114"/>
    <w:rsid w:val="5C2F0134"/>
    <w:rsid w:val="5C36715C"/>
    <w:rsid w:val="5C435953"/>
    <w:rsid w:val="5C4F2AF9"/>
    <w:rsid w:val="5C643575"/>
    <w:rsid w:val="5C7943F6"/>
    <w:rsid w:val="5C9E326F"/>
    <w:rsid w:val="5CA31815"/>
    <w:rsid w:val="5CB1689D"/>
    <w:rsid w:val="5CBE281B"/>
    <w:rsid w:val="5CC81FF9"/>
    <w:rsid w:val="5CE27E8F"/>
    <w:rsid w:val="5D032EAA"/>
    <w:rsid w:val="5D066D29"/>
    <w:rsid w:val="5D105298"/>
    <w:rsid w:val="5D1D4002"/>
    <w:rsid w:val="5D251D29"/>
    <w:rsid w:val="5D2B283D"/>
    <w:rsid w:val="5D305D11"/>
    <w:rsid w:val="5D335644"/>
    <w:rsid w:val="5D397D38"/>
    <w:rsid w:val="5D551C62"/>
    <w:rsid w:val="5D5F63C8"/>
    <w:rsid w:val="5D72616D"/>
    <w:rsid w:val="5DBF1662"/>
    <w:rsid w:val="5DDF521B"/>
    <w:rsid w:val="5DF12198"/>
    <w:rsid w:val="5DF87A0F"/>
    <w:rsid w:val="5E053485"/>
    <w:rsid w:val="5E070FAB"/>
    <w:rsid w:val="5E1D07CE"/>
    <w:rsid w:val="5E361B3F"/>
    <w:rsid w:val="5E3D419A"/>
    <w:rsid w:val="5E457FA6"/>
    <w:rsid w:val="5E4D0A45"/>
    <w:rsid w:val="5E5B5BE0"/>
    <w:rsid w:val="5E671CA1"/>
    <w:rsid w:val="5E6C231F"/>
    <w:rsid w:val="5E6F784B"/>
    <w:rsid w:val="5E720AE7"/>
    <w:rsid w:val="5E797C0D"/>
    <w:rsid w:val="5E7A018C"/>
    <w:rsid w:val="5E7C62F7"/>
    <w:rsid w:val="5EB34C8F"/>
    <w:rsid w:val="5EDC625D"/>
    <w:rsid w:val="5EE119D1"/>
    <w:rsid w:val="5EE30307"/>
    <w:rsid w:val="5F0F2086"/>
    <w:rsid w:val="5F100C1A"/>
    <w:rsid w:val="5F140E95"/>
    <w:rsid w:val="5F151BAB"/>
    <w:rsid w:val="5F1836AC"/>
    <w:rsid w:val="5F18730F"/>
    <w:rsid w:val="5F1A2B43"/>
    <w:rsid w:val="5F221A24"/>
    <w:rsid w:val="5F276625"/>
    <w:rsid w:val="5F2F4D3A"/>
    <w:rsid w:val="5F416325"/>
    <w:rsid w:val="5F4A536E"/>
    <w:rsid w:val="5F4E7C17"/>
    <w:rsid w:val="5F611406"/>
    <w:rsid w:val="5F6861C6"/>
    <w:rsid w:val="5F6B37BB"/>
    <w:rsid w:val="5F724B4A"/>
    <w:rsid w:val="5F742670"/>
    <w:rsid w:val="5F7626F2"/>
    <w:rsid w:val="5FA56B44"/>
    <w:rsid w:val="5FAC0DBC"/>
    <w:rsid w:val="5FB21F35"/>
    <w:rsid w:val="5FB837BB"/>
    <w:rsid w:val="5FDB26EF"/>
    <w:rsid w:val="5FE550F4"/>
    <w:rsid w:val="5FEB66AA"/>
    <w:rsid w:val="5FED3E44"/>
    <w:rsid w:val="5FFF554A"/>
    <w:rsid w:val="60085C61"/>
    <w:rsid w:val="600A6B30"/>
    <w:rsid w:val="601259E5"/>
    <w:rsid w:val="601A131F"/>
    <w:rsid w:val="601A16AC"/>
    <w:rsid w:val="60223345"/>
    <w:rsid w:val="60315A3C"/>
    <w:rsid w:val="603914FA"/>
    <w:rsid w:val="604849FC"/>
    <w:rsid w:val="60537701"/>
    <w:rsid w:val="6058634D"/>
    <w:rsid w:val="605D4865"/>
    <w:rsid w:val="606246F1"/>
    <w:rsid w:val="606C77EB"/>
    <w:rsid w:val="607A3D8D"/>
    <w:rsid w:val="60826720"/>
    <w:rsid w:val="60892DAC"/>
    <w:rsid w:val="60896682"/>
    <w:rsid w:val="609A5B70"/>
    <w:rsid w:val="60A74F01"/>
    <w:rsid w:val="60C21D89"/>
    <w:rsid w:val="60C317E4"/>
    <w:rsid w:val="60CD7D73"/>
    <w:rsid w:val="60E23B31"/>
    <w:rsid w:val="60EF4456"/>
    <w:rsid w:val="60F964C7"/>
    <w:rsid w:val="60FA6F82"/>
    <w:rsid w:val="610051C7"/>
    <w:rsid w:val="610C4B2A"/>
    <w:rsid w:val="610E4ED4"/>
    <w:rsid w:val="611539DF"/>
    <w:rsid w:val="611F2AAF"/>
    <w:rsid w:val="61241E74"/>
    <w:rsid w:val="61267D82"/>
    <w:rsid w:val="612E2CF2"/>
    <w:rsid w:val="61312051"/>
    <w:rsid w:val="61363BD9"/>
    <w:rsid w:val="6142679E"/>
    <w:rsid w:val="61434A0C"/>
    <w:rsid w:val="6149498C"/>
    <w:rsid w:val="615362B5"/>
    <w:rsid w:val="615D3C46"/>
    <w:rsid w:val="61614E76"/>
    <w:rsid w:val="616D381B"/>
    <w:rsid w:val="616F7916"/>
    <w:rsid w:val="617E39E4"/>
    <w:rsid w:val="61A900F4"/>
    <w:rsid w:val="61C15914"/>
    <w:rsid w:val="61D77E9A"/>
    <w:rsid w:val="61DB53C4"/>
    <w:rsid w:val="62107327"/>
    <w:rsid w:val="62145A44"/>
    <w:rsid w:val="62216F27"/>
    <w:rsid w:val="62283DAA"/>
    <w:rsid w:val="62323C85"/>
    <w:rsid w:val="62364782"/>
    <w:rsid w:val="623D2286"/>
    <w:rsid w:val="623F2865"/>
    <w:rsid w:val="62440787"/>
    <w:rsid w:val="62500A46"/>
    <w:rsid w:val="625E53DA"/>
    <w:rsid w:val="627014C0"/>
    <w:rsid w:val="62A07788"/>
    <w:rsid w:val="62AA03AD"/>
    <w:rsid w:val="62AA5A85"/>
    <w:rsid w:val="62C51434"/>
    <w:rsid w:val="62E27B38"/>
    <w:rsid w:val="62E30FF8"/>
    <w:rsid w:val="62E66302"/>
    <w:rsid w:val="62FC6FAD"/>
    <w:rsid w:val="631765CD"/>
    <w:rsid w:val="63304B00"/>
    <w:rsid w:val="63350763"/>
    <w:rsid w:val="63484B8D"/>
    <w:rsid w:val="63495BC1"/>
    <w:rsid w:val="634F11DE"/>
    <w:rsid w:val="63534F55"/>
    <w:rsid w:val="637C6876"/>
    <w:rsid w:val="639077D9"/>
    <w:rsid w:val="63916860"/>
    <w:rsid w:val="639257BA"/>
    <w:rsid w:val="63AB687C"/>
    <w:rsid w:val="63B447F3"/>
    <w:rsid w:val="63C374E9"/>
    <w:rsid w:val="63C86C9D"/>
    <w:rsid w:val="63D40BE9"/>
    <w:rsid w:val="63D80EA8"/>
    <w:rsid w:val="63E0211F"/>
    <w:rsid w:val="63E31B72"/>
    <w:rsid w:val="63F017C2"/>
    <w:rsid w:val="63F773CC"/>
    <w:rsid w:val="640E5323"/>
    <w:rsid w:val="64101B2E"/>
    <w:rsid w:val="642A75F3"/>
    <w:rsid w:val="64306D81"/>
    <w:rsid w:val="643847A7"/>
    <w:rsid w:val="643B38A3"/>
    <w:rsid w:val="645361B4"/>
    <w:rsid w:val="64647DA1"/>
    <w:rsid w:val="646E0010"/>
    <w:rsid w:val="647D25A0"/>
    <w:rsid w:val="6480021A"/>
    <w:rsid w:val="648643FC"/>
    <w:rsid w:val="649430F7"/>
    <w:rsid w:val="64947318"/>
    <w:rsid w:val="64B47FC7"/>
    <w:rsid w:val="64C9520C"/>
    <w:rsid w:val="64CB511A"/>
    <w:rsid w:val="64D303C1"/>
    <w:rsid w:val="65063DE0"/>
    <w:rsid w:val="65373578"/>
    <w:rsid w:val="653D5C48"/>
    <w:rsid w:val="654B66B5"/>
    <w:rsid w:val="65583DEB"/>
    <w:rsid w:val="65723A0E"/>
    <w:rsid w:val="659679D9"/>
    <w:rsid w:val="65972383"/>
    <w:rsid w:val="659C46CE"/>
    <w:rsid w:val="659E2054"/>
    <w:rsid w:val="65A6041B"/>
    <w:rsid w:val="65AC068A"/>
    <w:rsid w:val="65C23A09"/>
    <w:rsid w:val="65C84B00"/>
    <w:rsid w:val="65CA7D16"/>
    <w:rsid w:val="65D8147F"/>
    <w:rsid w:val="65DB492F"/>
    <w:rsid w:val="65DD11ED"/>
    <w:rsid w:val="65F03319"/>
    <w:rsid w:val="660A3F52"/>
    <w:rsid w:val="660C5141"/>
    <w:rsid w:val="6617080D"/>
    <w:rsid w:val="66214BD4"/>
    <w:rsid w:val="66263F98"/>
    <w:rsid w:val="66346CF7"/>
    <w:rsid w:val="664961C1"/>
    <w:rsid w:val="66507267"/>
    <w:rsid w:val="66585D7A"/>
    <w:rsid w:val="66723B5E"/>
    <w:rsid w:val="66730A60"/>
    <w:rsid w:val="667354DB"/>
    <w:rsid w:val="66825C7C"/>
    <w:rsid w:val="66841E33"/>
    <w:rsid w:val="668B03F5"/>
    <w:rsid w:val="668B197D"/>
    <w:rsid w:val="66AB3729"/>
    <w:rsid w:val="66AD290B"/>
    <w:rsid w:val="66C07E78"/>
    <w:rsid w:val="66C51DAE"/>
    <w:rsid w:val="66D03326"/>
    <w:rsid w:val="66E2001D"/>
    <w:rsid w:val="66E254D7"/>
    <w:rsid w:val="66F1578A"/>
    <w:rsid w:val="67225DF1"/>
    <w:rsid w:val="67320055"/>
    <w:rsid w:val="67355856"/>
    <w:rsid w:val="673B50C0"/>
    <w:rsid w:val="673F2C7A"/>
    <w:rsid w:val="67465044"/>
    <w:rsid w:val="6747066A"/>
    <w:rsid w:val="67483C03"/>
    <w:rsid w:val="67553FE8"/>
    <w:rsid w:val="675F6C8F"/>
    <w:rsid w:val="67693071"/>
    <w:rsid w:val="677B713A"/>
    <w:rsid w:val="678E6299"/>
    <w:rsid w:val="678F2A2B"/>
    <w:rsid w:val="67B040E6"/>
    <w:rsid w:val="67BC1D30"/>
    <w:rsid w:val="67BE5FB4"/>
    <w:rsid w:val="67C021CA"/>
    <w:rsid w:val="67CA21CA"/>
    <w:rsid w:val="67D17882"/>
    <w:rsid w:val="67D363A2"/>
    <w:rsid w:val="67D77C40"/>
    <w:rsid w:val="67E92CE5"/>
    <w:rsid w:val="67EA5092"/>
    <w:rsid w:val="67F37269"/>
    <w:rsid w:val="67F4110D"/>
    <w:rsid w:val="67FA1F52"/>
    <w:rsid w:val="68014A2B"/>
    <w:rsid w:val="68014CBD"/>
    <w:rsid w:val="68030A35"/>
    <w:rsid w:val="680447AD"/>
    <w:rsid w:val="68197D1D"/>
    <w:rsid w:val="681F6961"/>
    <w:rsid w:val="6825208B"/>
    <w:rsid w:val="68281955"/>
    <w:rsid w:val="68442DFB"/>
    <w:rsid w:val="684C7A3E"/>
    <w:rsid w:val="684D057F"/>
    <w:rsid w:val="68610A2F"/>
    <w:rsid w:val="68623877"/>
    <w:rsid w:val="68654F3A"/>
    <w:rsid w:val="686C5682"/>
    <w:rsid w:val="68805514"/>
    <w:rsid w:val="689306AB"/>
    <w:rsid w:val="68960E62"/>
    <w:rsid w:val="68A8391D"/>
    <w:rsid w:val="68A85138"/>
    <w:rsid w:val="68D73C6F"/>
    <w:rsid w:val="68D842A4"/>
    <w:rsid w:val="68EB0ED6"/>
    <w:rsid w:val="69060F92"/>
    <w:rsid w:val="690C527B"/>
    <w:rsid w:val="691C0490"/>
    <w:rsid w:val="69386112"/>
    <w:rsid w:val="694E2071"/>
    <w:rsid w:val="69622450"/>
    <w:rsid w:val="696C75A4"/>
    <w:rsid w:val="696D3831"/>
    <w:rsid w:val="69724608"/>
    <w:rsid w:val="69733998"/>
    <w:rsid w:val="697A3B33"/>
    <w:rsid w:val="69817558"/>
    <w:rsid w:val="69831701"/>
    <w:rsid w:val="698E07D2"/>
    <w:rsid w:val="699931C7"/>
    <w:rsid w:val="699E2456"/>
    <w:rsid w:val="69A72CBB"/>
    <w:rsid w:val="69B37840"/>
    <w:rsid w:val="69C32710"/>
    <w:rsid w:val="69D56401"/>
    <w:rsid w:val="69DB0FEE"/>
    <w:rsid w:val="69EC54F9"/>
    <w:rsid w:val="69F32F6D"/>
    <w:rsid w:val="6A187028"/>
    <w:rsid w:val="6A2871C3"/>
    <w:rsid w:val="6A304232"/>
    <w:rsid w:val="6A3F1DF9"/>
    <w:rsid w:val="6A4A2831"/>
    <w:rsid w:val="6A51065F"/>
    <w:rsid w:val="6A5135AE"/>
    <w:rsid w:val="6A5E4101"/>
    <w:rsid w:val="6A635D6D"/>
    <w:rsid w:val="6A641A91"/>
    <w:rsid w:val="6A696B49"/>
    <w:rsid w:val="6A810BC5"/>
    <w:rsid w:val="6A8120E5"/>
    <w:rsid w:val="6A8239F6"/>
    <w:rsid w:val="6A853FEF"/>
    <w:rsid w:val="6A8A1D63"/>
    <w:rsid w:val="6AA838E9"/>
    <w:rsid w:val="6ABA3EDF"/>
    <w:rsid w:val="6ABA54B7"/>
    <w:rsid w:val="6ACD70D8"/>
    <w:rsid w:val="6AD00976"/>
    <w:rsid w:val="6AE12B83"/>
    <w:rsid w:val="6AE779C5"/>
    <w:rsid w:val="6AF44665"/>
    <w:rsid w:val="6AFF4D38"/>
    <w:rsid w:val="6B322639"/>
    <w:rsid w:val="6B3233DF"/>
    <w:rsid w:val="6B3E5F2D"/>
    <w:rsid w:val="6B4F1C0D"/>
    <w:rsid w:val="6B5E2D2B"/>
    <w:rsid w:val="6B7845BA"/>
    <w:rsid w:val="6B8852FB"/>
    <w:rsid w:val="6B8C1AAE"/>
    <w:rsid w:val="6BA00305"/>
    <w:rsid w:val="6BC762A6"/>
    <w:rsid w:val="6BD67B4E"/>
    <w:rsid w:val="6BD75D7E"/>
    <w:rsid w:val="6BDB0C93"/>
    <w:rsid w:val="6BF46DFE"/>
    <w:rsid w:val="6BF976B9"/>
    <w:rsid w:val="6BFD1C3F"/>
    <w:rsid w:val="6C0C2A9B"/>
    <w:rsid w:val="6C0C7E53"/>
    <w:rsid w:val="6C134FBF"/>
    <w:rsid w:val="6C2C2FA5"/>
    <w:rsid w:val="6C3645BD"/>
    <w:rsid w:val="6C3D405C"/>
    <w:rsid w:val="6C3D47ED"/>
    <w:rsid w:val="6C5B796C"/>
    <w:rsid w:val="6C5F6456"/>
    <w:rsid w:val="6C636C38"/>
    <w:rsid w:val="6C647DE5"/>
    <w:rsid w:val="6C6B1E1B"/>
    <w:rsid w:val="6C6B79A8"/>
    <w:rsid w:val="6C7E6CDD"/>
    <w:rsid w:val="6C8B5780"/>
    <w:rsid w:val="6C975D88"/>
    <w:rsid w:val="6C9F4AA4"/>
    <w:rsid w:val="6CA5747E"/>
    <w:rsid w:val="6CB5304B"/>
    <w:rsid w:val="6CBA18DE"/>
    <w:rsid w:val="6CBA7B30"/>
    <w:rsid w:val="6CC12C6C"/>
    <w:rsid w:val="6CC91B21"/>
    <w:rsid w:val="6CD05E0D"/>
    <w:rsid w:val="6CD413B6"/>
    <w:rsid w:val="6CD7423E"/>
    <w:rsid w:val="6CE04B52"/>
    <w:rsid w:val="6CEF5585"/>
    <w:rsid w:val="6CF44DF0"/>
    <w:rsid w:val="6D0454F8"/>
    <w:rsid w:val="6D0752D9"/>
    <w:rsid w:val="6D0B038C"/>
    <w:rsid w:val="6D0D2A7D"/>
    <w:rsid w:val="6D0E22C2"/>
    <w:rsid w:val="6D1C7EA3"/>
    <w:rsid w:val="6D3247B6"/>
    <w:rsid w:val="6D4318D3"/>
    <w:rsid w:val="6D4541F7"/>
    <w:rsid w:val="6D5E2C4B"/>
    <w:rsid w:val="6D5E670D"/>
    <w:rsid w:val="6D5F6F91"/>
    <w:rsid w:val="6D622439"/>
    <w:rsid w:val="6D751B92"/>
    <w:rsid w:val="6D820A07"/>
    <w:rsid w:val="6D821888"/>
    <w:rsid w:val="6D8A457D"/>
    <w:rsid w:val="6D96687B"/>
    <w:rsid w:val="6DA50BF6"/>
    <w:rsid w:val="6DA655E2"/>
    <w:rsid w:val="6DAC1416"/>
    <w:rsid w:val="6DB34098"/>
    <w:rsid w:val="6DB545B6"/>
    <w:rsid w:val="6DB85607"/>
    <w:rsid w:val="6DC20840"/>
    <w:rsid w:val="6DCC3677"/>
    <w:rsid w:val="6DE5298B"/>
    <w:rsid w:val="6DE7625E"/>
    <w:rsid w:val="6DF1132F"/>
    <w:rsid w:val="6E2F0E6E"/>
    <w:rsid w:val="6E3041D1"/>
    <w:rsid w:val="6E4375A0"/>
    <w:rsid w:val="6E4E7318"/>
    <w:rsid w:val="6E4E761C"/>
    <w:rsid w:val="6E514CED"/>
    <w:rsid w:val="6E562FDE"/>
    <w:rsid w:val="6E745FC2"/>
    <w:rsid w:val="6E79491A"/>
    <w:rsid w:val="6E8C763E"/>
    <w:rsid w:val="6E9A19C7"/>
    <w:rsid w:val="6E9B0F17"/>
    <w:rsid w:val="6EB563D5"/>
    <w:rsid w:val="6ECE14D2"/>
    <w:rsid w:val="6ECF4324"/>
    <w:rsid w:val="6ED63729"/>
    <w:rsid w:val="6EDA0622"/>
    <w:rsid w:val="6EE11A9E"/>
    <w:rsid w:val="6EE175F6"/>
    <w:rsid w:val="6EE527A5"/>
    <w:rsid w:val="6EFA406A"/>
    <w:rsid w:val="6F0345A0"/>
    <w:rsid w:val="6F0E0990"/>
    <w:rsid w:val="6F103A37"/>
    <w:rsid w:val="6F1151AA"/>
    <w:rsid w:val="6F1928EC"/>
    <w:rsid w:val="6F1B434E"/>
    <w:rsid w:val="6F225983"/>
    <w:rsid w:val="6F325106"/>
    <w:rsid w:val="6F563B40"/>
    <w:rsid w:val="6F5D3069"/>
    <w:rsid w:val="6F712945"/>
    <w:rsid w:val="6F746B1C"/>
    <w:rsid w:val="6F9B1553"/>
    <w:rsid w:val="6F9E7295"/>
    <w:rsid w:val="6FA13BF0"/>
    <w:rsid w:val="6FA63FD2"/>
    <w:rsid w:val="6FBD1F52"/>
    <w:rsid w:val="6FBF3BD4"/>
    <w:rsid w:val="6FC35501"/>
    <w:rsid w:val="6FDF5902"/>
    <w:rsid w:val="6FF63047"/>
    <w:rsid w:val="6FFC5590"/>
    <w:rsid w:val="702857FB"/>
    <w:rsid w:val="70301DA3"/>
    <w:rsid w:val="703A12FE"/>
    <w:rsid w:val="70407C8F"/>
    <w:rsid w:val="705A7681"/>
    <w:rsid w:val="705D0EFE"/>
    <w:rsid w:val="705E26C7"/>
    <w:rsid w:val="705F07D2"/>
    <w:rsid w:val="706D1B66"/>
    <w:rsid w:val="706D1DD0"/>
    <w:rsid w:val="70856B87"/>
    <w:rsid w:val="70A42A4C"/>
    <w:rsid w:val="70AE62DA"/>
    <w:rsid w:val="70BC0E22"/>
    <w:rsid w:val="70D4194A"/>
    <w:rsid w:val="70D527EE"/>
    <w:rsid w:val="710C4DB0"/>
    <w:rsid w:val="710C6D7A"/>
    <w:rsid w:val="713F57D9"/>
    <w:rsid w:val="715B5300"/>
    <w:rsid w:val="715F4BD7"/>
    <w:rsid w:val="71615F0C"/>
    <w:rsid w:val="71654D19"/>
    <w:rsid w:val="71710D97"/>
    <w:rsid w:val="71C11019"/>
    <w:rsid w:val="71C31235"/>
    <w:rsid w:val="71D1733C"/>
    <w:rsid w:val="71D27F8A"/>
    <w:rsid w:val="71D473EF"/>
    <w:rsid w:val="71DF1E4F"/>
    <w:rsid w:val="71F744C6"/>
    <w:rsid w:val="71F960CF"/>
    <w:rsid w:val="7201789C"/>
    <w:rsid w:val="72022186"/>
    <w:rsid w:val="721E4BEF"/>
    <w:rsid w:val="72203606"/>
    <w:rsid w:val="722A3062"/>
    <w:rsid w:val="724361BE"/>
    <w:rsid w:val="725D3437"/>
    <w:rsid w:val="72600E0E"/>
    <w:rsid w:val="726E11A1"/>
    <w:rsid w:val="72734BFB"/>
    <w:rsid w:val="727662A7"/>
    <w:rsid w:val="72790C00"/>
    <w:rsid w:val="727C7D1E"/>
    <w:rsid w:val="72881C0F"/>
    <w:rsid w:val="72907369"/>
    <w:rsid w:val="72A8130B"/>
    <w:rsid w:val="72AC1A1B"/>
    <w:rsid w:val="72B13536"/>
    <w:rsid w:val="72D579DA"/>
    <w:rsid w:val="72DA4A88"/>
    <w:rsid w:val="72E15E16"/>
    <w:rsid w:val="73093217"/>
    <w:rsid w:val="730A33C4"/>
    <w:rsid w:val="731F5D5E"/>
    <w:rsid w:val="73267CCD"/>
    <w:rsid w:val="732F23C3"/>
    <w:rsid w:val="733A1083"/>
    <w:rsid w:val="733C5555"/>
    <w:rsid w:val="734557B2"/>
    <w:rsid w:val="734A34D1"/>
    <w:rsid w:val="73527F9A"/>
    <w:rsid w:val="735A60D6"/>
    <w:rsid w:val="736742E0"/>
    <w:rsid w:val="7369691E"/>
    <w:rsid w:val="737E3665"/>
    <w:rsid w:val="73A155A6"/>
    <w:rsid w:val="73C0335A"/>
    <w:rsid w:val="73C471BF"/>
    <w:rsid w:val="73C759D8"/>
    <w:rsid w:val="73CC268A"/>
    <w:rsid w:val="73CD1524"/>
    <w:rsid w:val="73DB0137"/>
    <w:rsid w:val="73DC6AC2"/>
    <w:rsid w:val="73DE4104"/>
    <w:rsid w:val="73E334C8"/>
    <w:rsid w:val="73E3597E"/>
    <w:rsid w:val="73E86E59"/>
    <w:rsid w:val="73F0525F"/>
    <w:rsid w:val="73F7204E"/>
    <w:rsid w:val="73F73418"/>
    <w:rsid w:val="73F85B5B"/>
    <w:rsid w:val="73F9496E"/>
    <w:rsid w:val="73F97190"/>
    <w:rsid w:val="740A4EF9"/>
    <w:rsid w:val="740B407E"/>
    <w:rsid w:val="74122000"/>
    <w:rsid w:val="741369EC"/>
    <w:rsid w:val="7416564C"/>
    <w:rsid w:val="741E793C"/>
    <w:rsid w:val="742822D3"/>
    <w:rsid w:val="743C0E2B"/>
    <w:rsid w:val="743D6B0F"/>
    <w:rsid w:val="743E6263"/>
    <w:rsid w:val="745C1EAD"/>
    <w:rsid w:val="745D327B"/>
    <w:rsid w:val="746C2F26"/>
    <w:rsid w:val="747B0E8A"/>
    <w:rsid w:val="74900E5E"/>
    <w:rsid w:val="74970007"/>
    <w:rsid w:val="74A10B35"/>
    <w:rsid w:val="74AE3AD6"/>
    <w:rsid w:val="74D84FF7"/>
    <w:rsid w:val="74DA48CB"/>
    <w:rsid w:val="74E97204"/>
    <w:rsid w:val="74F94C25"/>
    <w:rsid w:val="75074DF7"/>
    <w:rsid w:val="750D16FE"/>
    <w:rsid w:val="750E34D7"/>
    <w:rsid w:val="751F2C26"/>
    <w:rsid w:val="751F4274"/>
    <w:rsid w:val="75260C8C"/>
    <w:rsid w:val="7530477E"/>
    <w:rsid w:val="75315055"/>
    <w:rsid w:val="75322872"/>
    <w:rsid w:val="753876AB"/>
    <w:rsid w:val="754B7A97"/>
    <w:rsid w:val="75524DAA"/>
    <w:rsid w:val="75555A8B"/>
    <w:rsid w:val="75636626"/>
    <w:rsid w:val="75773F45"/>
    <w:rsid w:val="75812A44"/>
    <w:rsid w:val="758206FB"/>
    <w:rsid w:val="758C0DEE"/>
    <w:rsid w:val="758D75E2"/>
    <w:rsid w:val="75BB5349"/>
    <w:rsid w:val="75BD6328"/>
    <w:rsid w:val="75C34985"/>
    <w:rsid w:val="75D257C7"/>
    <w:rsid w:val="75E31EA6"/>
    <w:rsid w:val="75E874BC"/>
    <w:rsid w:val="75FD420B"/>
    <w:rsid w:val="76124539"/>
    <w:rsid w:val="76191423"/>
    <w:rsid w:val="76197675"/>
    <w:rsid w:val="76232049"/>
    <w:rsid w:val="762D4ECF"/>
    <w:rsid w:val="76397D18"/>
    <w:rsid w:val="76426734"/>
    <w:rsid w:val="764A1089"/>
    <w:rsid w:val="764C17F9"/>
    <w:rsid w:val="764F73D4"/>
    <w:rsid w:val="765440E5"/>
    <w:rsid w:val="76584225"/>
    <w:rsid w:val="765A1BDA"/>
    <w:rsid w:val="766963E3"/>
    <w:rsid w:val="766C3899"/>
    <w:rsid w:val="766D599B"/>
    <w:rsid w:val="767C27B0"/>
    <w:rsid w:val="767D515F"/>
    <w:rsid w:val="768130A8"/>
    <w:rsid w:val="7694018E"/>
    <w:rsid w:val="76A525E8"/>
    <w:rsid w:val="76AD2D67"/>
    <w:rsid w:val="76B23F11"/>
    <w:rsid w:val="76B82D9C"/>
    <w:rsid w:val="76CC60C4"/>
    <w:rsid w:val="76D437F0"/>
    <w:rsid w:val="76D80EEE"/>
    <w:rsid w:val="76E71522"/>
    <w:rsid w:val="77223CB4"/>
    <w:rsid w:val="77287F3E"/>
    <w:rsid w:val="7737047D"/>
    <w:rsid w:val="7758442F"/>
    <w:rsid w:val="775D45CC"/>
    <w:rsid w:val="776668EA"/>
    <w:rsid w:val="776C6933"/>
    <w:rsid w:val="777004A5"/>
    <w:rsid w:val="77762421"/>
    <w:rsid w:val="77930884"/>
    <w:rsid w:val="77974919"/>
    <w:rsid w:val="77B224D0"/>
    <w:rsid w:val="77BA09E4"/>
    <w:rsid w:val="77BC1883"/>
    <w:rsid w:val="77BD7F7C"/>
    <w:rsid w:val="77C27315"/>
    <w:rsid w:val="77D00208"/>
    <w:rsid w:val="77D305BF"/>
    <w:rsid w:val="77D5273D"/>
    <w:rsid w:val="77F24622"/>
    <w:rsid w:val="77FC2DAB"/>
    <w:rsid w:val="77FE4D16"/>
    <w:rsid w:val="780F09F4"/>
    <w:rsid w:val="78131AC7"/>
    <w:rsid w:val="781C5B90"/>
    <w:rsid w:val="781F3B0E"/>
    <w:rsid w:val="783A5239"/>
    <w:rsid w:val="784A74AC"/>
    <w:rsid w:val="78590DFF"/>
    <w:rsid w:val="78610B02"/>
    <w:rsid w:val="78682FDD"/>
    <w:rsid w:val="786E680A"/>
    <w:rsid w:val="7877697C"/>
    <w:rsid w:val="787D7485"/>
    <w:rsid w:val="788075B7"/>
    <w:rsid w:val="788B2ED7"/>
    <w:rsid w:val="789143F5"/>
    <w:rsid w:val="789C4F47"/>
    <w:rsid w:val="78A21BA4"/>
    <w:rsid w:val="78A90480"/>
    <w:rsid w:val="78B37A40"/>
    <w:rsid w:val="78C720BF"/>
    <w:rsid w:val="78C87131"/>
    <w:rsid w:val="78E147C9"/>
    <w:rsid w:val="78E21FA1"/>
    <w:rsid w:val="78EA5A63"/>
    <w:rsid w:val="79020895"/>
    <w:rsid w:val="791E4FA3"/>
    <w:rsid w:val="7925525D"/>
    <w:rsid w:val="792D2615"/>
    <w:rsid w:val="79314CD6"/>
    <w:rsid w:val="793175A6"/>
    <w:rsid w:val="793C3EDE"/>
    <w:rsid w:val="79455C0B"/>
    <w:rsid w:val="794C0A8D"/>
    <w:rsid w:val="794D0D8E"/>
    <w:rsid w:val="795212AE"/>
    <w:rsid w:val="795307AE"/>
    <w:rsid w:val="79644F78"/>
    <w:rsid w:val="7967471C"/>
    <w:rsid w:val="796D454F"/>
    <w:rsid w:val="796D6F42"/>
    <w:rsid w:val="79711576"/>
    <w:rsid w:val="797E33DE"/>
    <w:rsid w:val="79811327"/>
    <w:rsid w:val="79825532"/>
    <w:rsid w:val="798C63B0"/>
    <w:rsid w:val="79993A28"/>
    <w:rsid w:val="799E7CC2"/>
    <w:rsid w:val="79A531C3"/>
    <w:rsid w:val="79C43D9C"/>
    <w:rsid w:val="79DC7CD0"/>
    <w:rsid w:val="79E144F5"/>
    <w:rsid w:val="79F41E6D"/>
    <w:rsid w:val="79FF6B82"/>
    <w:rsid w:val="7A1251FE"/>
    <w:rsid w:val="7A29688D"/>
    <w:rsid w:val="7A364017"/>
    <w:rsid w:val="7A446715"/>
    <w:rsid w:val="7A4F035D"/>
    <w:rsid w:val="7A517C9C"/>
    <w:rsid w:val="7A6A38C6"/>
    <w:rsid w:val="7A6A6812"/>
    <w:rsid w:val="7A6F5AB6"/>
    <w:rsid w:val="7A727629"/>
    <w:rsid w:val="7A777060"/>
    <w:rsid w:val="7A7835C8"/>
    <w:rsid w:val="7A7C6425"/>
    <w:rsid w:val="7A807CC3"/>
    <w:rsid w:val="7A8265E1"/>
    <w:rsid w:val="7A8E08D7"/>
    <w:rsid w:val="7A910122"/>
    <w:rsid w:val="7A9F2364"/>
    <w:rsid w:val="7AB160CE"/>
    <w:rsid w:val="7AC57DCC"/>
    <w:rsid w:val="7AF55978"/>
    <w:rsid w:val="7AFC51D8"/>
    <w:rsid w:val="7AFD5038"/>
    <w:rsid w:val="7B007056"/>
    <w:rsid w:val="7B072F82"/>
    <w:rsid w:val="7B2B3920"/>
    <w:rsid w:val="7B3A3FEF"/>
    <w:rsid w:val="7B3D79A6"/>
    <w:rsid w:val="7B3E0ACF"/>
    <w:rsid w:val="7B686D42"/>
    <w:rsid w:val="7B6E46DC"/>
    <w:rsid w:val="7B761008"/>
    <w:rsid w:val="7B76529D"/>
    <w:rsid w:val="7B78480F"/>
    <w:rsid w:val="7B841746"/>
    <w:rsid w:val="7B85342F"/>
    <w:rsid w:val="7B8E6410"/>
    <w:rsid w:val="7B9D7CF8"/>
    <w:rsid w:val="7BA82CB4"/>
    <w:rsid w:val="7BBA006B"/>
    <w:rsid w:val="7BBB4D2B"/>
    <w:rsid w:val="7C001529"/>
    <w:rsid w:val="7C077E12"/>
    <w:rsid w:val="7C095A81"/>
    <w:rsid w:val="7C1846C0"/>
    <w:rsid w:val="7C1903CF"/>
    <w:rsid w:val="7C193FC6"/>
    <w:rsid w:val="7C224DAA"/>
    <w:rsid w:val="7C253132"/>
    <w:rsid w:val="7C350F81"/>
    <w:rsid w:val="7C3617EF"/>
    <w:rsid w:val="7C3645A0"/>
    <w:rsid w:val="7C3C40BE"/>
    <w:rsid w:val="7C630891"/>
    <w:rsid w:val="7C672088"/>
    <w:rsid w:val="7C736C62"/>
    <w:rsid w:val="7C846A06"/>
    <w:rsid w:val="7C870D53"/>
    <w:rsid w:val="7C8A0F77"/>
    <w:rsid w:val="7C8D3DAD"/>
    <w:rsid w:val="7CAD345A"/>
    <w:rsid w:val="7CB562B9"/>
    <w:rsid w:val="7CD82038"/>
    <w:rsid w:val="7CDC18B9"/>
    <w:rsid w:val="7CDC21A3"/>
    <w:rsid w:val="7CDE6F23"/>
    <w:rsid w:val="7CF16C56"/>
    <w:rsid w:val="7CF97C1F"/>
    <w:rsid w:val="7CFB1883"/>
    <w:rsid w:val="7CFE0C47"/>
    <w:rsid w:val="7D00471E"/>
    <w:rsid w:val="7D0239FF"/>
    <w:rsid w:val="7D1B0C08"/>
    <w:rsid w:val="7D3036DB"/>
    <w:rsid w:val="7D3552A1"/>
    <w:rsid w:val="7D402FBF"/>
    <w:rsid w:val="7D4A45B8"/>
    <w:rsid w:val="7D5D253D"/>
    <w:rsid w:val="7D5E40CD"/>
    <w:rsid w:val="7D693BED"/>
    <w:rsid w:val="7D717D97"/>
    <w:rsid w:val="7D7554AD"/>
    <w:rsid w:val="7D756BC8"/>
    <w:rsid w:val="7D7D04EA"/>
    <w:rsid w:val="7D8024BA"/>
    <w:rsid w:val="7D805BC0"/>
    <w:rsid w:val="7D882AC8"/>
    <w:rsid w:val="7D883F73"/>
    <w:rsid w:val="7DA41F1A"/>
    <w:rsid w:val="7DA97531"/>
    <w:rsid w:val="7DAA32A9"/>
    <w:rsid w:val="7DB60EEE"/>
    <w:rsid w:val="7DC25949"/>
    <w:rsid w:val="7DC81EC8"/>
    <w:rsid w:val="7DE57CFD"/>
    <w:rsid w:val="7DE62533"/>
    <w:rsid w:val="7DEC38C1"/>
    <w:rsid w:val="7DF9739C"/>
    <w:rsid w:val="7DFE0D15"/>
    <w:rsid w:val="7E040C0B"/>
    <w:rsid w:val="7E0429B9"/>
    <w:rsid w:val="7E0806FB"/>
    <w:rsid w:val="7E1E23D4"/>
    <w:rsid w:val="7E2536BB"/>
    <w:rsid w:val="7E2B2AA3"/>
    <w:rsid w:val="7E307AFE"/>
    <w:rsid w:val="7E38665B"/>
    <w:rsid w:val="7E3E0B74"/>
    <w:rsid w:val="7E723DC7"/>
    <w:rsid w:val="7E8A55B4"/>
    <w:rsid w:val="7E8F0CEC"/>
    <w:rsid w:val="7EA313D4"/>
    <w:rsid w:val="7EA4716D"/>
    <w:rsid w:val="7EB937A4"/>
    <w:rsid w:val="7EDE590E"/>
    <w:rsid w:val="7EF15C3A"/>
    <w:rsid w:val="7F065208"/>
    <w:rsid w:val="7F0A124D"/>
    <w:rsid w:val="7F1123B4"/>
    <w:rsid w:val="7F1C0E5C"/>
    <w:rsid w:val="7F22574A"/>
    <w:rsid w:val="7F3466B6"/>
    <w:rsid w:val="7F370B6C"/>
    <w:rsid w:val="7F4042A9"/>
    <w:rsid w:val="7F895B08"/>
    <w:rsid w:val="7F98785D"/>
    <w:rsid w:val="7F9E3089"/>
    <w:rsid w:val="7FAA7590"/>
    <w:rsid w:val="7FB9503F"/>
    <w:rsid w:val="7FC94BF2"/>
    <w:rsid w:val="7FCF6FF7"/>
    <w:rsid w:val="7FE47E50"/>
    <w:rsid w:val="7FF52F01"/>
    <w:rsid w:val="7FF60A27"/>
    <w:rsid w:val="7FFF7E10"/>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ocked="1"/>
    <w:lsdException w:qFormat="1" w:unhideWhenUsed="0" w:uiPriority="0" w:semiHidden="0" w:name="heading 3" w:locked="1"/>
    <w:lsdException w:qFormat="1" w:unhideWhenUsed="0" w:uiPriority="0" w:semiHidden="0" w:name="heading 4" w:locked="1"/>
    <w:lsdException w:qFormat="1" w:unhideWhenUsed="0" w:uiPriority="0" w:semiHidden="0" w:name="heading 5" w:locked="1"/>
    <w:lsdException w:qFormat="1" w:unhideWhenUsed="0" w:uiPriority="0" w:semiHidden="0" w:name="heading 6" w:locked="1"/>
    <w:lsdException w:qFormat="1" w:unhideWhenUsed="0" w:uiPriority="0" w:semiHidden="0" w:name="heading 7" w:locked="1"/>
    <w:lsdException w:qFormat="1" w:unhideWhenUsed="0" w:uiPriority="0" w:semiHidden="0" w:name="heading 8" w:locked="1"/>
    <w:lsdException w:qFormat="1" w:unhideWhenUsed="0" w:uiPriority="0" w:semiHidden="0" w:name="heading 9" w:locked="1"/>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ocked="1"/>
    <w:lsdException w:qFormat="1" w:unhideWhenUsed="0" w:uiPriority="0" w:semiHidden="0" w:name="toc 2" w:locked="1"/>
    <w:lsdException w:qFormat="1" w:unhideWhenUsed="0" w:uiPriority="0" w:semiHidden="0" w:name="toc 3"/>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semiHidden="0" w:name="caption" w:locked="1"/>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unhideWhenUsed="0" w:uiPriority="0" w:semiHidden="0" w:name="Title" w:locked="1"/>
    <w:lsdException w:unhideWhenUsed="0" w:uiPriority="0" w:semiHidden="0" w:name="Closing"/>
    <w:lsdException w:unhideWhenUsed="0" w:uiPriority="0" w:semiHidden="0" w:name="Signature"/>
    <w:lsdException w:qFormat="1" w:unhideWhenUsed="0" w:uiPriority="0" w:semiHidden="0" w:name="Default Paragraph Font"/>
    <w:lsdException w:qFormat="1" w:uiPriority="1" w:semiHidden="0" w:name="Body Text"/>
    <w:lsdException w:qFormat="1" w:uiPriority="99"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unhideWhenUsed="0" w:uiPriority="0" w:semiHidden="0" w:name="Subtitle" w:locked="1"/>
    <w:lsdException w:unhideWhenUsed="0" w:uiPriority="0" w:semiHidden="0" w:name="Salutation"/>
    <w:lsdException w:unhideWhenUsed="0" w:uiPriority="0" w:semiHidden="0" w:name="Date"/>
    <w:lsdException w:qFormat="1"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unhideWhenUsed="0" w:uiPriority="0" w:semiHidden="0" w:name="Strong" w:locked="1"/>
    <w:lsdException w:unhideWhenUsed="0" w:uiPriority="0" w:semiHidden="0" w:name="Emphasis" w:locked="1"/>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jc w:val="both"/>
    </w:pPr>
    <w:rPr>
      <w:rFonts w:ascii="Times New Roman" w:hAnsi="Times New Roman" w:eastAsia="宋体" w:cs="Times New Roman"/>
      <w:kern w:val="2"/>
      <w:sz w:val="24"/>
      <w:szCs w:val="24"/>
      <w:lang w:val="en-US" w:eastAsia="zh-CN" w:bidi="ar-SA"/>
    </w:rPr>
  </w:style>
  <w:style w:type="paragraph" w:styleId="2">
    <w:name w:val="heading 1"/>
    <w:basedOn w:val="1"/>
    <w:next w:val="1"/>
    <w:link w:val="25"/>
    <w:qFormat/>
    <w:uiPriority w:val="0"/>
    <w:pPr>
      <w:keepNext/>
      <w:numPr>
        <w:ilvl w:val="0"/>
        <w:numId w:val="1"/>
      </w:numPr>
      <w:tabs>
        <w:tab w:val="left" w:pos="0"/>
        <w:tab w:val="clear" w:pos="420"/>
      </w:tabs>
      <w:overflowPunct w:val="0"/>
      <w:snapToGrid w:val="0"/>
      <w:spacing w:before="120" w:after="160" w:line="260" w:lineRule="auto"/>
      <w:ind w:left="425" w:hanging="425"/>
      <w:jc w:val="center"/>
      <w:outlineLvl w:val="0"/>
    </w:pPr>
    <w:rPr>
      <w:rFonts w:ascii="Times New Roman" w:hAnsi="Times New Roman" w:eastAsia="黑体"/>
      <w:bCs/>
      <w:color w:val="000000"/>
      <w:kern w:val="44"/>
      <w:sz w:val="30"/>
      <w:szCs w:val="30"/>
    </w:rPr>
  </w:style>
  <w:style w:type="paragraph" w:styleId="3">
    <w:name w:val="heading 2"/>
    <w:basedOn w:val="1"/>
    <w:next w:val="1"/>
    <w:link w:val="26"/>
    <w:qFormat/>
    <w:locked/>
    <w:uiPriority w:val="0"/>
    <w:pPr>
      <w:keepNext/>
      <w:keepLines/>
      <w:numPr>
        <w:ilvl w:val="1"/>
        <w:numId w:val="1"/>
      </w:numPr>
      <w:adjustRightInd w:val="0"/>
      <w:snapToGrid w:val="0"/>
      <w:spacing w:before="50" w:beforeLines="50" w:beforeAutospacing="0" w:afterLines="0" w:afterAutospacing="0" w:line="360" w:lineRule="auto"/>
      <w:ind w:left="567" w:hanging="567" w:firstLineChars="0"/>
      <w:jc w:val="left"/>
      <w:outlineLvl w:val="1"/>
    </w:pPr>
    <w:rPr>
      <w:b/>
      <w:sz w:val="28"/>
    </w:rPr>
  </w:style>
  <w:style w:type="paragraph" w:styleId="4">
    <w:name w:val="heading 3"/>
    <w:basedOn w:val="1"/>
    <w:next w:val="1"/>
    <w:link w:val="27"/>
    <w:qFormat/>
    <w:locked/>
    <w:uiPriority w:val="0"/>
    <w:pPr>
      <w:keepNext/>
      <w:keepLines/>
      <w:numPr>
        <w:ilvl w:val="2"/>
        <w:numId w:val="1"/>
      </w:numPr>
      <w:adjustRightInd w:val="0"/>
      <w:snapToGrid w:val="0"/>
      <w:spacing w:beforeLines="0" w:beforeAutospacing="0" w:afterLines="0" w:afterAutospacing="0" w:line="360" w:lineRule="auto"/>
      <w:ind w:left="567" w:hanging="567" w:firstLineChars="0"/>
      <w:jc w:val="left"/>
      <w:outlineLvl w:val="2"/>
    </w:pPr>
    <w:rPr>
      <w:rFonts w:ascii="Times New Roman" w:hAnsi="Times New Roman" w:eastAsia="宋体"/>
      <w:b/>
    </w:rPr>
  </w:style>
  <w:style w:type="paragraph" w:styleId="5">
    <w:name w:val="heading 4"/>
    <w:basedOn w:val="1"/>
    <w:next w:val="1"/>
    <w:qFormat/>
    <w:locked/>
    <w:uiPriority w:val="0"/>
    <w:pPr>
      <w:keepNext/>
      <w:keepLines/>
      <w:numPr>
        <w:ilvl w:val="3"/>
        <w:numId w:val="1"/>
      </w:numPr>
      <w:adjustRightInd w:val="0"/>
      <w:snapToGrid w:val="0"/>
      <w:spacing w:beforeLines="0" w:beforeAutospacing="0" w:afterLines="0" w:afterAutospacing="0" w:line="360" w:lineRule="auto"/>
      <w:ind w:left="850" w:hanging="850" w:firstLineChars="0"/>
      <w:jc w:val="left"/>
      <w:outlineLvl w:val="3"/>
    </w:pPr>
    <w:rPr>
      <w:b/>
      <w:sz w:val="24"/>
    </w:rPr>
  </w:style>
  <w:style w:type="paragraph" w:styleId="6">
    <w:name w:val="heading 5"/>
    <w:basedOn w:val="1"/>
    <w:next w:val="1"/>
    <w:qFormat/>
    <w:locked/>
    <w:uiPriority w:val="0"/>
    <w:pPr>
      <w:keepNext/>
      <w:keepLines/>
      <w:numPr>
        <w:ilvl w:val="4"/>
        <w:numId w:val="2"/>
      </w:numPr>
      <w:spacing w:beforeLines="0" w:beforeAutospacing="0" w:afterLines="0" w:afterAutospacing="0" w:line="360" w:lineRule="auto"/>
      <w:ind w:left="991" w:hanging="991"/>
      <w:outlineLvl w:val="4"/>
    </w:pPr>
    <w:rPr>
      <w:b/>
      <w:sz w:val="32"/>
    </w:rPr>
  </w:style>
  <w:style w:type="paragraph" w:styleId="7">
    <w:name w:val="heading 6"/>
    <w:basedOn w:val="1"/>
    <w:next w:val="1"/>
    <w:qFormat/>
    <w:locked/>
    <w:uiPriority w:val="0"/>
    <w:pPr>
      <w:keepNext/>
      <w:keepLines/>
      <w:numPr>
        <w:ilvl w:val="5"/>
        <w:numId w:val="2"/>
      </w:numPr>
      <w:spacing w:beforeLines="0" w:beforeAutospacing="0" w:afterLines="0" w:afterAutospacing="0" w:line="240" w:lineRule="auto"/>
      <w:ind w:left="0" w:firstLine="0"/>
      <w:outlineLvl w:val="5"/>
    </w:pPr>
    <w:rPr>
      <w:b/>
      <w:sz w:val="32"/>
    </w:rPr>
  </w:style>
  <w:style w:type="paragraph" w:styleId="8">
    <w:name w:val="heading 7"/>
    <w:basedOn w:val="1"/>
    <w:next w:val="1"/>
    <w:qFormat/>
    <w:locked/>
    <w:uiPriority w:val="0"/>
    <w:pPr>
      <w:keepNext/>
      <w:keepLines/>
      <w:numPr>
        <w:ilvl w:val="6"/>
        <w:numId w:val="3"/>
      </w:numPr>
      <w:spacing w:before="240" w:beforeLines="0" w:beforeAutospacing="0" w:after="64" w:afterLines="0" w:afterAutospacing="0" w:line="317" w:lineRule="auto"/>
      <w:ind w:left="1296" w:hanging="1296"/>
      <w:outlineLvl w:val="6"/>
    </w:pPr>
    <w:rPr>
      <w:b/>
      <w:sz w:val="24"/>
    </w:rPr>
  </w:style>
  <w:style w:type="paragraph" w:styleId="9">
    <w:name w:val="heading 8"/>
    <w:basedOn w:val="1"/>
    <w:next w:val="1"/>
    <w:qFormat/>
    <w:locked/>
    <w:uiPriority w:val="0"/>
    <w:pPr>
      <w:keepNext/>
      <w:keepLines/>
      <w:numPr>
        <w:ilvl w:val="7"/>
        <w:numId w:val="3"/>
      </w:numPr>
      <w:spacing w:before="240" w:beforeLines="0" w:beforeAutospacing="0" w:after="64" w:afterLines="0" w:afterAutospacing="0" w:line="317" w:lineRule="auto"/>
      <w:ind w:left="1440" w:hanging="1440"/>
      <w:outlineLvl w:val="7"/>
    </w:pPr>
    <w:rPr>
      <w:rFonts w:ascii="Arial" w:hAnsi="Arial" w:eastAsia="黑体"/>
      <w:sz w:val="24"/>
    </w:rPr>
  </w:style>
  <w:style w:type="paragraph" w:styleId="10">
    <w:name w:val="heading 9"/>
    <w:basedOn w:val="1"/>
    <w:next w:val="1"/>
    <w:qFormat/>
    <w:locked/>
    <w:uiPriority w:val="0"/>
    <w:pPr>
      <w:keepNext/>
      <w:keepLines/>
      <w:numPr>
        <w:ilvl w:val="8"/>
        <w:numId w:val="3"/>
      </w:numPr>
      <w:spacing w:before="240" w:beforeLines="0" w:beforeAutospacing="0" w:after="64" w:afterLines="0" w:afterAutospacing="0" w:line="317" w:lineRule="auto"/>
      <w:ind w:left="1583" w:hanging="1583"/>
      <w:outlineLvl w:val="8"/>
    </w:pPr>
    <w:rPr>
      <w:rFonts w:ascii="Arial" w:hAnsi="Arial" w:eastAsia="黑体"/>
      <w:sz w:val="21"/>
    </w:rPr>
  </w:style>
  <w:style w:type="character" w:default="1" w:styleId="23">
    <w:name w:val="Default Paragraph Font"/>
    <w:qFormat/>
    <w:uiPriority w:val="0"/>
  </w:style>
  <w:style w:type="table" w:default="1" w:styleId="21">
    <w:name w:val="Normal Table"/>
    <w:semiHidden/>
    <w:qFormat/>
    <w:uiPriority w:val="0"/>
    <w:tblPr>
      <w:tblCellMar>
        <w:top w:w="0" w:type="dxa"/>
        <w:left w:w="108" w:type="dxa"/>
        <w:bottom w:w="0" w:type="dxa"/>
        <w:right w:w="108" w:type="dxa"/>
      </w:tblCellMar>
    </w:tblPr>
  </w:style>
  <w:style w:type="paragraph" w:styleId="11">
    <w:name w:val="caption"/>
    <w:basedOn w:val="1"/>
    <w:next w:val="1"/>
    <w:unhideWhenUsed/>
    <w:qFormat/>
    <w:locked/>
    <w:uiPriority w:val="0"/>
    <w:pPr>
      <w:spacing w:line="240" w:lineRule="auto"/>
      <w:ind w:firstLine="0" w:firstLineChars="0"/>
      <w:jc w:val="center"/>
    </w:pPr>
    <w:rPr>
      <w:rFonts w:ascii="Times New Roman" w:hAnsi="Times New Roman" w:eastAsia="宋体"/>
      <w:b/>
      <w:bCs/>
      <w:sz w:val="24"/>
    </w:rPr>
  </w:style>
  <w:style w:type="paragraph" w:styleId="12">
    <w:name w:val="annotation text"/>
    <w:basedOn w:val="1"/>
    <w:qFormat/>
    <w:uiPriority w:val="0"/>
    <w:pPr>
      <w:jc w:val="left"/>
    </w:pPr>
  </w:style>
  <w:style w:type="paragraph" w:styleId="13">
    <w:name w:val="Body Text"/>
    <w:basedOn w:val="1"/>
    <w:unhideWhenUsed/>
    <w:qFormat/>
    <w:uiPriority w:val="1"/>
    <w:pPr>
      <w:spacing w:after="120"/>
    </w:pPr>
  </w:style>
  <w:style w:type="paragraph" w:styleId="14">
    <w:name w:val="Body Text Indent"/>
    <w:basedOn w:val="1"/>
    <w:unhideWhenUsed/>
    <w:qFormat/>
    <w:uiPriority w:val="99"/>
    <w:pPr>
      <w:spacing w:after="120"/>
      <w:ind w:left="420" w:leftChars="200"/>
    </w:pPr>
  </w:style>
  <w:style w:type="paragraph" w:styleId="15">
    <w:name w:val="toc 3"/>
    <w:basedOn w:val="1"/>
    <w:next w:val="1"/>
    <w:qFormat/>
    <w:uiPriority w:val="0"/>
    <w:pPr>
      <w:ind w:left="840" w:leftChars="400"/>
    </w:pPr>
  </w:style>
  <w:style w:type="paragraph" w:styleId="16">
    <w:name w:val="footer"/>
    <w:basedOn w:val="1"/>
    <w:link w:val="28"/>
    <w:qFormat/>
    <w:uiPriority w:val="0"/>
    <w:pPr>
      <w:tabs>
        <w:tab w:val="center" w:pos="4153"/>
        <w:tab w:val="right" w:pos="8306"/>
      </w:tabs>
      <w:snapToGrid w:val="0"/>
      <w:jc w:val="left"/>
    </w:pPr>
    <w:rPr>
      <w:sz w:val="18"/>
      <w:szCs w:val="18"/>
    </w:rPr>
  </w:style>
  <w:style w:type="paragraph" w:styleId="17">
    <w:name w:val="header"/>
    <w:basedOn w:val="1"/>
    <w:link w:val="29"/>
    <w:qFormat/>
    <w:uiPriority w:val="0"/>
    <w:pPr>
      <w:pBdr>
        <w:bottom w:val="single" w:color="auto" w:sz="6" w:space="1"/>
      </w:pBdr>
      <w:tabs>
        <w:tab w:val="center" w:pos="4153"/>
        <w:tab w:val="right" w:pos="8306"/>
      </w:tabs>
      <w:snapToGrid w:val="0"/>
      <w:jc w:val="center"/>
    </w:pPr>
    <w:rPr>
      <w:sz w:val="18"/>
      <w:szCs w:val="18"/>
    </w:rPr>
  </w:style>
  <w:style w:type="paragraph" w:styleId="18">
    <w:name w:val="toc 1"/>
    <w:basedOn w:val="1"/>
    <w:next w:val="1"/>
    <w:qFormat/>
    <w:locked/>
    <w:uiPriority w:val="0"/>
  </w:style>
  <w:style w:type="paragraph" w:styleId="19">
    <w:name w:val="toc 2"/>
    <w:basedOn w:val="1"/>
    <w:next w:val="1"/>
    <w:qFormat/>
    <w:locked/>
    <w:uiPriority w:val="0"/>
    <w:pPr>
      <w:ind w:left="420" w:leftChars="200"/>
    </w:pPr>
  </w:style>
  <w:style w:type="paragraph" w:styleId="20">
    <w:name w:val="Body Text First Indent"/>
    <w:basedOn w:val="13"/>
    <w:qFormat/>
    <w:uiPriority w:val="0"/>
    <w:pPr>
      <w:spacing w:line="500" w:lineRule="exact"/>
      <w:ind w:firstLine="420"/>
    </w:pPr>
    <w:rPr>
      <w:rFonts w:ascii="楷体_GB2312" w:hAnsi="CenturionOld" w:eastAsia="楷体_GB2312" w:cs="Times New Roman"/>
      <w:spacing w:val="15"/>
      <w:sz w:val="32"/>
      <w:szCs w:val="20"/>
    </w:rPr>
  </w:style>
  <w:style w:type="table" w:styleId="22">
    <w:name w:val="Table Grid"/>
    <w:basedOn w:val="21"/>
    <w:qFormat/>
    <w:uiPriority w:val="0"/>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page number"/>
    <w:basedOn w:val="23"/>
    <w:qFormat/>
    <w:uiPriority w:val="0"/>
  </w:style>
  <w:style w:type="character" w:customStyle="1" w:styleId="25">
    <w:name w:val="标题 1 Char"/>
    <w:link w:val="2"/>
    <w:qFormat/>
    <w:uiPriority w:val="0"/>
    <w:rPr>
      <w:rFonts w:ascii="Times New Roman" w:hAnsi="Times New Roman" w:eastAsia="黑体"/>
      <w:bCs/>
      <w:color w:val="000000"/>
      <w:kern w:val="44"/>
      <w:sz w:val="30"/>
      <w:szCs w:val="30"/>
    </w:rPr>
  </w:style>
  <w:style w:type="character" w:customStyle="1" w:styleId="26">
    <w:name w:val="标题 2 Char"/>
    <w:link w:val="3"/>
    <w:qFormat/>
    <w:uiPriority w:val="0"/>
    <w:rPr>
      <w:rFonts w:eastAsia="宋体"/>
      <w:b/>
      <w:sz w:val="28"/>
    </w:rPr>
  </w:style>
  <w:style w:type="character" w:customStyle="1" w:styleId="27">
    <w:name w:val="标题 3 Char"/>
    <w:link w:val="4"/>
    <w:qFormat/>
    <w:uiPriority w:val="0"/>
    <w:rPr>
      <w:rFonts w:ascii="Times New Roman" w:hAnsi="Times New Roman" w:eastAsia="宋体"/>
      <w:b/>
      <w:sz w:val="24"/>
      <w:szCs w:val="24"/>
    </w:rPr>
  </w:style>
  <w:style w:type="character" w:customStyle="1" w:styleId="28">
    <w:name w:val="Footer Char"/>
    <w:basedOn w:val="23"/>
    <w:link w:val="16"/>
    <w:qFormat/>
    <w:locked/>
    <w:uiPriority w:val="0"/>
    <w:rPr>
      <w:rFonts w:cs="Times New Roman"/>
      <w:sz w:val="18"/>
      <w:szCs w:val="18"/>
    </w:rPr>
  </w:style>
  <w:style w:type="character" w:customStyle="1" w:styleId="29">
    <w:name w:val="Header Char"/>
    <w:basedOn w:val="23"/>
    <w:link w:val="17"/>
    <w:qFormat/>
    <w:locked/>
    <w:uiPriority w:val="0"/>
    <w:rPr>
      <w:rFonts w:cs="Times New Roman"/>
      <w:sz w:val="18"/>
      <w:szCs w:val="18"/>
    </w:rPr>
  </w:style>
  <w:style w:type="paragraph" w:customStyle="1" w:styleId="30">
    <w:name w:val="表格标题"/>
    <w:basedOn w:val="1"/>
    <w:link w:val="34"/>
    <w:qFormat/>
    <w:uiPriority w:val="0"/>
    <w:pPr>
      <w:adjustRightInd w:val="0"/>
      <w:snapToGrid w:val="0"/>
      <w:spacing w:line="240" w:lineRule="auto"/>
      <w:ind w:firstLine="0" w:firstLineChars="0"/>
      <w:jc w:val="center"/>
    </w:pPr>
    <w:rPr>
      <w:rFonts w:hint="eastAsia"/>
      <w:b/>
    </w:rPr>
  </w:style>
  <w:style w:type="paragraph" w:customStyle="1" w:styleId="31">
    <w:name w:val="表格文字"/>
    <w:basedOn w:val="1"/>
    <w:link w:val="35"/>
    <w:qFormat/>
    <w:uiPriority w:val="0"/>
    <w:pPr>
      <w:adjustRightInd w:val="0"/>
      <w:snapToGrid w:val="0"/>
      <w:spacing w:line="240" w:lineRule="auto"/>
      <w:jc w:val="center"/>
    </w:pPr>
    <w:rPr>
      <w:sz w:val="21"/>
    </w:rPr>
  </w:style>
  <w:style w:type="table" w:customStyle="1" w:styleId="32">
    <w:name w:val="Table Normal"/>
    <w:unhideWhenUsed/>
    <w:qFormat/>
    <w:uiPriority w:val="0"/>
    <w:tblPr>
      <w:tblCellMar>
        <w:top w:w="0" w:type="dxa"/>
        <w:left w:w="0" w:type="dxa"/>
        <w:bottom w:w="0" w:type="dxa"/>
        <w:right w:w="0" w:type="dxa"/>
      </w:tblCellMar>
    </w:tblPr>
  </w:style>
  <w:style w:type="paragraph" w:customStyle="1" w:styleId="33">
    <w:name w:val="表格内容"/>
    <w:next w:val="1"/>
    <w:qFormat/>
    <w:uiPriority w:val="0"/>
    <w:pPr>
      <w:adjustRightInd w:val="0"/>
      <w:snapToGrid w:val="0"/>
      <w:spacing w:before="30" w:after="30"/>
      <w:jc w:val="center"/>
    </w:pPr>
    <w:rPr>
      <w:rFonts w:ascii="Times New Roman" w:hAnsi="Times New Roman" w:eastAsia="宋体" w:cs="Times New Roman"/>
      <w:kern w:val="2"/>
      <w:sz w:val="21"/>
      <w:szCs w:val="22"/>
      <w:lang w:bidi="ar-SA"/>
    </w:rPr>
  </w:style>
  <w:style w:type="character" w:customStyle="1" w:styleId="34">
    <w:name w:val="表格标题 Char"/>
    <w:link w:val="30"/>
    <w:qFormat/>
    <w:uiPriority w:val="0"/>
    <w:rPr>
      <w:rFonts w:hint="eastAsia"/>
      <w:b/>
    </w:rPr>
  </w:style>
  <w:style w:type="character" w:customStyle="1" w:styleId="35">
    <w:name w:val="表格文字 Char"/>
    <w:link w:val="31"/>
    <w:qFormat/>
    <w:uiPriority w:val="0"/>
    <w:rPr>
      <w:sz w:val="21"/>
    </w:rPr>
  </w:style>
</w:styles>
</file>

<file path=word/_rels/document.xml.rels><?xml version="1.0" encoding="UTF-8" standalone="yes"?>
<Relationships xmlns="http://schemas.openxmlformats.org/package/2006/relationships"><Relationship Id="rId99" Type="http://schemas.openxmlformats.org/officeDocument/2006/relationships/image" Target="media/image52.wmf"/><Relationship Id="rId98" Type="http://schemas.openxmlformats.org/officeDocument/2006/relationships/oleObject" Target="embeddings/oleObject36.bin"/><Relationship Id="rId97" Type="http://schemas.openxmlformats.org/officeDocument/2006/relationships/image" Target="media/image51.wmf"/><Relationship Id="rId96" Type="http://schemas.openxmlformats.org/officeDocument/2006/relationships/oleObject" Target="embeddings/oleObject35.bin"/><Relationship Id="rId95" Type="http://schemas.openxmlformats.org/officeDocument/2006/relationships/image" Target="media/image50.wmf"/><Relationship Id="rId94" Type="http://schemas.openxmlformats.org/officeDocument/2006/relationships/oleObject" Target="embeddings/oleObject34.bin"/><Relationship Id="rId93" Type="http://schemas.openxmlformats.org/officeDocument/2006/relationships/image" Target="media/image49.wmf"/><Relationship Id="rId92" Type="http://schemas.openxmlformats.org/officeDocument/2006/relationships/oleObject" Target="embeddings/oleObject33.bin"/><Relationship Id="rId91" Type="http://schemas.openxmlformats.org/officeDocument/2006/relationships/image" Target="media/image48.wmf"/><Relationship Id="rId90" Type="http://schemas.openxmlformats.org/officeDocument/2006/relationships/image" Target="media/image47.wmf"/><Relationship Id="rId9" Type="http://schemas.openxmlformats.org/officeDocument/2006/relationships/header" Target="header2.xml"/><Relationship Id="rId89" Type="http://schemas.openxmlformats.org/officeDocument/2006/relationships/image" Target="media/image46.wmf"/><Relationship Id="rId88" Type="http://schemas.openxmlformats.org/officeDocument/2006/relationships/image" Target="media/image45.wmf"/><Relationship Id="rId87" Type="http://schemas.openxmlformats.org/officeDocument/2006/relationships/oleObject" Target="embeddings/oleObject32.bin"/><Relationship Id="rId86" Type="http://schemas.openxmlformats.org/officeDocument/2006/relationships/image" Target="media/image44.wmf"/><Relationship Id="rId85" Type="http://schemas.openxmlformats.org/officeDocument/2006/relationships/oleObject" Target="embeddings/oleObject31.bin"/><Relationship Id="rId84" Type="http://schemas.openxmlformats.org/officeDocument/2006/relationships/image" Target="media/image43.wmf"/><Relationship Id="rId83" Type="http://schemas.openxmlformats.org/officeDocument/2006/relationships/oleObject" Target="embeddings/oleObject30.bin"/><Relationship Id="rId82" Type="http://schemas.openxmlformats.org/officeDocument/2006/relationships/image" Target="media/image42.wmf"/><Relationship Id="rId81" Type="http://schemas.openxmlformats.org/officeDocument/2006/relationships/oleObject" Target="embeddings/oleObject29.bin"/><Relationship Id="rId80" Type="http://schemas.openxmlformats.org/officeDocument/2006/relationships/image" Target="media/image41.wmf"/><Relationship Id="rId8" Type="http://schemas.openxmlformats.org/officeDocument/2006/relationships/footer" Target="footer3.xml"/><Relationship Id="rId79" Type="http://schemas.openxmlformats.org/officeDocument/2006/relationships/oleObject" Target="embeddings/oleObject28.bin"/><Relationship Id="rId78" Type="http://schemas.openxmlformats.org/officeDocument/2006/relationships/image" Target="media/image40.wmf"/><Relationship Id="rId77" Type="http://schemas.openxmlformats.org/officeDocument/2006/relationships/oleObject" Target="embeddings/oleObject27.bin"/><Relationship Id="rId76" Type="http://schemas.openxmlformats.org/officeDocument/2006/relationships/image" Target="media/image39.wmf"/><Relationship Id="rId75" Type="http://schemas.openxmlformats.org/officeDocument/2006/relationships/oleObject" Target="embeddings/oleObject26.bin"/><Relationship Id="rId74" Type="http://schemas.openxmlformats.org/officeDocument/2006/relationships/image" Target="media/image38.wmf"/><Relationship Id="rId73" Type="http://schemas.openxmlformats.org/officeDocument/2006/relationships/oleObject" Target="embeddings/oleObject25.bin"/><Relationship Id="rId72" Type="http://schemas.openxmlformats.org/officeDocument/2006/relationships/image" Target="media/image37.wmf"/><Relationship Id="rId71" Type="http://schemas.openxmlformats.org/officeDocument/2006/relationships/oleObject" Target="embeddings/oleObject24.bin"/><Relationship Id="rId70" Type="http://schemas.openxmlformats.org/officeDocument/2006/relationships/image" Target="media/image36.wmf"/><Relationship Id="rId7" Type="http://schemas.openxmlformats.org/officeDocument/2006/relationships/footer" Target="footer2.xml"/><Relationship Id="rId69" Type="http://schemas.openxmlformats.org/officeDocument/2006/relationships/oleObject" Target="embeddings/oleObject23.bin"/><Relationship Id="rId68" Type="http://schemas.openxmlformats.org/officeDocument/2006/relationships/image" Target="media/image35.wmf"/><Relationship Id="rId67" Type="http://schemas.openxmlformats.org/officeDocument/2006/relationships/oleObject" Target="embeddings/oleObject22.bin"/><Relationship Id="rId66" Type="http://schemas.openxmlformats.org/officeDocument/2006/relationships/image" Target="media/image34.wmf"/><Relationship Id="rId65" Type="http://schemas.openxmlformats.org/officeDocument/2006/relationships/oleObject" Target="embeddings/oleObject21.bin"/><Relationship Id="rId64" Type="http://schemas.openxmlformats.org/officeDocument/2006/relationships/image" Target="media/image33.wmf"/><Relationship Id="rId63" Type="http://schemas.openxmlformats.org/officeDocument/2006/relationships/oleObject" Target="embeddings/oleObject20.bin"/><Relationship Id="rId62" Type="http://schemas.openxmlformats.org/officeDocument/2006/relationships/image" Target="media/image32.wmf"/><Relationship Id="rId61" Type="http://schemas.openxmlformats.org/officeDocument/2006/relationships/oleObject" Target="embeddings/oleObject19.bin"/><Relationship Id="rId60" Type="http://schemas.openxmlformats.org/officeDocument/2006/relationships/image" Target="media/image31.wmf"/><Relationship Id="rId6" Type="http://schemas.openxmlformats.org/officeDocument/2006/relationships/footer" Target="footer1.xml"/><Relationship Id="rId59" Type="http://schemas.openxmlformats.org/officeDocument/2006/relationships/oleObject" Target="embeddings/oleObject18.bin"/><Relationship Id="rId58" Type="http://schemas.openxmlformats.org/officeDocument/2006/relationships/image" Target="media/image30.wmf"/><Relationship Id="rId57" Type="http://schemas.openxmlformats.org/officeDocument/2006/relationships/oleObject" Target="embeddings/oleObject17.bin"/><Relationship Id="rId56" Type="http://schemas.openxmlformats.org/officeDocument/2006/relationships/image" Target="media/image29.wmf"/><Relationship Id="rId55" Type="http://schemas.openxmlformats.org/officeDocument/2006/relationships/oleObject" Target="embeddings/oleObject16.bin"/><Relationship Id="rId54" Type="http://schemas.openxmlformats.org/officeDocument/2006/relationships/image" Target="media/image28.wmf"/><Relationship Id="rId53" Type="http://schemas.openxmlformats.org/officeDocument/2006/relationships/oleObject" Target="embeddings/oleObject15.bin"/><Relationship Id="rId52" Type="http://schemas.openxmlformats.org/officeDocument/2006/relationships/image" Target="media/image27.wmf"/><Relationship Id="rId51" Type="http://schemas.openxmlformats.org/officeDocument/2006/relationships/oleObject" Target="embeddings/oleObject14.bin"/><Relationship Id="rId50" Type="http://schemas.openxmlformats.org/officeDocument/2006/relationships/image" Target="media/image26.wmf"/><Relationship Id="rId5" Type="http://schemas.openxmlformats.org/officeDocument/2006/relationships/header" Target="header1.xml"/><Relationship Id="rId49" Type="http://schemas.openxmlformats.org/officeDocument/2006/relationships/oleObject" Target="embeddings/oleObject13.bin"/><Relationship Id="rId48" Type="http://schemas.openxmlformats.org/officeDocument/2006/relationships/image" Target="media/image25.wmf"/><Relationship Id="rId47" Type="http://schemas.openxmlformats.org/officeDocument/2006/relationships/oleObject" Target="embeddings/oleObject12.bin"/><Relationship Id="rId46" Type="http://schemas.openxmlformats.org/officeDocument/2006/relationships/image" Target="media/image24.wmf"/><Relationship Id="rId45" Type="http://schemas.openxmlformats.org/officeDocument/2006/relationships/oleObject" Target="embeddings/oleObject11.bin"/><Relationship Id="rId44" Type="http://schemas.openxmlformats.org/officeDocument/2006/relationships/image" Target="media/image23.wmf"/><Relationship Id="rId43" Type="http://schemas.openxmlformats.org/officeDocument/2006/relationships/oleObject" Target="embeddings/oleObject10.bin"/><Relationship Id="rId42" Type="http://schemas.openxmlformats.org/officeDocument/2006/relationships/image" Target="media/image22.wmf"/><Relationship Id="rId41" Type="http://schemas.openxmlformats.org/officeDocument/2006/relationships/oleObject" Target="embeddings/oleObject9.bin"/><Relationship Id="rId40" Type="http://schemas.openxmlformats.org/officeDocument/2006/relationships/image" Target="media/image21.wmf"/><Relationship Id="rId4" Type="http://schemas.openxmlformats.org/officeDocument/2006/relationships/endnotes" Target="endnotes.xml"/><Relationship Id="rId39" Type="http://schemas.openxmlformats.org/officeDocument/2006/relationships/oleObject" Target="embeddings/oleObject8.bin"/><Relationship Id="rId38" Type="http://schemas.openxmlformats.org/officeDocument/2006/relationships/image" Target="media/image20.wmf"/><Relationship Id="rId37" Type="http://schemas.openxmlformats.org/officeDocument/2006/relationships/oleObject" Target="embeddings/oleObject7.bin"/><Relationship Id="rId36" Type="http://schemas.openxmlformats.org/officeDocument/2006/relationships/image" Target="media/image19.wmf"/><Relationship Id="rId35" Type="http://schemas.openxmlformats.org/officeDocument/2006/relationships/oleObject" Target="embeddings/oleObject6.bin"/><Relationship Id="rId34" Type="http://schemas.openxmlformats.org/officeDocument/2006/relationships/oleObject" Target="embeddings/oleObject5.bin"/><Relationship Id="rId33" Type="http://schemas.openxmlformats.org/officeDocument/2006/relationships/image" Target="media/image18.wmf"/><Relationship Id="rId32" Type="http://schemas.openxmlformats.org/officeDocument/2006/relationships/oleObject" Target="embeddings/oleObject4.bin"/><Relationship Id="rId31" Type="http://schemas.openxmlformats.org/officeDocument/2006/relationships/image" Target="media/image17.png"/><Relationship Id="rId30" Type="http://schemas.openxmlformats.org/officeDocument/2006/relationships/image" Target="media/image16.wmf"/><Relationship Id="rId3" Type="http://schemas.openxmlformats.org/officeDocument/2006/relationships/footnotes" Target="footnotes.xml"/><Relationship Id="rId29" Type="http://schemas.openxmlformats.org/officeDocument/2006/relationships/oleObject" Target="embeddings/oleObject3.bin"/><Relationship Id="rId28" Type="http://schemas.openxmlformats.org/officeDocument/2006/relationships/image" Target="media/image15.wmf"/><Relationship Id="rId27" Type="http://schemas.openxmlformats.org/officeDocument/2006/relationships/oleObject" Target="embeddings/oleObject2.bin"/><Relationship Id="rId26" Type="http://schemas.openxmlformats.org/officeDocument/2006/relationships/image" Target="media/image14.png"/><Relationship Id="rId25" Type="http://schemas.openxmlformats.org/officeDocument/2006/relationships/image" Target="media/image13.png"/><Relationship Id="rId24" Type="http://schemas.openxmlformats.org/officeDocument/2006/relationships/image" Target="media/image12.png"/><Relationship Id="rId23" Type="http://schemas.openxmlformats.org/officeDocument/2006/relationships/image" Target="media/image11.png"/><Relationship Id="rId22" Type="http://schemas.openxmlformats.org/officeDocument/2006/relationships/image" Target="media/image10.png"/><Relationship Id="rId21" Type="http://schemas.openxmlformats.org/officeDocument/2006/relationships/image" Target="media/image9.png"/><Relationship Id="rId20" Type="http://schemas.openxmlformats.org/officeDocument/2006/relationships/image" Target="media/image8.wmf"/><Relationship Id="rId2" Type="http://schemas.openxmlformats.org/officeDocument/2006/relationships/settings" Target="settings.xml"/><Relationship Id="rId19" Type="http://schemas.openxmlformats.org/officeDocument/2006/relationships/oleObject" Target="embeddings/oleObject1.bin"/><Relationship Id="rId188" Type="http://schemas.openxmlformats.org/officeDocument/2006/relationships/fontTable" Target="fontTable.xml"/><Relationship Id="rId187" Type="http://schemas.openxmlformats.org/officeDocument/2006/relationships/numbering" Target="numbering.xml"/><Relationship Id="rId186" Type="http://schemas.openxmlformats.org/officeDocument/2006/relationships/customXml" Target="../customXml/item1.xml"/><Relationship Id="rId185" Type="http://schemas.openxmlformats.org/officeDocument/2006/relationships/image" Target="media/image108.png"/><Relationship Id="rId184" Type="http://schemas.openxmlformats.org/officeDocument/2006/relationships/image" Target="media/image107.png"/><Relationship Id="rId183" Type="http://schemas.openxmlformats.org/officeDocument/2006/relationships/image" Target="media/image106.wmf"/><Relationship Id="rId182" Type="http://schemas.openxmlformats.org/officeDocument/2006/relationships/image" Target="media/image105.wmf"/><Relationship Id="rId181" Type="http://schemas.openxmlformats.org/officeDocument/2006/relationships/image" Target="media/image104.wmf"/><Relationship Id="rId180" Type="http://schemas.openxmlformats.org/officeDocument/2006/relationships/image" Target="media/image103.wmf"/><Relationship Id="rId18" Type="http://schemas.openxmlformats.org/officeDocument/2006/relationships/image" Target="media/image7.png"/><Relationship Id="rId179" Type="http://schemas.openxmlformats.org/officeDocument/2006/relationships/image" Target="media/image102.wmf"/><Relationship Id="rId178" Type="http://schemas.openxmlformats.org/officeDocument/2006/relationships/image" Target="media/image101.wmf"/><Relationship Id="rId177" Type="http://schemas.openxmlformats.org/officeDocument/2006/relationships/image" Target="media/image100.wmf"/><Relationship Id="rId176" Type="http://schemas.openxmlformats.org/officeDocument/2006/relationships/oleObject" Target="embeddings/oleObject66.bin"/><Relationship Id="rId175" Type="http://schemas.openxmlformats.org/officeDocument/2006/relationships/image" Target="media/image99.wmf"/><Relationship Id="rId174" Type="http://schemas.openxmlformats.org/officeDocument/2006/relationships/image" Target="media/image98.wmf"/><Relationship Id="rId173" Type="http://schemas.openxmlformats.org/officeDocument/2006/relationships/image" Target="media/image97.wmf"/><Relationship Id="rId172" Type="http://schemas.openxmlformats.org/officeDocument/2006/relationships/image" Target="media/image96.wmf"/><Relationship Id="rId171" Type="http://schemas.openxmlformats.org/officeDocument/2006/relationships/image" Target="media/image95.wmf"/><Relationship Id="rId170" Type="http://schemas.openxmlformats.org/officeDocument/2006/relationships/image" Target="media/image94.wmf"/><Relationship Id="rId17" Type="http://schemas.openxmlformats.org/officeDocument/2006/relationships/image" Target="media/image6.png"/><Relationship Id="rId169" Type="http://schemas.openxmlformats.org/officeDocument/2006/relationships/image" Target="media/image93.wmf"/><Relationship Id="rId168" Type="http://schemas.openxmlformats.org/officeDocument/2006/relationships/image" Target="media/image92.wmf"/><Relationship Id="rId167" Type="http://schemas.openxmlformats.org/officeDocument/2006/relationships/image" Target="media/image91.wmf"/><Relationship Id="rId166" Type="http://schemas.openxmlformats.org/officeDocument/2006/relationships/image" Target="media/image90.wmf"/><Relationship Id="rId165" Type="http://schemas.openxmlformats.org/officeDocument/2006/relationships/image" Target="media/image89.wmf"/><Relationship Id="rId164" Type="http://schemas.openxmlformats.org/officeDocument/2006/relationships/image" Target="media/image88.wmf"/><Relationship Id="rId163" Type="http://schemas.openxmlformats.org/officeDocument/2006/relationships/image" Target="media/image87.wmf"/><Relationship Id="rId162" Type="http://schemas.openxmlformats.org/officeDocument/2006/relationships/image" Target="media/image86.wmf"/><Relationship Id="rId161" Type="http://schemas.openxmlformats.org/officeDocument/2006/relationships/image" Target="media/image85.wmf"/><Relationship Id="rId160" Type="http://schemas.openxmlformats.org/officeDocument/2006/relationships/oleObject" Target="embeddings/oleObject65.bin"/><Relationship Id="rId16" Type="http://schemas.openxmlformats.org/officeDocument/2006/relationships/image" Target="media/image5.png"/><Relationship Id="rId159" Type="http://schemas.openxmlformats.org/officeDocument/2006/relationships/image" Target="media/image84.png"/><Relationship Id="rId158" Type="http://schemas.openxmlformats.org/officeDocument/2006/relationships/image" Target="media/image83.wmf"/><Relationship Id="rId157" Type="http://schemas.openxmlformats.org/officeDocument/2006/relationships/oleObject" Target="embeddings/oleObject64.bin"/><Relationship Id="rId156" Type="http://schemas.openxmlformats.org/officeDocument/2006/relationships/image" Target="media/image82.png"/><Relationship Id="rId155" Type="http://schemas.openxmlformats.org/officeDocument/2006/relationships/oleObject" Target="embeddings/oleObject63.bin"/><Relationship Id="rId154" Type="http://schemas.openxmlformats.org/officeDocument/2006/relationships/image" Target="media/image81.wmf"/><Relationship Id="rId153" Type="http://schemas.openxmlformats.org/officeDocument/2006/relationships/oleObject" Target="embeddings/oleObject62.bin"/><Relationship Id="rId152" Type="http://schemas.openxmlformats.org/officeDocument/2006/relationships/image" Target="media/image80.wmf"/><Relationship Id="rId151" Type="http://schemas.openxmlformats.org/officeDocument/2006/relationships/oleObject" Target="embeddings/oleObject61.bin"/><Relationship Id="rId150" Type="http://schemas.openxmlformats.org/officeDocument/2006/relationships/image" Target="media/image79.wmf"/><Relationship Id="rId15" Type="http://schemas.openxmlformats.org/officeDocument/2006/relationships/image" Target="media/image4.png"/><Relationship Id="rId149" Type="http://schemas.openxmlformats.org/officeDocument/2006/relationships/oleObject" Target="embeddings/oleObject60.bin"/><Relationship Id="rId148" Type="http://schemas.openxmlformats.org/officeDocument/2006/relationships/image" Target="media/image78.wmf"/><Relationship Id="rId147" Type="http://schemas.openxmlformats.org/officeDocument/2006/relationships/oleObject" Target="embeddings/oleObject59.bin"/><Relationship Id="rId146" Type="http://schemas.openxmlformats.org/officeDocument/2006/relationships/image" Target="media/image77.wmf"/><Relationship Id="rId145" Type="http://schemas.openxmlformats.org/officeDocument/2006/relationships/oleObject" Target="embeddings/oleObject58.bin"/><Relationship Id="rId144" Type="http://schemas.openxmlformats.org/officeDocument/2006/relationships/image" Target="media/image76.wmf"/><Relationship Id="rId143" Type="http://schemas.openxmlformats.org/officeDocument/2006/relationships/oleObject" Target="embeddings/oleObject57.bin"/><Relationship Id="rId142" Type="http://schemas.openxmlformats.org/officeDocument/2006/relationships/image" Target="media/image75.wmf"/><Relationship Id="rId141" Type="http://schemas.openxmlformats.org/officeDocument/2006/relationships/oleObject" Target="embeddings/oleObject56.bin"/><Relationship Id="rId140" Type="http://schemas.openxmlformats.org/officeDocument/2006/relationships/image" Target="media/image74.wmf"/><Relationship Id="rId14" Type="http://schemas.openxmlformats.org/officeDocument/2006/relationships/image" Target="media/image3.png"/><Relationship Id="rId139" Type="http://schemas.openxmlformats.org/officeDocument/2006/relationships/oleObject" Target="embeddings/oleObject55.bin"/><Relationship Id="rId138" Type="http://schemas.openxmlformats.org/officeDocument/2006/relationships/image" Target="media/image73.png"/><Relationship Id="rId137" Type="http://schemas.openxmlformats.org/officeDocument/2006/relationships/image" Target="media/image72.png"/><Relationship Id="rId136" Type="http://schemas.openxmlformats.org/officeDocument/2006/relationships/image" Target="media/image71.png"/><Relationship Id="rId135" Type="http://schemas.openxmlformats.org/officeDocument/2006/relationships/image" Target="media/image70.wmf"/><Relationship Id="rId134" Type="http://schemas.openxmlformats.org/officeDocument/2006/relationships/oleObject" Target="embeddings/oleObject54.bin"/><Relationship Id="rId133" Type="http://schemas.openxmlformats.org/officeDocument/2006/relationships/image" Target="media/image69.wmf"/><Relationship Id="rId132" Type="http://schemas.openxmlformats.org/officeDocument/2006/relationships/oleObject" Target="embeddings/oleObject53.bin"/><Relationship Id="rId131" Type="http://schemas.openxmlformats.org/officeDocument/2006/relationships/image" Target="media/image68.wmf"/><Relationship Id="rId130" Type="http://schemas.openxmlformats.org/officeDocument/2006/relationships/oleObject" Target="embeddings/oleObject52.bin"/><Relationship Id="rId13" Type="http://schemas.openxmlformats.org/officeDocument/2006/relationships/image" Target="media/image2.png"/><Relationship Id="rId129" Type="http://schemas.openxmlformats.org/officeDocument/2006/relationships/image" Target="media/image67.wmf"/><Relationship Id="rId128" Type="http://schemas.openxmlformats.org/officeDocument/2006/relationships/oleObject" Target="embeddings/oleObject51.bin"/><Relationship Id="rId127" Type="http://schemas.openxmlformats.org/officeDocument/2006/relationships/image" Target="media/image66.wmf"/><Relationship Id="rId126" Type="http://schemas.openxmlformats.org/officeDocument/2006/relationships/oleObject" Target="embeddings/oleObject50.bin"/><Relationship Id="rId125" Type="http://schemas.openxmlformats.org/officeDocument/2006/relationships/image" Target="media/image65.wmf"/><Relationship Id="rId124" Type="http://schemas.openxmlformats.org/officeDocument/2006/relationships/oleObject" Target="embeddings/oleObject49.bin"/><Relationship Id="rId123" Type="http://schemas.openxmlformats.org/officeDocument/2006/relationships/image" Target="media/image64.wmf"/><Relationship Id="rId122" Type="http://schemas.openxmlformats.org/officeDocument/2006/relationships/oleObject" Target="embeddings/oleObject48.bin"/><Relationship Id="rId121" Type="http://schemas.openxmlformats.org/officeDocument/2006/relationships/image" Target="media/image63.wmf"/><Relationship Id="rId120" Type="http://schemas.openxmlformats.org/officeDocument/2006/relationships/oleObject" Target="embeddings/oleObject47.bin"/><Relationship Id="rId12" Type="http://schemas.openxmlformats.org/officeDocument/2006/relationships/image" Target="media/image1.png"/><Relationship Id="rId119" Type="http://schemas.openxmlformats.org/officeDocument/2006/relationships/image" Target="media/image62.wmf"/><Relationship Id="rId118" Type="http://schemas.openxmlformats.org/officeDocument/2006/relationships/oleObject" Target="embeddings/oleObject46.bin"/><Relationship Id="rId117" Type="http://schemas.openxmlformats.org/officeDocument/2006/relationships/image" Target="media/image61.wmf"/><Relationship Id="rId116" Type="http://schemas.openxmlformats.org/officeDocument/2006/relationships/oleObject" Target="embeddings/oleObject45.bin"/><Relationship Id="rId115" Type="http://schemas.openxmlformats.org/officeDocument/2006/relationships/image" Target="media/image60.wmf"/><Relationship Id="rId114" Type="http://schemas.openxmlformats.org/officeDocument/2006/relationships/oleObject" Target="embeddings/oleObject44.bin"/><Relationship Id="rId113" Type="http://schemas.openxmlformats.org/officeDocument/2006/relationships/image" Target="media/image59.wmf"/><Relationship Id="rId112" Type="http://schemas.openxmlformats.org/officeDocument/2006/relationships/oleObject" Target="embeddings/oleObject43.bin"/><Relationship Id="rId111" Type="http://schemas.openxmlformats.org/officeDocument/2006/relationships/image" Target="media/image58.wmf"/><Relationship Id="rId110" Type="http://schemas.openxmlformats.org/officeDocument/2006/relationships/oleObject" Target="embeddings/oleObject42.bin"/><Relationship Id="rId11" Type="http://schemas.openxmlformats.org/officeDocument/2006/relationships/theme" Target="theme/theme1.xml"/><Relationship Id="rId109" Type="http://schemas.openxmlformats.org/officeDocument/2006/relationships/image" Target="media/image57.wmf"/><Relationship Id="rId108" Type="http://schemas.openxmlformats.org/officeDocument/2006/relationships/oleObject" Target="embeddings/oleObject41.bin"/><Relationship Id="rId107" Type="http://schemas.openxmlformats.org/officeDocument/2006/relationships/image" Target="media/image56.wmf"/><Relationship Id="rId106" Type="http://schemas.openxmlformats.org/officeDocument/2006/relationships/oleObject" Target="embeddings/oleObject40.bin"/><Relationship Id="rId105" Type="http://schemas.openxmlformats.org/officeDocument/2006/relationships/image" Target="media/image55.wmf"/><Relationship Id="rId104" Type="http://schemas.openxmlformats.org/officeDocument/2006/relationships/oleObject" Target="embeddings/oleObject39.bin"/><Relationship Id="rId103" Type="http://schemas.openxmlformats.org/officeDocument/2006/relationships/image" Target="media/image54.wmf"/><Relationship Id="rId102" Type="http://schemas.openxmlformats.org/officeDocument/2006/relationships/oleObject" Target="embeddings/oleObject38.bin"/><Relationship Id="rId101" Type="http://schemas.openxmlformats.org/officeDocument/2006/relationships/image" Target="media/image53.wmf"/><Relationship Id="rId100" Type="http://schemas.openxmlformats.org/officeDocument/2006/relationships/oleObject" Target="embeddings/oleObject37.bin"/><Relationship Id="rId10" Type="http://schemas.openxmlformats.org/officeDocument/2006/relationships/footer" Target="footer4.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Info spid="_x0000_s2061"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Template>
  <Company>微软中国</Company>
  <Pages>239</Pages>
  <Words>119</Words>
  <Characters>145</Characters>
  <Lines>9</Lines>
  <Paragraphs>2</Paragraphs>
  <TotalTime>13</TotalTime>
  <ScaleCrop>false</ScaleCrop>
  <LinksUpToDate>false</LinksUpToDate>
  <CharactersWithSpaces>199</CharactersWithSpaces>
  <Application>WPS Office_12.8.2.19315_F1E327BC-269C-435d-A152-05C5408002CA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2020-12-24T01:42:00Z</dcterms:created>
  <dc:creator>lhj</dc:creator>
  <cp:lastModifiedBy>admin</cp:lastModifiedBy>
  <cp:lastPrinted>2020-12-24T01:50:00Z</cp:lastPrinted>
  <dcterms:modified xsi:type="dcterms:W3CDTF">2026-04-08T08:24:08Z</dcterms:modified>
  <cp:revision>46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2052-12.8.2.19315</vt:lpwstr>
  </property>
  <property fmtid="{D5CDD505-2E9C-101B-9397-08002B2CF9AE}" pid="3" name="ICV">
    <vt:lpwstr>E91C7130E80B46DEA945B49DF0B1F2E8_13</vt:lpwstr>
  </property>
  <property fmtid="{D5CDD505-2E9C-101B-9397-08002B2CF9AE}" pid="4" name="KSOTemplateDocerSaveRecord">
    <vt:lpwstr>eyJoZGlkIjoiOTE4N2NmM2M3Yzc4ZDM3ZmRjNGVlNzcxYzU1MDAwNTkiLCJ1c2VySWQiOiIzOTQ3NzUzMDMifQ==</vt:lpwstr>
  </property>
</Properties>
</file>